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keepNext w:val="0"/>
        <w:keepLines w:val="0"/>
        <w:pageBreakBefore w:val="0"/>
        <w:widowControl w:val="0"/>
        <w:kinsoku/>
        <w:wordWrap/>
        <w:overflowPunct/>
        <w:topLinePunct w:val="0"/>
        <w:autoSpaceDE/>
        <w:autoSpaceDN/>
        <w:bidi w:val="0"/>
        <w:adjustRightInd w:val="0"/>
        <w:snapToGrid w:val="0"/>
        <w:spacing w:before="157" w:beforeLines="50" w:after="157" w:afterLines="50"/>
        <w:jc w:val="center"/>
        <w:textAlignment w:val="auto"/>
        <w:rPr>
          <w:rFonts w:hint="eastAsia" w:ascii="黑体" w:hAnsi="黑体" w:eastAsia="黑体" w:cs="黑体"/>
          <w:b w:val="0"/>
          <w:bCs w:val="0"/>
          <w:color w:val="000000"/>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黑体" w:hAnsi="黑体" w:eastAsia="黑体" w:cs="黑体"/>
          <w:b w:val="0"/>
          <w:bCs w:val="0"/>
          <w:color w:val="000000"/>
          <w:sz w:val="30"/>
          <w:szCs w:val="30"/>
          <w:lang w:eastAsia="zh-CN"/>
        </w:rPr>
        <w:drawing>
          <wp:anchor distT="0" distB="0" distL="114300" distR="114300" simplePos="0" relativeHeight="251669504" behindDoc="1" locked="0" layoutInCell="1" allowOverlap="1">
            <wp:simplePos x="0" y="0"/>
            <wp:positionH relativeFrom="column">
              <wp:posOffset>-1116965</wp:posOffset>
            </wp:positionH>
            <wp:positionV relativeFrom="paragraph">
              <wp:posOffset>-914400</wp:posOffset>
            </wp:positionV>
            <wp:extent cx="7545070" cy="10671175"/>
            <wp:effectExtent l="0" t="0" r="17780" b="15875"/>
            <wp:wrapNone/>
            <wp:docPr id="13" name="图片 13" descr="SKM_C554e2202181021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KM_C554e22021810210_0001"/>
                    <pic:cNvPicPr>
                      <a:picLocks noChangeAspect="1"/>
                    </pic:cNvPicPr>
                  </pic:nvPicPr>
                  <pic:blipFill>
                    <a:blip r:embed="rId6"/>
                    <a:stretch>
                      <a:fillRect/>
                    </a:stretch>
                  </pic:blipFill>
                  <pic:spPr>
                    <a:xfrm>
                      <a:off x="0" y="0"/>
                      <a:ext cx="7545070" cy="10671175"/>
                    </a:xfrm>
                    <a:prstGeom prst="rect">
                      <a:avLst/>
                    </a:prstGeom>
                  </pic:spPr>
                </pic:pic>
              </a:graphicData>
            </a:graphic>
          </wp:anchor>
        </w:drawing>
      </w:r>
    </w:p>
    <w:p>
      <w:pPr>
        <w:pStyle w:val="2"/>
        <w:numPr>
          <w:ilvl w:val="0"/>
          <w:numId w:val="0"/>
        </w:numPr>
        <w:ind w:leftChars="0"/>
        <w:jc w:val="both"/>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宋体"/>
          <w:lang w:eastAsia="zh-CN"/>
        </w:rPr>
        <w:drawing>
          <wp:anchor distT="0" distB="0" distL="114300" distR="114300" simplePos="0" relativeHeight="251669504" behindDoc="1" locked="0" layoutInCell="1" allowOverlap="1">
            <wp:simplePos x="0" y="0"/>
            <wp:positionH relativeFrom="column">
              <wp:posOffset>-1090930</wp:posOffset>
            </wp:positionH>
            <wp:positionV relativeFrom="paragraph">
              <wp:posOffset>-851535</wp:posOffset>
            </wp:positionV>
            <wp:extent cx="7361555" cy="10411460"/>
            <wp:effectExtent l="0" t="0" r="10795" b="8890"/>
            <wp:wrapNone/>
            <wp:docPr id="3" name="图片 3" descr="SKM_C554e22021810211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KM_C554e22021810211_0001"/>
                    <pic:cNvPicPr>
                      <a:picLocks noChangeAspect="1"/>
                    </pic:cNvPicPr>
                  </pic:nvPicPr>
                  <pic:blipFill>
                    <a:blip r:embed="rId7"/>
                    <a:stretch>
                      <a:fillRect/>
                    </a:stretch>
                  </pic:blipFill>
                  <pic:spPr>
                    <a:xfrm>
                      <a:off x="0" y="0"/>
                      <a:ext cx="7361555" cy="10411460"/>
                    </a:xfrm>
                    <a:prstGeom prst="rect">
                      <a:avLst/>
                    </a:prstGeom>
                  </pic:spPr>
                </pic:pic>
              </a:graphicData>
            </a:graphic>
          </wp:anchor>
        </w:drawing>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68480" behindDoc="0" locked="0" layoutInCell="1" allowOverlap="1">
            <wp:simplePos x="0" y="0"/>
            <wp:positionH relativeFrom="column">
              <wp:posOffset>-1125220</wp:posOffset>
            </wp:positionH>
            <wp:positionV relativeFrom="paragraph">
              <wp:posOffset>-911860</wp:posOffset>
            </wp:positionV>
            <wp:extent cx="7521575" cy="10614025"/>
            <wp:effectExtent l="0" t="0" r="3175" b="1587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7521575" cy="10614025"/>
                    </a:xfrm>
                    <a:prstGeom prst="rect">
                      <a:avLst/>
                    </a:prstGeom>
                    <a:noFill/>
                    <a:ln>
                      <a:noFill/>
                    </a:ln>
                  </pic:spPr>
                </pic:pic>
              </a:graphicData>
            </a:graphic>
          </wp:anchor>
        </w:drawing>
      </w:r>
    </w:p>
    <w:p>
      <w:pPr>
        <w:pStyle w:val="2"/>
        <w:numPr>
          <w:ilvl w:val="0"/>
          <w:numId w:val="0"/>
        </w:numPr>
        <w:ind w:leftChars="0"/>
        <w:jc w:val="both"/>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inline distT="0" distB="0" distL="114300" distR="114300">
            <wp:extent cx="4448175" cy="641985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448175" cy="6419850"/>
                    </a:xfrm>
                    <a:prstGeom prst="rect">
                      <a:avLst/>
                    </a:prstGeom>
                    <a:noFill/>
                    <a:ln>
                      <a:noFill/>
                    </a:ln>
                  </pic:spPr>
                </pic:pic>
              </a:graphicData>
            </a:graphic>
          </wp:inline>
        </w:drawing>
      </w:r>
    </w:p>
    <w:p>
      <w:pPr>
        <w:pStyle w:val="2"/>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62336" behindDoc="0" locked="0" layoutInCell="1" allowOverlap="1">
            <wp:simplePos x="0" y="0"/>
            <wp:positionH relativeFrom="column">
              <wp:posOffset>-1079500</wp:posOffset>
            </wp:positionH>
            <wp:positionV relativeFrom="paragraph">
              <wp:posOffset>-877570</wp:posOffset>
            </wp:positionV>
            <wp:extent cx="7439025" cy="10572115"/>
            <wp:effectExtent l="0" t="0" r="9525"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7439025" cy="1057211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jc w:val="center"/>
        <w:textAlignment w:val="auto"/>
        <w:rPr>
          <w:rFonts w:hint="eastAsia" w:ascii="黑体" w:hAnsi="黑体" w:eastAsia="黑体" w:cs="黑体"/>
          <w:b w:val="0"/>
          <w:bCs w:val="0"/>
          <w:color w:val="000000"/>
          <w:sz w:val="30"/>
          <w:szCs w:val="3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drawing>
          <wp:anchor distT="0" distB="0" distL="114300" distR="114300" simplePos="0" relativeHeight="251663360" behindDoc="0" locked="0" layoutInCell="1" allowOverlap="1">
            <wp:simplePos x="0" y="0"/>
            <wp:positionH relativeFrom="column">
              <wp:posOffset>-1112520</wp:posOffset>
            </wp:positionH>
            <wp:positionV relativeFrom="paragraph">
              <wp:posOffset>-973455</wp:posOffset>
            </wp:positionV>
            <wp:extent cx="7519670" cy="10695940"/>
            <wp:effectExtent l="0" t="0" r="5080" b="1016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7519670" cy="1069594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jc w:val="center"/>
        <w:textAlignment w:val="auto"/>
        <w:rPr>
          <w:rFonts w:hint="eastAsia" w:ascii="黑体" w:hAnsi="黑体" w:eastAsia="黑体" w:cs="黑体"/>
          <w:b w:val="0"/>
          <w:bCs w:val="0"/>
          <w:color w:val="000000"/>
          <w:sz w:val="30"/>
          <w:szCs w:val="30"/>
        </w:rPr>
      </w:pPr>
      <w:r>
        <w:rPr>
          <w:rFonts w:hint="eastAsia" w:ascii="黑体" w:hAnsi="黑体" w:eastAsia="黑体" w:cs="黑体"/>
          <w:b w:val="0"/>
          <w:bCs w:val="0"/>
          <w:color w:val="000000"/>
          <w:sz w:val="30"/>
          <w:szCs w:val="30"/>
        </w:rPr>
        <w:t>一、建设项目基本情况</w:t>
      </w:r>
    </w:p>
    <w:tbl>
      <w:tblPr>
        <w:tblStyle w:val="25"/>
        <w:tblW w:w="90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9"/>
        <w:gridCol w:w="496"/>
        <w:gridCol w:w="2827"/>
        <w:gridCol w:w="1938"/>
        <w:gridCol w:w="30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95" w:type="dxa"/>
            <w:gridSpan w:val="2"/>
            <w:tcBorders>
              <w:tl2br w:val="nil"/>
              <w:tr2bl w:val="nil"/>
            </w:tcBorders>
            <w:vAlign w:val="center"/>
          </w:tcPr>
          <w:p>
            <w:pPr>
              <w:jc w:val="center"/>
              <w:rPr>
                <w:color w:val="000000"/>
                <w:sz w:val="24"/>
                <w:szCs w:val="24"/>
              </w:rPr>
            </w:pPr>
            <w:r>
              <w:rPr>
                <w:rFonts w:hint="eastAsia" w:hAnsi="宋体"/>
                <w:color w:val="000000"/>
                <w:sz w:val="24"/>
                <w:szCs w:val="24"/>
              </w:rPr>
              <w:t>建设</w:t>
            </w:r>
            <w:r>
              <w:rPr>
                <w:rFonts w:hAnsi="宋体"/>
                <w:color w:val="000000"/>
                <w:sz w:val="24"/>
                <w:szCs w:val="24"/>
              </w:rPr>
              <w:t>项目名称</w:t>
            </w:r>
          </w:p>
        </w:tc>
        <w:tc>
          <w:tcPr>
            <w:tcW w:w="7790" w:type="dxa"/>
            <w:gridSpan w:val="3"/>
            <w:tcBorders>
              <w:tl2br w:val="nil"/>
              <w:tr2bl w:val="nil"/>
            </w:tcBorders>
            <w:vAlign w:val="center"/>
          </w:tcPr>
          <w:p>
            <w:pPr>
              <w:jc w:val="center"/>
              <w:rPr>
                <w:rFonts w:hint="eastAsia" w:eastAsia="宋体"/>
                <w:color w:val="000000"/>
                <w:spacing w:val="-4"/>
                <w:sz w:val="24"/>
                <w:szCs w:val="24"/>
                <w:lang w:eastAsia="zh-CN"/>
              </w:rPr>
            </w:pPr>
            <w:r>
              <w:rPr>
                <w:rFonts w:hint="eastAsia"/>
                <w:color w:val="000000"/>
                <w:spacing w:val="-4"/>
                <w:sz w:val="24"/>
                <w:szCs w:val="24"/>
                <w:lang w:eastAsia="zh-CN"/>
              </w:rPr>
              <w:t>年回收5000吨漆渣、废弃包装物、污泥等项目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项目代码</w:t>
            </w:r>
          </w:p>
        </w:tc>
        <w:tc>
          <w:tcPr>
            <w:tcW w:w="7790" w:type="dxa"/>
            <w:gridSpan w:val="3"/>
            <w:tcBorders>
              <w:tl2br w:val="nil"/>
              <w:tr2bl w:val="nil"/>
            </w:tcBorders>
            <w:vAlign w:val="center"/>
          </w:tcPr>
          <w:p>
            <w:pPr>
              <w:jc w:val="center"/>
              <w:rPr>
                <w:rFonts w:hint="eastAsia" w:eastAsia="宋体"/>
                <w:color w:val="000000"/>
                <w:spacing w:val="-4"/>
                <w:sz w:val="24"/>
                <w:szCs w:val="24"/>
                <w:lang w:eastAsia="zh-CN"/>
              </w:rPr>
            </w:pPr>
            <w:r>
              <w:rPr>
                <w:rFonts w:hint="eastAsia"/>
                <w:color w:val="000000"/>
                <w:sz w:val="24"/>
                <w:szCs w:val="24"/>
                <w:lang w:eastAsia="zh-CN"/>
              </w:rPr>
              <w:t>2109-410704-04-01-421928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295" w:type="dxa"/>
            <w:gridSpan w:val="2"/>
            <w:tcBorders>
              <w:tl2br w:val="nil"/>
              <w:tr2bl w:val="nil"/>
            </w:tcBorders>
            <w:vAlign w:val="center"/>
          </w:tcPr>
          <w:p>
            <w:pPr>
              <w:jc w:val="center"/>
              <w:rPr>
                <w:rFonts w:hint="default" w:hAnsi="宋体" w:eastAsia="宋体"/>
                <w:color w:val="000000"/>
                <w:sz w:val="24"/>
                <w:szCs w:val="24"/>
                <w:lang w:val="en-US" w:eastAsia="zh-CN"/>
              </w:rPr>
            </w:pPr>
            <w:r>
              <w:rPr>
                <w:rFonts w:hint="eastAsia" w:hAnsi="宋体"/>
                <w:color w:val="000000"/>
                <w:sz w:val="24"/>
                <w:szCs w:val="24"/>
                <w:lang w:val="en-US" w:eastAsia="zh-CN"/>
              </w:rPr>
              <w:t>法人代表</w:t>
            </w:r>
          </w:p>
        </w:tc>
        <w:tc>
          <w:tcPr>
            <w:tcW w:w="7790" w:type="dxa"/>
            <w:gridSpan w:val="3"/>
            <w:tcBorders>
              <w:tl2br w:val="nil"/>
              <w:tr2bl w:val="nil"/>
            </w:tcBorders>
            <w:vAlign w:val="center"/>
          </w:tcPr>
          <w:p>
            <w:pPr>
              <w:jc w:val="center"/>
              <w:rPr>
                <w:rFonts w:hint="eastAsia"/>
                <w:color w:val="000000"/>
                <w:sz w:val="24"/>
                <w:szCs w:val="24"/>
                <w:lang w:eastAsia="zh-CN"/>
              </w:rPr>
            </w:pPr>
            <w:r>
              <w:rPr>
                <w:rFonts w:hint="eastAsia" w:hAnsi="宋体"/>
                <w:color w:val="000000"/>
                <w:sz w:val="24"/>
                <w:szCs w:val="24"/>
                <w:lang w:val="en-US" w:eastAsia="zh-CN"/>
              </w:rPr>
              <w:t>耿守勋（</w:t>
            </w:r>
            <w:r>
              <w:rPr>
                <w:rFonts w:hAnsi="宋体"/>
                <w:bCs/>
                <w:color w:val="000000"/>
                <w:sz w:val="24"/>
                <w:szCs w:val="24"/>
              </w:rPr>
              <w:t>4107</w:t>
            </w:r>
            <w:r>
              <w:rPr>
                <w:rFonts w:hint="eastAsia" w:hAnsi="宋体"/>
                <w:bCs/>
                <w:color w:val="000000"/>
                <w:sz w:val="24"/>
                <w:szCs w:val="24"/>
                <w:lang w:val="en-US" w:eastAsia="zh-CN"/>
              </w:rPr>
              <w:t>04198511190050）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295" w:type="dxa"/>
            <w:gridSpan w:val="2"/>
            <w:tcBorders>
              <w:tl2br w:val="nil"/>
              <w:tr2bl w:val="nil"/>
            </w:tcBorders>
            <w:vAlign w:val="center"/>
          </w:tcPr>
          <w:p>
            <w:pPr>
              <w:jc w:val="center"/>
              <w:rPr>
                <w:color w:val="000000"/>
                <w:sz w:val="24"/>
                <w:szCs w:val="24"/>
              </w:rPr>
            </w:pPr>
            <w:r>
              <w:rPr>
                <w:rFonts w:hAnsi="宋体"/>
                <w:color w:val="000000"/>
                <w:sz w:val="24"/>
                <w:szCs w:val="24"/>
              </w:rPr>
              <w:t>建设单位</w:t>
            </w:r>
            <w:r>
              <w:rPr>
                <w:rFonts w:hint="eastAsia" w:hAnsi="宋体"/>
                <w:color w:val="000000"/>
                <w:sz w:val="24"/>
                <w:szCs w:val="24"/>
              </w:rPr>
              <w:t>联系人</w:t>
            </w:r>
          </w:p>
        </w:tc>
        <w:tc>
          <w:tcPr>
            <w:tcW w:w="2827" w:type="dxa"/>
            <w:tcBorders>
              <w:tl2br w:val="nil"/>
              <w:tr2bl w:val="nil"/>
            </w:tcBorders>
            <w:vAlign w:val="center"/>
          </w:tcPr>
          <w:p>
            <w:pPr>
              <w:jc w:val="center"/>
              <w:rPr>
                <w:color w:val="000000"/>
                <w:sz w:val="24"/>
                <w:szCs w:val="24"/>
              </w:rPr>
            </w:pPr>
            <w:r>
              <w:rPr>
                <w:rFonts w:hint="eastAsia" w:hAnsi="宋体"/>
                <w:color w:val="000000"/>
                <w:sz w:val="24"/>
                <w:szCs w:val="24"/>
                <w:lang w:val="en-US" w:eastAsia="zh-CN"/>
              </w:rPr>
              <w:t>李建森</w:t>
            </w:r>
          </w:p>
        </w:tc>
        <w:tc>
          <w:tcPr>
            <w:tcW w:w="1938" w:type="dxa"/>
            <w:tcBorders>
              <w:tl2br w:val="nil"/>
              <w:tr2bl w:val="nil"/>
            </w:tcBorders>
            <w:vAlign w:val="center"/>
          </w:tcPr>
          <w:p>
            <w:pPr>
              <w:jc w:val="center"/>
              <w:rPr>
                <w:color w:val="000000"/>
                <w:sz w:val="24"/>
                <w:szCs w:val="24"/>
              </w:rPr>
            </w:pPr>
            <w:r>
              <w:rPr>
                <w:rFonts w:hint="eastAsia"/>
                <w:color w:val="000000"/>
                <w:sz w:val="24"/>
                <w:szCs w:val="24"/>
              </w:rPr>
              <w:t>联系方式</w:t>
            </w:r>
          </w:p>
        </w:tc>
        <w:tc>
          <w:tcPr>
            <w:tcW w:w="3025" w:type="dxa"/>
            <w:tcBorders>
              <w:tl2br w:val="nil"/>
              <w:tr2bl w:val="nil"/>
            </w:tcBorders>
            <w:vAlign w:val="center"/>
          </w:tcPr>
          <w:p>
            <w:pPr>
              <w:jc w:val="center"/>
              <w:rPr>
                <w:rFonts w:hint="default" w:eastAsia="宋体"/>
                <w:color w:val="000000"/>
                <w:sz w:val="24"/>
                <w:szCs w:val="24"/>
                <w:lang w:val="en-US" w:eastAsia="zh-CN"/>
              </w:rPr>
            </w:pPr>
            <w:r>
              <w:rPr>
                <w:rFonts w:hint="eastAsia"/>
                <w:bCs/>
                <w:color w:val="000000"/>
                <w:sz w:val="24"/>
                <w:szCs w:val="24"/>
                <w:lang w:val="en-US" w:eastAsia="zh-CN"/>
              </w:rPr>
              <w:t>16638398598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建设单位</w:t>
            </w:r>
          </w:p>
        </w:tc>
        <w:tc>
          <w:tcPr>
            <w:tcW w:w="7790" w:type="dxa"/>
            <w:gridSpan w:val="3"/>
            <w:tcBorders>
              <w:tl2br w:val="nil"/>
              <w:tr2bl w:val="nil"/>
            </w:tcBorders>
            <w:vAlign w:val="center"/>
          </w:tcPr>
          <w:p>
            <w:pPr>
              <w:jc w:val="center"/>
              <w:rPr>
                <w:rFonts w:hint="eastAsia" w:eastAsia="宋体"/>
                <w:bCs/>
                <w:color w:val="000000"/>
                <w:sz w:val="24"/>
                <w:szCs w:val="24"/>
                <w:lang w:eastAsia="zh-CN"/>
              </w:rPr>
            </w:pPr>
            <w:r>
              <w:rPr>
                <w:rFonts w:hint="eastAsia" w:hAnsi="宋体"/>
                <w:color w:val="000000"/>
                <w:sz w:val="24"/>
                <w:szCs w:val="24"/>
                <w:lang w:eastAsia="zh-CN"/>
              </w:rPr>
              <w:t>新乡威斯特环保科技有限公司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95" w:type="dxa"/>
            <w:gridSpan w:val="2"/>
            <w:tcBorders>
              <w:tl2br w:val="nil"/>
              <w:tr2bl w:val="nil"/>
            </w:tcBorders>
            <w:vAlign w:val="center"/>
          </w:tcPr>
          <w:p>
            <w:pPr>
              <w:jc w:val="center"/>
              <w:rPr>
                <w:color w:val="000000"/>
                <w:sz w:val="24"/>
                <w:szCs w:val="24"/>
              </w:rPr>
            </w:pPr>
            <w:r>
              <w:rPr>
                <w:rFonts w:hint="eastAsia" w:hAnsi="宋体"/>
                <w:color w:val="000000"/>
                <w:sz w:val="24"/>
                <w:szCs w:val="24"/>
              </w:rPr>
              <w:t>建设地点</w:t>
            </w:r>
          </w:p>
        </w:tc>
        <w:tc>
          <w:tcPr>
            <w:tcW w:w="7790" w:type="dxa"/>
            <w:gridSpan w:val="3"/>
            <w:tcBorders>
              <w:tl2br w:val="nil"/>
              <w:tr2bl w:val="nil"/>
            </w:tcBorders>
            <w:vAlign w:val="center"/>
          </w:tcPr>
          <w:p>
            <w:pPr>
              <w:jc w:val="center"/>
              <w:rPr>
                <w:rFonts w:hint="eastAsia" w:eastAsia="宋体"/>
                <w:color w:val="000000" w:themeColor="text1"/>
                <w:sz w:val="24"/>
                <w:szCs w:val="24"/>
                <w:lang w:eastAsia="zh-CN"/>
                <w14:textFill>
                  <w14:solidFill>
                    <w14:schemeClr w14:val="tx1"/>
                  </w14:solidFill>
                </w14:textFill>
              </w:rPr>
            </w:pPr>
            <w:r>
              <w:rPr>
                <w:rFonts w:hint="eastAsia"/>
                <w:color w:val="000000"/>
                <w:sz w:val="24"/>
                <w:szCs w:val="24"/>
                <w:lang w:eastAsia="zh-CN"/>
              </w:rPr>
              <w:t>新乡市动力电池专业园区西区陈堡村南700米路西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95" w:type="dxa"/>
            <w:gridSpan w:val="2"/>
            <w:tcBorders>
              <w:tl2br w:val="nil"/>
              <w:tr2bl w:val="nil"/>
            </w:tcBorders>
            <w:vAlign w:val="center"/>
          </w:tcPr>
          <w:p>
            <w:pPr>
              <w:jc w:val="center"/>
              <w:rPr>
                <w:color w:val="000000"/>
                <w:sz w:val="24"/>
                <w:szCs w:val="24"/>
              </w:rPr>
            </w:pPr>
            <w:r>
              <w:rPr>
                <w:rFonts w:hint="eastAsia" w:hAnsi="宋体"/>
                <w:color w:val="000000"/>
                <w:sz w:val="24"/>
                <w:szCs w:val="24"/>
              </w:rPr>
              <w:t>地理坐标</w:t>
            </w:r>
          </w:p>
        </w:tc>
        <w:tc>
          <w:tcPr>
            <w:tcW w:w="7790" w:type="dxa"/>
            <w:gridSpan w:val="3"/>
            <w:tcBorders>
              <w:tl2br w:val="nil"/>
              <w:tr2bl w:val="nil"/>
            </w:tcBorders>
            <w:vAlign w:val="center"/>
          </w:tcPr>
          <w:p>
            <w:pPr>
              <w:jc w:val="center"/>
              <w:rPr>
                <w:color w:val="000000"/>
                <w:sz w:val="24"/>
                <w:szCs w:val="24"/>
              </w:rPr>
            </w:pPr>
            <w:r>
              <w:rPr>
                <w:color w:val="000000"/>
                <w:sz w:val="24"/>
                <w:szCs w:val="24"/>
              </w:rPr>
              <w:t>（</w:t>
            </w:r>
            <w:r>
              <w:rPr>
                <w:color w:val="000000"/>
                <w:sz w:val="24"/>
                <w:szCs w:val="24"/>
                <w:u w:val="single"/>
              </w:rPr>
              <w:t>11</w:t>
            </w:r>
            <w:r>
              <w:rPr>
                <w:rFonts w:hint="eastAsia"/>
                <w:color w:val="000000"/>
                <w:sz w:val="24"/>
                <w:szCs w:val="24"/>
                <w:u w:val="single"/>
              </w:rPr>
              <w:t>3</w:t>
            </w:r>
            <w:r>
              <w:rPr>
                <w:color w:val="000000"/>
                <w:sz w:val="24"/>
                <w:szCs w:val="24"/>
              </w:rPr>
              <w:t>度</w:t>
            </w:r>
            <w:r>
              <w:rPr>
                <w:rFonts w:hint="eastAsia"/>
                <w:color w:val="000000"/>
                <w:sz w:val="24"/>
                <w:szCs w:val="24"/>
                <w:u w:val="single"/>
              </w:rPr>
              <w:t>50</w:t>
            </w:r>
            <w:r>
              <w:rPr>
                <w:color w:val="000000"/>
                <w:sz w:val="24"/>
                <w:szCs w:val="24"/>
              </w:rPr>
              <w:t>分</w:t>
            </w:r>
            <w:r>
              <w:rPr>
                <w:rFonts w:hint="eastAsia"/>
                <w:color w:val="000000"/>
                <w:sz w:val="24"/>
                <w:szCs w:val="24"/>
                <w:u w:val="single"/>
              </w:rPr>
              <w:t>5</w:t>
            </w:r>
            <w:r>
              <w:rPr>
                <w:rFonts w:hint="eastAsia"/>
                <w:color w:val="000000"/>
                <w:sz w:val="24"/>
                <w:szCs w:val="24"/>
                <w:u w:val="single"/>
                <w:lang w:val="en-US" w:eastAsia="zh-CN"/>
              </w:rPr>
              <w:t>3.007</w:t>
            </w:r>
            <w:r>
              <w:rPr>
                <w:color w:val="000000"/>
                <w:sz w:val="24"/>
                <w:szCs w:val="24"/>
              </w:rPr>
              <w:t>秒，</w:t>
            </w:r>
            <w:r>
              <w:rPr>
                <w:color w:val="000000"/>
                <w:sz w:val="24"/>
                <w:szCs w:val="24"/>
                <w:u w:val="single"/>
              </w:rPr>
              <w:t>3</w:t>
            </w:r>
            <w:r>
              <w:rPr>
                <w:rFonts w:hint="eastAsia"/>
                <w:color w:val="000000"/>
                <w:sz w:val="24"/>
                <w:szCs w:val="24"/>
                <w:u w:val="single"/>
              </w:rPr>
              <w:t>5</w:t>
            </w:r>
            <w:r>
              <w:rPr>
                <w:color w:val="000000"/>
                <w:sz w:val="24"/>
                <w:szCs w:val="24"/>
              </w:rPr>
              <w:t>度</w:t>
            </w:r>
            <w:r>
              <w:rPr>
                <w:rFonts w:hint="eastAsia"/>
                <w:color w:val="000000"/>
                <w:sz w:val="24"/>
                <w:szCs w:val="24"/>
                <w:u w:val="single"/>
              </w:rPr>
              <w:t>2</w:t>
            </w:r>
            <w:r>
              <w:rPr>
                <w:rFonts w:hint="eastAsia"/>
                <w:color w:val="000000"/>
                <w:sz w:val="24"/>
                <w:szCs w:val="24"/>
                <w:u w:val="single"/>
                <w:lang w:val="en-US" w:eastAsia="zh-CN"/>
              </w:rPr>
              <w:t>4</w:t>
            </w:r>
            <w:r>
              <w:rPr>
                <w:color w:val="000000"/>
                <w:sz w:val="24"/>
                <w:szCs w:val="24"/>
              </w:rPr>
              <w:t>分</w:t>
            </w:r>
            <w:r>
              <w:rPr>
                <w:rFonts w:hint="eastAsia"/>
                <w:color w:val="000000"/>
                <w:sz w:val="24"/>
                <w:szCs w:val="24"/>
                <w:u w:val="single"/>
                <w:lang w:val="en-US" w:eastAsia="zh-CN"/>
              </w:rPr>
              <w:t>52.763</w:t>
            </w:r>
            <w:r>
              <w:rPr>
                <w:color w:val="000000"/>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国民经济</w:t>
            </w:r>
          </w:p>
          <w:p>
            <w:pPr>
              <w:jc w:val="center"/>
              <w:rPr>
                <w:rFonts w:hAnsi="宋体"/>
                <w:color w:val="000000"/>
                <w:sz w:val="24"/>
                <w:szCs w:val="24"/>
              </w:rPr>
            </w:pPr>
            <w:r>
              <w:rPr>
                <w:rFonts w:hint="eastAsia" w:hAnsi="宋体"/>
                <w:color w:val="000000"/>
                <w:sz w:val="24"/>
                <w:szCs w:val="24"/>
              </w:rPr>
              <w:t>行业分类</w:t>
            </w:r>
          </w:p>
        </w:tc>
        <w:tc>
          <w:tcPr>
            <w:tcW w:w="2827" w:type="dxa"/>
            <w:tcBorders>
              <w:tl2br w:val="nil"/>
              <w:tr2bl w:val="nil"/>
            </w:tcBorders>
            <w:vAlign w:val="center"/>
          </w:tcPr>
          <w:p>
            <w:pPr>
              <w:jc w:val="center"/>
              <w:rPr>
                <w:color w:val="000000"/>
                <w:sz w:val="24"/>
                <w:szCs w:val="24"/>
              </w:rPr>
            </w:pPr>
            <w:r>
              <w:rPr>
                <w:rFonts w:hint="eastAsia"/>
                <w:color w:val="000000"/>
                <w:sz w:val="24"/>
                <w:szCs w:val="24"/>
              </w:rPr>
              <w:t>N7724危险废物治理</w:t>
            </w:r>
          </w:p>
        </w:tc>
        <w:tc>
          <w:tcPr>
            <w:tcW w:w="1938" w:type="dxa"/>
            <w:tcBorders>
              <w:tl2br w:val="nil"/>
              <w:tr2bl w:val="nil"/>
            </w:tcBorders>
            <w:vAlign w:val="center"/>
          </w:tcPr>
          <w:p>
            <w:pPr>
              <w:jc w:val="center"/>
              <w:rPr>
                <w:color w:val="000000"/>
                <w:sz w:val="24"/>
                <w:szCs w:val="24"/>
              </w:rPr>
            </w:pPr>
            <w:r>
              <w:rPr>
                <w:rFonts w:hint="eastAsia"/>
                <w:color w:val="000000"/>
                <w:sz w:val="24"/>
                <w:szCs w:val="24"/>
              </w:rPr>
              <w:t>建设项目</w:t>
            </w:r>
          </w:p>
          <w:p>
            <w:pPr>
              <w:jc w:val="center"/>
              <w:rPr>
                <w:color w:val="000000"/>
                <w:sz w:val="24"/>
                <w:szCs w:val="24"/>
              </w:rPr>
            </w:pPr>
            <w:r>
              <w:rPr>
                <w:rFonts w:hint="eastAsia"/>
                <w:color w:val="000000"/>
                <w:sz w:val="24"/>
                <w:szCs w:val="24"/>
              </w:rPr>
              <w:t>行业类别</w:t>
            </w:r>
          </w:p>
        </w:tc>
        <w:tc>
          <w:tcPr>
            <w:tcW w:w="3025" w:type="dxa"/>
            <w:tcBorders>
              <w:tl2br w:val="nil"/>
              <w:tr2bl w:val="nil"/>
            </w:tcBorders>
            <w:vAlign w:val="center"/>
          </w:tcPr>
          <w:p>
            <w:pPr>
              <w:jc w:val="center"/>
              <w:rPr>
                <w:rFonts w:hint="default" w:eastAsia="宋体"/>
                <w:color w:val="000000"/>
                <w:sz w:val="24"/>
                <w:szCs w:val="24"/>
                <w:lang w:val="en-US" w:eastAsia="zh-CN"/>
              </w:rPr>
            </w:pPr>
            <w:r>
              <w:rPr>
                <w:rFonts w:hint="eastAsia"/>
                <w:color w:val="000000"/>
                <w:sz w:val="24"/>
                <w:szCs w:val="24"/>
                <w:lang w:val="en-US" w:eastAsia="zh-CN"/>
              </w:rPr>
              <w:t>四十七、生态保护和环境治理业101危险废物（不含医疗废物）利用及处置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建设性质</w:t>
            </w:r>
          </w:p>
        </w:tc>
        <w:tc>
          <w:tcPr>
            <w:tcW w:w="2827" w:type="dxa"/>
            <w:tcBorders>
              <w:tl2br w:val="nil"/>
              <w:tr2bl w:val="nil"/>
            </w:tcBorders>
            <w:vAlign w:val="center"/>
          </w:tcPr>
          <w:p>
            <w:pPr>
              <w:jc w:val="left"/>
              <w:rPr>
                <w:color w:val="000000"/>
                <w:sz w:val="24"/>
                <w:szCs w:val="24"/>
              </w:rPr>
            </w:pPr>
            <w:r>
              <w:rPr>
                <w:color w:val="000000"/>
                <w:sz w:val="24"/>
                <w:szCs w:val="24"/>
              </w:rPr>
              <w:sym w:font="Wingdings 2" w:char="0052"/>
            </w:r>
            <w:r>
              <w:rPr>
                <w:color w:val="000000"/>
                <w:sz w:val="24"/>
                <w:szCs w:val="24"/>
              </w:rPr>
              <w:t>新建（迁建）</w:t>
            </w:r>
          </w:p>
          <w:p>
            <w:pPr>
              <w:jc w:val="left"/>
              <w:rPr>
                <w:color w:val="000000"/>
                <w:sz w:val="24"/>
                <w:szCs w:val="24"/>
              </w:rPr>
            </w:pPr>
            <w:r>
              <w:rPr>
                <w:color w:val="000000"/>
                <w:sz w:val="24"/>
                <w:szCs w:val="24"/>
              </w:rPr>
              <w:t>□改建</w:t>
            </w:r>
          </w:p>
          <w:p>
            <w:pPr>
              <w:jc w:val="left"/>
              <w:rPr>
                <w:color w:val="000000"/>
                <w:sz w:val="24"/>
                <w:szCs w:val="24"/>
              </w:rPr>
            </w:pPr>
            <w:r>
              <w:rPr>
                <w:color w:val="000000"/>
                <w:sz w:val="24"/>
                <w:szCs w:val="24"/>
              </w:rPr>
              <w:t>□</w:t>
            </w:r>
            <w:r>
              <w:rPr>
                <w:rFonts w:hint="eastAsia"/>
                <w:color w:val="000000"/>
                <w:sz w:val="24"/>
                <w:szCs w:val="24"/>
              </w:rPr>
              <w:t>扩</w:t>
            </w:r>
            <w:r>
              <w:rPr>
                <w:color w:val="000000"/>
                <w:sz w:val="24"/>
                <w:szCs w:val="24"/>
              </w:rPr>
              <w:t>建</w:t>
            </w:r>
          </w:p>
          <w:p>
            <w:pPr>
              <w:jc w:val="left"/>
              <w:rPr>
                <w:color w:val="000000"/>
                <w:sz w:val="24"/>
                <w:szCs w:val="24"/>
              </w:rPr>
            </w:pPr>
            <w:r>
              <w:rPr>
                <w:color w:val="000000"/>
                <w:sz w:val="24"/>
                <w:szCs w:val="24"/>
              </w:rPr>
              <w:t>□技术改造</w:t>
            </w:r>
          </w:p>
        </w:tc>
        <w:tc>
          <w:tcPr>
            <w:tcW w:w="1938" w:type="dxa"/>
            <w:tcBorders>
              <w:tl2br w:val="nil"/>
              <w:tr2bl w:val="nil"/>
            </w:tcBorders>
            <w:vAlign w:val="center"/>
          </w:tcPr>
          <w:p>
            <w:pPr>
              <w:jc w:val="center"/>
              <w:rPr>
                <w:color w:val="000000"/>
                <w:sz w:val="24"/>
                <w:szCs w:val="24"/>
              </w:rPr>
            </w:pPr>
            <w:r>
              <w:rPr>
                <w:color w:val="000000"/>
                <w:sz w:val="24"/>
                <w:szCs w:val="24"/>
              </w:rPr>
              <w:t>建设项目</w:t>
            </w:r>
          </w:p>
          <w:p>
            <w:pPr>
              <w:jc w:val="center"/>
              <w:rPr>
                <w:color w:val="000000"/>
                <w:sz w:val="24"/>
                <w:szCs w:val="24"/>
              </w:rPr>
            </w:pPr>
            <w:r>
              <w:rPr>
                <w:color w:val="000000"/>
                <w:sz w:val="24"/>
                <w:szCs w:val="24"/>
              </w:rPr>
              <w:t>申报情形</w:t>
            </w:r>
          </w:p>
        </w:tc>
        <w:tc>
          <w:tcPr>
            <w:tcW w:w="3025" w:type="dxa"/>
            <w:tcBorders>
              <w:tl2br w:val="nil"/>
              <w:tr2bl w:val="nil"/>
            </w:tcBorders>
            <w:vAlign w:val="center"/>
          </w:tcPr>
          <w:p>
            <w:pPr>
              <w:jc w:val="left"/>
              <w:rPr>
                <w:color w:val="000000"/>
                <w:sz w:val="24"/>
                <w:szCs w:val="24"/>
              </w:rPr>
            </w:pPr>
            <w:r>
              <w:rPr>
                <w:color w:val="000000"/>
                <w:sz w:val="24"/>
                <w:szCs w:val="24"/>
              </w:rPr>
              <w:sym w:font="Wingdings 2" w:char="0052"/>
            </w:r>
            <w:r>
              <w:rPr>
                <w:color w:val="000000"/>
                <w:sz w:val="24"/>
                <w:szCs w:val="24"/>
              </w:rPr>
              <w:t>首次申报项目</w:t>
            </w:r>
          </w:p>
          <w:p>
            <w:pPr>
              <w:jc w:val="left"/>
              <w:rPr>
                <w:color w:val="000000"/>
                <w:sz w:val="24"/>
                <w:szCs w:val="24"/>
              </w:rPr>
            </w:pPr>
            <w:r>
              <w:rPr>
                <w:color w:val="000000"/>
                <w:sz w:val="24"/>
                <w:szCs w:val="24"/>
              </w:rPr>
              <w:t>□不予批准后再次申报项目</w:t>
            </w:r>
          </w:p>
          <w:p>
            <w:pPr>
              <w:jc w:val="left"/>
              <w:rPr>
                <w:color w:val="000000"/>
                <w:sz w:val="24"/>
                <w:szCs w:val="24"/>
              </w:rPr>
            </w:pPr>
            <w:r>
              <w:rPr>
                <w:color w:val="000000"/>
                <w:sz w:val="24"/>
                <w:szCs w:val="24"/>
              </w:rPr>
              <w:t>□超五年重新审核项目</w:t>
            </w:r>
          </w:p>
          <w:p>
            <w:pPr>
              <w:jc w:val="left"/>
              <w:rPr>
                <w:color w:val="000000"/>
                <w:sz w:val="24"/>
                <w:szCs w:val="24"/>
              </w:rPr>
            </w:pPr>
            <w:r>
              <w:rPr>
                <w:color w:val="000000"/>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项目审批（核准</w:t>
            </w:r>
            <w:r>
              <w:rPr>
                <w:rFonts w:hAnsi="宋体"/>
                <w:color w:val="000000"/>
                <w:sz w:val="24"/>
                <w:szCs w:val="24"/>
              </w:rPr>
              <w:t>/</w:t>
            </w:r>
            <w:r>
              <w:rPr>
                <w:rFonts w:hint="eastAsia" w:hAnsi="宋体"/>
                <w:color w:val="000000"/>
                <w:sz w:val="24"/>
                <w:szCs w:val="24"/>
              </w:rPr>
              <w:t>备案）部门</w:t>
            </w:r>
          </w:p>
        </w:tc>
        <w:tc>
          <w:tcPr>
            <w:tcW w:w="2827" w:type="dxa"/>
            <w:tcBorders>
              <w:tl2br w:val="nil"/>
              <w:tr2bl w:val="nil"/>
            </w:tcBorders>
            <w:vAlign w:val="center"/>
          </w:tcPr>
          <w:p>
            <w:pPr>
              <w:jc w:val="center"/>
              <w:rPr>
                <w:color w:val="000000"/>
                <w:sz w:val="24"/>
                <w:szCs w:val="24"/>
              </w:rPr>
            </w:pPr>
            <w:r>
              <w:rPr>
                <w:rFonts w:hint="eastAsia"/>
                <w:sz w:val="24"/>
              </w:rPr>
              <w:t>新乡市凤泉区发展和改革委员会</w:t>
            </w:r>
          </w:p>
        </w:tc>
        <w:tc>
          <w:tcPr>
            <w:tcW w:w="1938" w:type="dxa"/>
            <w:tcBorders>
              <w:tl2br w:val="nil"/>
              <w:tr2bl w:val="nil"/>
            </w:tcBorders>
            <w:vAlign w:val="center"/>
          </w:tcPr>
          <w:p>
            <w:pPr>
              <w:jc w:val="center"/>
              <w:rPr>
                <w:color w:val="000000"/>
                <w:sz w:val="24"/>
                <w:szCs w:val="24"/>
              </w:rPr>
            </w:pPr>
            <w:r>
              <w:rPr>
                <w:color w:val="000000"/>
                <w:sz w:val="24"/>
                <w:szCs w:val="24"/>
              </w:rPr>
              <w:t>项目审批（核准/</w:t>
            </w:r>
          </w:p>
          <w:p>
            <w:pPr>
              <w:jc w:val="center"/>
              <w:rPr>
                <w:color w:val="000000"/>
                <w:sz w:val="24"/>
                <w:szCs w:val="24"/>
              </w:rPr>
            </w:pPr>
            <w:r>
              <w:rPr>
                <w:color w:val="000000"/>
                <w:sz w:val="24"/>
                <w:szCs w:val="24"/>
              </w:rPr>
              <w:t>备案）文号（选填）</w:t>
            </w:r>
          </w:p>
        </w:tc>
        <w:tc>
          <w:tcPr>
            <w:tcW w:w="3025" w:type="dxa"/>
            <w:tcBorders>
              <w:tl2br w:val="nil"/>
              <w:tr2bl w:val="nil"/>
            </w:tcBorders>
            <w:vAlign w:val="center"/>
          </w:tcPr>
          <w:p>
            <w:pPr>
              <w:jc w:val="center"/>
              <w:rPr>
                <w:color w:val="000000"/>
                <w:sz w:val="24"/>
                <w:szCs w:val="24"/>
              </w:rPr>
            </w:pPr>
            <w:r>
              <w:rPr>
                <w:rFonts w:hint="eastAsia"/>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总投资（万元）</w:t>
            </w:r>
          </w:p>
        </w:tc>
        <w:tc>
          <w:tcPr>
            <w:tcW w:w="2827" w:type="dxa"/>
            <w:tcBorders>
              <w:tl2br w:val="nil"/>
              <w:tr2bl w:val="nil"/>
            </w:tcBorders>
            <w:vAlign w:val="center"/>
          </w:tcPr>
          <w:p>
            <w:pPr>
              <w:jc w:val="center"/>
              <w:rPr>
                <w:color w:val="000000"/>
                <w:sz w:val="24"/>
                <w:szCs w:val="24"/>
              </w:rPr>
            </w:pPr>
            <w:r>
              <w:rPr>
                <w:rFonts w:hint="eastAsia"/>
                <w:color w:val="000000"/>
                <w:sz w:val="24"/>
                <w:szCs w:val="24"/>
                <w:lang w:val="en-US" w:eastAsia="zh-CN"/>
              </w:rPr>
              <w:t>2</w:t>
            </w:r>
            <w:r>
              <w:rPr>
                <w:rFonts w:hint="eastAsia"/>
                <w:color w:val="000000"/>
                <w:sz w:val="24"/>
                <w:szCs w:val="24"/>
              </w:rPr>
              <w:t>00</w:t>
            </w:r>
          </w:p>
        </w:tc>
        <w:tc>
          <w:tcPr>
            <w:tcW w:w="1938" w:type="dxa"/>
            <w:tcBorders>
              <w:tl2br w:val="nil"/>
              <w:tr2bl w:val="nil"/>
            </w:tcBorders>
            <w:vAlign w:val="center"/>
          </w:tcPr>
          <w:p>
            <w:pPr>
              <w:jc w:val="center"/>
              <w:rPr>
                <w:color w:val="000000"/>
                <w:sz w:val="24"/>
                <w:szCs w:val="24"/>
              </w:rPr>
            </w:pPr>
            <w:r>
              <w:rPr>
                <w:color w:val="000000"/>
                <w:sz w:val="24"/>
                <w:szCs w:val="24"/>
              </w:rPr>
              <w:t>环保投资（万元）</w:t>
            </w:r>
          </w:p>
        </w:tc>
        <w:tc>
          <w:tcPr>
            <w:tcW w:w="3025" w:type="dxa"/>
            <w:tcBorders>
              <w:tl2br w:val="nil"/>
              <w:tr2bl w:val="nil"/>
            </w:tcBorders>
            <w:vAlign w:val="center"/>
          </w:tcPr>
          <w:p>
            <w:pPr>
              <w:jc w:val="center"/>
              <w:rPr>
                <w:rFonts w:hint="default" w:eastAsia="宋体"/>
                <w:color w:val="000000"/>
                <w:sz w:val="24"/>
                <w:szCs w:val="24"/>
                <w:lang w:val="en-US" w:eastAsia="zh-CN"/>
              </w:rPr>
            </w:pPr>
            <w:r>
              <w:rPr>
                <w:rFonts w:hint="eastAsia"/>
                <w:color w:val="000000"/>
                <w:sz w:val="24"/>
                <w:szCs w:val="24"/>
                <w:lang w:val="en-US" w:eastAsia="zh-CN"/>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环保投资占比（</w:t>
            </w:r>
            <w:r>
              <w:rPr>
                <w:rFonts w:hAnsi="宋体"/>
                <w:color w:val="000000"/>
                <w:sz w:val="24"/>
                <w:szCs w:val="24"/>
              </w:rPr>
              <w:t>%</w:t>
            </w:r>
            <w:r>
              <w:rPr>
                <w:rFonts w:hint="eastAsia" w:hAnsi="宋体"/>
                <w:color w:val="000000"/>
                <w:sz w:val="24"/>
                <w:szCs w:val="24"/>
              </w:rPr>
              <w:t>）</w:t>
            </w:r>
          </w:p>
        </w:tc>
        <w:tc>
          <w:tcPr>
            <w:tcW w:w="2827" w:type="dxa"/>
            <w:tcBorders>
              <w:tl2br w:val="nil"/>
              <w:tr2bl w:val="nil"/>
            </w:tcBorders>
            <w:vAlign w:val="center"/>
          </w:tcPr>
          <w:p>
            <w:pPr>
              <w:jc w:val="center"/>
              <w:rPr>
                <w:color w:val="000000"/>
                <w:sz w:val="24"/>
                <w:szCs w:val="24"/>
              </w:rPr>
            </w:pPr>
            <w:r>
              <w:rPr>
                <w:rFonts w:hint="eastAsia"/>
                <w:color w:val="000000"/>
                <w:sz w:val="24"/>
                <w:szCs w:val="24"/>
                <w:lang w:val="en-US" w:eastAsia="zh-CN"/>
              </w:rPr>
              <w:t>25</w:t>
            </w:r>
            <w:r>
              <w:rPr>
                <w:color w:val="000000"/>
                <w:sz w:val="24"/>
                <w:szCs w:val="24"/>
              </w:rPr>
              <w:t>%</w:t>
            </w:r>
          </w:p>
        </w:tc>
        <w:tc>
          <w:tcPr>
            <w:tcW w:w="1938" w:type="dxa"/>
            <w:tcBorders>
              <w:tl2br w:val="nil"/>
              <w:tr2bl w:val="nil"/>
            </w:tcBorders>
            <w:vAlign w:val="center"/>
          </w:tcPr>
          <w:p>
            <w:pPr>
              <w:jc w:val="center"/>
              <w:rPr>
                <w:color w:val="000000"/>
                <w:sz w:val="24"/>
                <w:szCs w:val="24"/>
              </w:rPr>
            </w:pPr>
            <w:r>
              <w:rPr>
                <w:color w:val="000000"/>
                <w:sz w:val="24"/>
                <w:szCs w:val="24"/>
              </w:rPr>
              <w:t>施工工期</w:t>
            </w:r>
          </w:p>
        </w:tc>
        <w:tc>
          <w:tcPr>
            <w:tcW w:w="3025" w:type="dxa"/>
            <w:tcBorders>
              <w:tl2br w:val="nil"/>
              <w:tr2bl w:val="nil"/>
            </w:tcBorders>
            <w:vAlign w:val="center"/>
          </w:tcPr>
          <w:p>
            <w:pPr>
              <w:jc w:val="center"/>
              <w:rPr>
                <w:color w:val="000000"/>
                <w:sz w:val="24"/>
                <w:szCs w:val="24"/>
                <w:highlight w:val="yellow"/>
              </w:rPr>
            </w:pPr>
            <w:r>
              <w:rPr>
                <w:rFonts w:hint="eastAsia"/>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是否开工建设</w:t>
            </w:r>
          </w:p>
        </w:tc>
        <w:tc>
          <w:tcPr>
            <w:tcW w:w="2827" w:type="dxa"/>
            <w:tcBorders>
              <w:tl2br w:val="nil"/>
              <w:tr2bl w:val="nil"/>
            </w:tcBorders>
            <w:vAlign w:val="center"/>
          </w:tcPr>
          <w:p>
            <w:pPr>
              <w:jc w:val="center"/>
              <w:rPr>
                <w:color w:val="000000"/>
                <w:sz w:val="24"/>
                <w:szCs w:val="24"/>
              </w:rPr>
            </w:pPr>
            <w:r>
              <w:rPr>
                <w:color w:val="000000"/>
                <w:sz w:val="24"/>
                <w:szCs w:val="24"/>
              </w:rPr>
              <w:sym w:font="Wingdings 2" w:char="0052"/>
            </w:r>
            <w:r>
              <w:rPr>
                <w:color w:val="000000"/>
                <w:sz w:val="24"/>
                <w:szCs w:val="24"/>
              </w:rPr>
              <w:t>否</w:t>
            </w:r>
          </w:p>
          <w:p>
            <w:pPr>
              <w:jc w:val="center"/>
              <w:rPr>
                <w:color w:val="000000"/>
                <w:sz w:val="24"/>
                <w:szCs w:val="24"/>
                <w:highlight w:val="yellow"/>
              </w:rPr>
            </w:pPr>
            <w:r>
              <w:rPr>
                <w:color w:val="000000"/>
                <w:sz w:val="24"/>
                <w:szCs w:val="24"/>
              </w:rPr>
              <w:t>□是</w:t>
            </w:r>
          </w:p>
        </w:tc>
        <w:tc>
          <w:tcPr>
            <w:tcW w:w="1938" w:type="dxa"/>
            <w:tcBorders>
              <w:tl2br w:val="nil"/>
              <w:tr2bl w:val="nil"/>
            </w:tcBorders>
            <w:vAlign w:val="center"/>
          </w:tcPr>
          <w:p>
            <w:pPr>
              <w:jc w:val="center"/>
              <w:rPr>
                <w:color w:val="000000"/>
                <w:sz w:val="24"/>
                <w:szCs w:val="24"/>
              </w:rPr>
            </w:pPr>
            <w:r>
              <w:rPr>
                <w:color w:val="000000"/>
                <w:sz w:val="24"/>
                <w:szCs w:val="24"/>
              </w:rPr>
              <w:t>用地（用海）</w:t>
            </w:r>
          </w:p>
          <w:p>
            <w:pPr>
              <w:jc w:val="center"/>
              <w:rPr>
                <w:color w:val="000000"/>
                <w:sz w:val="24"/>
                <w:szCs w:val="24"/>
              </w:rPr>
            </w:pPr>
            <w:r>
              <w:rPr>
                <w:color w:val="000000"/>
                <w:sz w:val="24"/>
                <w:szCs w:val="24"/>
              </w:rPr>
              <w:t>面积（m</w:t>
            </w:r>
            <w:r>
              <w:rPr>
                <w:color w:val="000000"/>
                <w:sz w:val="24"/>
                <w:szCs w:val="24"/>
                <w:vertAlign w:val="superscript"/>
              </w:rPr>
              <w:t>2</w:t>
            </w:r>
            <w:r>
              <w:rPr>
                <w:color w:val="000000"/>
                <w:sz w:val="24"/>
                <w:szCs w:val="24"/>
              </w:rPr>
              <w:t>）</w:t>
            </w:r>
          </w:p>
        </w:tc>
        <w:tc>
          <w:tcPr>
            <w:tcW w:w="3025" w:type="dxa"/>
            <w:tcBorders>
              <w:tl2br w:val="nil"/>
              <w:tr2bl w:val="nil"/>
            </w:tcBorders>
            <w:vAlign w:val="center"/>
          </w:tcPr>
          <w:p>
            <w:pPr>
              <w:jc w:val="center"/>
              <w:rPr>
                <w:color w:val="000000"/>
                <w:sz w:val="24"/>
                <w:szCs w:val="24"/>
                <w:highlight w:val="yellow"/>
              </w:rPr>
            </w:pPr>
            <w:r>
              <w:rPr>
                <w:rFonts w:hint="eastAsia"/>
                <w:color w:val="000000"/>
                <w:sz w:val="24"/>
                <w:szCs w:val="24"/>
                <w:lang w:val="en-US" w:eastAsia="zh-CN"/>
              </w:rPr>
              <w:t>26</w:t>
            </w:r>
            <w:r>
              <w:rPr>
                <w:rFonts w:hint="eastAsia"/>
                <w:color w:val="000000"/>
                <w:sz w:val="24"/>
                <w:szCs w:val="24"/>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专项评价设置情况</w:t>
            </w:r>
          </w:p>
        </w:tc>
        <w:tc>
          <w:tcPr>
            <w:tcW w:w="7790" w:type="dxa"/>
            <w:gridSpan w:val="3"/>
            <w:tcBorders>
              <w:tl2br w:val="nil"/>
              <w:tr2bl w:val="nil"/>
            </w:tcBorders>
            <w:vAlign w:val="center"/>
          </w:tcPr>
          <w:p>
            <w:pPr>
              <w:jc w:val="center"/>
              <w:rPr>
                <w:color w:val="000000"/>
                <w:sz w:val="24"/>
                <w:szCs w:val="24"/>
                <w:highlight w:val="yellow"/>
              </w:rPr>
            </w:pPr>
            <w:r>
              <w:rPr>
                <w:rFonts w:hint="eastAsia"/>
                <w:color w:val="000000"/>
                <w:sz w:val="24"/>
                <w:szCs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规划情况</w:t>
            </w:r>
          </w:p>
        </w:tc>
        <w:tc>
          <w:tcPr>
            <w:tcW w:w="7790" w:type="dxa"/>
            <w:gridSpan w:val="3"/>
            <w:tcBorders>
              <w:tl2br w:val="nil"/>
              <w:tr2bl w:val="nil"/>
            </w:tcBorders>
            <w:vAlign w:val="center"/>
          </w:tcPr>
          <w:p>
            <w:pPr>
              <w:spacing w:line="440" w:lineRule="exact"/>
              <w:jc w:val="both"/>
              <w:rPr>
                <w:rFonts w:hint="eastAsia" w:eastAsia="宋体"/>
                <w:color w:val="000000"/>
                <w:sz w:val="24"/>
                <w:szCs w:val="24"/>
                <w:lang w:val="en-US" w:eastAsia="zh-CN"/>
              </w:rPr>
            </w:pPr>
            <w:r>
              <w:rPr>
                <w:rFonts w:hint="eastAsia"/>
                <w:color w:val="000000"/>
                <w:sz w:val="24"/>
                <w:szCs w:val="24"/>
                <w:lang w:eastAsia="zh-CN"/>
              </w:rPr>
              <w:t>（</w:t>
            </w:r>
            <w:r>
              <w:rPr>
                <w:rFonts w:hint="eastAsia"/>
                <w:color w:val="000000"/>
                <w:sz w:val="24"/>
                <w:szCs w:val="24"/>
                <w:lang w:val="en-US" w:eastAsia="zh-CN"/>
              </w:rPr>
              <w:t>1）</w:t>
            </w:r>
            <w:r>
              <w:rPr>
                <w:rFonts w:hint="eastAsia"/>
                <w:color w:val="000000"/>
                <w:sz w:val="24"/>
                <w:szCs w:val="24"/>
              </w:rPr>
              <w:t>规划</w:t>
            </w:r>
            <w:r>
              <w:rPr>
                <w:rFonts w:hint="eastAsia"/>
                <w:color w:val="000000"/>
                <w:sz w:val="24"/>
                <w:szCs w:val="24"/>
                <w:lang w:val="en-US" w:eastAsia="zh-CN"/>
              </w:rPr>
              <w:t>名称：</w:t>
            </w:r>
            <w:r>
              <w:rPr>
                <w:rFonts w:hint="eastAsia"/>
                <w:color w:val="000000"/>
                <w:sz w:val="24"/>
                <w:szCs w:val="24"/>
              </w:rPr>
              <w:t>新乡市动力电池专业园区发展规划（2017-2020）</w:t>
            </w:r>
          </w:p>
          <w:p>
            <w:pPr>
              <w:spacing w:line="440" w:lineRule="exact"/>
              <w:jc w:val="both"/>
              <w:rPr>
                <w:rFonts w:hint="default" w:eastAsia="宋体"/>
                <w:color w:val="000000"/>
                <w:sz w:val="24"/>
                <w:szCs w:val="24"/>
                <w:lang w:val="en-US" w:eastAsia="zh-CN"/>
              </w:rPr>
            </w:pPr>
            <w:r>
              <w:rPr>
                <w:rFonts w:hint="eastAsia"/>
                <w:color w:val="000000"/>
                <w:sz w:val="24"/>
                <w:szCs w:val="24"/>
                <w:lang w:eastAsia="zh-CN"/>
              </w:rPr>
              <w:t>（</w:t>
            </w:r>
            <w:r>
              <w:rPr>
                <w:rFonts w:hint="eastAsia"/>
                <w:color w:val="000000"/>
                <w:sz w:val="24"/>
                <w:szCs w:val="24"/>
                <w:lang w:val="en-US" w:eastAsia="zh-CN"/>
              </w:rPr>
              <w:t>2）审批机关：新乡市人民政府</w:t>
            </w:r>
          </w:p>
          <w:p>
            <w:pPr>
              <w:spacing w:line="440" w:lineRule="exact"/>
              <w:jc w:val="both"/>
              <w:rPr>
                <w:color w:val="000000"/>
                <w:sz w:val="24"/>
                <w:szCs w:val="24"/>
                <w:highlight w:val="yellow"/>
              </w:rPr>
            </w:pPr>
            <w:r>
              <w:rPr>
                <w:rFonts w:hint="eastAsia"/>
                <w:color w:val="000000"/>
                <w:sz w:val="24"/>
                <w:szCs w:val="24"/>
                <w:lang w:eastAsia="zh-CN"/>
              </w:rPr>
              <w:t>（</w:t>
            </w:r>
            <w:r>
              <w:rPr>
                <w:rFonts w:hint="eastAsia"/>
                <w:color w:val="000000"/>
                <w:sz w:val="24"/>
                <w:szCs w:val="24"/>
                <w:lang w:val="en-US" w:eastAsia="zh-CN"/>
              </w:rPr>
              <w:t>3）审批文件名称：新政文（2017）131号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规划环境影响评价情况</w:t>
            </w:r>
          </w:p>
        </w:tc>
        <w:tc>
          <w:tcPr>
            <w:tcW w:w="7790" w:type="dxa"/>
            <w:gridSpan w:val="3"/>
            <w:tcBorders>
              <w:tl2br w:val="nil"/>
              <w:tr2bl w:val="nil"/>
            </w:tcBorders>
            <w:vAlign w:val="center"/>
          </w:tcPr>
          <w:p>
            <w:pPr>
              <w:spacing w:line="440" w:lineRule="exact"/>
              <w:jc w:val="both"/>
              <w:rPr>
                <w:color w:val="000000"/>
                <w:sz w:val="24"/>
                <w:szCs w:val="24"/>
              </w:rPr>
            </w:pPr>
            <w:r>
              <w:rPr>
                <w:rFonts w:hint="eastAsia"/>
                <w:color w:val="000000"/>
                <w:sz w:val="24"/>
                <w:szCs w:val="24"/>
              </w:rPr>
              <w:t>文件</w:t>
            </w:r>
            <w:r>
              <w:rPr>
                <w:rFonts w:hint="eastAsia"/>
                <w:color w:val="000000"/>
                <w:sz w:val="24"/>
                <w:szCs w:val="24"/>
                <w:lang w:val="en-US" w:eastAsia="zh-CN"/>
              </w:rPr>
              <w:t>名称</w:t>
            </w:r>
            <w:r>
              <w:rPr>
                <w:rFonts w:hint="eastAsia"/>
                <w:color w:val="000000"/>
                <w:sz w:val="24"/>
                <w:szCs w:val="24"/>
                <w:lang w:eastAsia="zh-CN"/>
              </w:rPr>
              <w:t>：</w:t>
            </w:r>
            <w:r>
              <w:rPr>
                <w:rFonts w:hint="eastAsia"/>
                <w:color w:val="000000"/>
                <w:sz w:val="24"/>
                <w:szCs w:val="24"/>
              </w:rPr>
              <w:t>《新乡市动力电池专业园区发展规划（2017-2020）环境影响报告书》；审</w:t>
            </w:r>
            <w:r>
              <w:rPr>
                <w:rFonts w:hint="eastAsia"/>
                <w:color w:val="000000"/>
                <w:sz w:val="24"/>
                <w:szCs w:val="24"/>
                <w:lang w:val="en-US" w:eastAsia="zh-CN"/>
              </w:rPr>
              <w:t>批</w:t>
            </w:r>
            <w:r>
              <w:rPr>
                <w:rFonts w:hint="eastAsia"/>
                <w:color w:val="000000"/>
                <w:sz w:val="24"/>
                <w:szCs w:val="24"/>
              </w:rPr>
              <w:t>机关：</w:t>
            </w:r>
            <w:r>
              <w:rPr>
                <w:rFonts w:hint="eastAsia"/>
                <w:sz w:val="24"/>
              </w:rPr>
              <w:t>新乡市环保局</w:t>
            </w:r>
            <w:r>
              <w:rPr>
                <w:rFonts w:hint="eastAsia"/>
                <w:color w:val="000000"/>
                <w:sz w:val="24"/>
                <w:szCs w:val="24"/>
              </w:rPr>
              <w:t>；审</w:t>
            </w:r>
            <w:r>
              <w:rPr>
                <w:rFonts w:hint="eastAsia"/>
                <w:color w:val="000000"/>
                <w:sz w:val="24"/>
                <w:szCs w:val="24"/>
                <w:lang w:val="en-US" w:eastAsia="zh-CN"/>
              </w:rPr>
              <w:t>批</w:t>
            </w:r>
            <w:r>
              <w:rPr>
                <w:rFonts w:hint="eastAsia"/>
                <w:color w:val="000000"/>
                <w:sz w:val="24"/>
                <w:szCs w:val="24"/>
              </w:rPr>
              <w:t>文号：新环书审[2019]1号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65" w:hRule="atLeast"/>
          <w:jc w:val="center"/>
        </w:trPr>
        <w:tc>
          <w:tcPr>
            <w:tcW w:w="1295" w:type="dxa"/>
            <w:gridSpan w:val="2"/>
            <w:tcBorders>
              <w:tl2br w:val="nil"/>
              <w:tr2bl w:val="nil"/>
            </w:tcBorders>
            <w:vAlign w:val="center"/>
          </w:tcPr>
          <w:p>
            <w:pPr>
              <w:jc w:val="center"/>
              <w:rPr>
                <w:rFonts w:hAnsi="宋体"/>
                <w:color w:val="000000"/>
                <w:sz w:val="24"/>
                <w:szCs w:val="24"/>
              </w:rPr>
            </w:pPr>
            <w:r>
              <w:rPr>
                <w:rFonts w:hint="eastAsia" w:hAnsi="宋体"/>
                <w:color w:val="000000"/>
                <w:sz w:val="24"/>
                <w:szCs w:val="24"/>
              </w:rPr>
              <w:t>规划及规划环境</w:t>
            </w:r>
          </w:p>
          <w:p>
            <w:pPr>
              <w:jc w:val="center"/>
              <w:rPr>
                <w:rFonts w:hAnsi="宋体"/>
                <w:color w:val="000000"/>
                <w:sz w:val="24"/>
                <w:szCs w:val="24"/>
              </w:rPr>
            </w:pPr>
            <w:r>
              <w:rPr>
                <w:rFonts w:hint="eastAsia" w:hAnsi="宋体"/>
                <w:color w:val="000000"/>
                <w:sz w:val="24"/>
                <w:szCs w:val="24"/>
              </w:rPr>
              <w:t>影响评价符合性分析</w:t>
            </w:r>
          </w:p>
        </w:tc>
        <w:tc>
          <w:tcPr>
            <w:tcW w:w="7790"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both"/>
              <w:textAlignment w:val="auto"/>
              <w:rPr>
                <w:rFonts w:hint="eastAsia"/>
                <w:color w:val="000000"/>
                <w:sz w:val="24"/>
                <w:szCs w:val="24"/>
              </w:rPr>
            </w:pPr>
            <w:r>
              <w:rPr>
                <w:rFonts w:hint="eastAsia"/>
                <w:color w:val="000000"/>
                <w:sz w:val="24"/>
                <w:szCs w:val="24"/>
              </w:rPr>
              <w:t>新乡市动力电池专业园区以动力电池及装备、电源材料及配</w:t>
            </w:r>
            <w:r>
              <w:rPr>
                <w:rFonts w:hint="eastAsia"/>
                <w:color w:val="000000"/>
                <w:sz w:val="24"/>
                <w:szCs w:val="24"/>
                <w:lang w:val="en-US" w:eastAsia="zh-CN"/>
              </w:rPr>
              <w:t>件</w:t>
            </w:r>
            <w:r>
              <w:rPr>
                <w:rFonts w:hint="eastAsia"/>
                <w:color w:val="000000"/>
                <w:sz w:val="24"/>
                <w:szCs w:val="24"/>
              </w:rPr>
              <w:t>为主导产业。</w:t>
            </w:r>
            <w:r>
              <w:rPr>
                <w:color w:val="000000"/>
                <w:sz w:val="24"/>
                <w:szCs w:val="24"/>
              </w:rPr>
              <w:t>本项目位于新乡市动力电池专业园区</w:t>
            </w:r>
            <w:r>
              <w:rPr>
                <w:rFonts w:hint="eastAsia"/>
                <w:color w:val="000000"/>
                <w:sz w:val="24"/>
                <w:szCs w:val="24"/>
              </w:rPr>
              <w:t>西片区</w:t>
            </w:r>
            <w:r>
              <w:rPr>
                <w:color w:val="000000"/>
                <w:sz w:val="24"/>
                <w:szCs w:val="24"/>
              </w:rPr>
              <w:t>，项目与新乡市动力电池专业园区</w:t>
            </w:r>
            <w:r>
              <w:rPr>
                <w:rFonts w:hint="eastAsia"/>
                <w:color w:val="000000"/>
                <w:sz w:val="24"/>
                <w:szCs w:val="24"/>
              </w:rPr>
              <w:t>西片区</w:t>
            </w:r>
            <w:r>
              <w:rPr>
                <w:color w:val="000000"/>
                <w:sz w:val="24"/>
                <w:szCs w:val="24"/>
              </w:rPr>
              <w:t>准入条件对照分析如下。</w:t>
            </w:r>
          </w:p>
          <w:p>
            <w:pPr>
              <w:spacing w:line="460" w:lineRule="exact"/>
              <w:ind w:firstLine="482" w:firstLineChars="20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default" w:ascii="Times New Roman" w:hAnsi="Times New Roman" w:eastAsia="宋体" w:cs="Times New Roman"/>
                <w:b/>
                <w:bCs/>
                <w:color w:val="000000"/>
                <w:sz w:val="24"/>
                <w:szCs w:val="24"/>
                <w:lang w:val="en-US" w:eastAsia="zh-CN"/>
              </w:rPr>
              <w:t>1-1</w:t>
            </w:r>
            <w:r>
              <w:rPr>
                <w:rFonts w:hint="default" w:ascii="Times New Roman" w:hAnsi="Times New Roman" w:eastAsia="宋体" w:cs="Times New Roman"/>
                <w:b/>
                <w:bCs/>
                <w:color w:val="000000"/>
                <w:sz w:val="24"/>
                <w:szCs w:val="24"/>
              </w:rPr>
              <w:t xml:space="preserve"> 项目与动力电池专业园区西片区准入条件对照分析一览表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3412"/>
              <w:gridCol w:w="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8" w:type="dxa"/>
                  <w:tcBorders>
                    <w:tl2br w:val="nil"/>
                    <w:tr2bl w:val="nil"/>
                  </w:tcBorders>
                  <w:noWrap w:val="0"/>
                  <w:vAlign w:val="center"/>
                </w:tcPr>
                <w:p>
                  <w:pPr>
                    <w:adjustRightInd w:val="0"/>
                    <w:snapToGrid w:val="0"/>
                    <w:jc w:val="center"/>
                    <w:rPr>
                      <w:b/>
                      <w:color w:val="000000"/>
                      <w:sz w:val="21"/>
                      <w:szCs w:val="21"/>
                    </w:rPr>
                  </w:pPr>
                  <w:r>
                    <w:rPr>
                      <w:b/>
                      <w:color w:val="000000"/>
                      <w:sz w:val="21"/>
                      <w:szCs w:val="21"/>
                    </w:rPr>
                    <w:t>园区规划</w:t>
                  </w:r>
                </w:p>
              </w:tc>
              <w:tc>
                <w:tcPr>
                  <w:tcW w:w="3412" w:type="dxa"/>
                  <w:tcBorders>
                    <w:tl2br w:val="nil"/>
                    <w:tr2bl w:val="nil"/>
                  </w:tcBorders>
                  <w:noWrap w:val="0"/>
                  <w:vAlign w:val="center"/>
                </w:tcPr>
                <w:p>
                  <w:pPr>
                    <w:adjustRightInd w:val="0"/>
                    <w:snapToGrid w:val="0"/>
                    <w:jc w:val="center"/>
                    <w:rPr>
                      <w:b/>
                      <w:color w:val="000000"/>
                      <w:sz w:val="21"/>
                      <w:szCs w:val="21"/>
                    </w:rPr>
                  </w:pPr>
                  <w:r>
                    <w:rPr>
                      <w:b/>
                      <w:color w:val="000000"/>
                      <w:sz w:val="21"/>
                      <w:szCs w:val="21"/>
                    </w:rPr>
                    <w:t>本项目情况</w:t>
                  </w:r>
                </w:p>
              </w:tc>
              <w:tc>
                <w:tcPr>
                  <w:tcW w:w="704" w:type="dxa"/>
                  <w:tcBorders>
                    <w:tl2br w:val="nil"/>
                    <w:tr2bl w:val="nil"/>
                  </w:tcBorders>
                  <w:noWrap w:val="0"/>
                  <w:vAlign w:val="center"/>
                </w:tcPr>
                <w:p>
                  <w:pPr>
                    <w:adjustRightInd w:val="0"/>
                    <w:snapToGrid w:val="0"/>
                    <w:jc w:val="center"/>
                    <w:rPr>
                      <w:b/>
                      <w:color w:val="000000"/>
                      <w:sz w:val="21"/>
                      <w:szCs w:val="21"/>
                    </w:rPr>
                  </w:pPr>
                  <w:r>
                    <w:rPr>
                      <w:b/>
                      <w:color w:val="00000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8" w:type="dxa"/>
                  <w:tcBorders>
                    <w:tl2br w:val="nil"/>
                    <w:tr2bl w:val="nil"/>
                  </w:tcBorders>
                  <w:noWrap w:val="0"/>
                  <w:vAlign w:val="center"/>
                </w:tcPr>
                <w:p>
                  <w:pPr>
                    <w:adjustRightInd w:val="0"/>
                    <w:snapToGrid w:val="0"/>
                    <w:jc w:val="center"/>
                    <w:rPr>
                      <w:sz w:val="21"/>
                      <w:szCs w:val="21"/>
                    </w:rPr>
                  </w:pPr>
                  <w:r>
                    <w:rPr>
                      <w:sz w:val="21"/>
                      <w:szCs w:val="21"/>
                    </w:rPr>
                    <w:t>（</w:t>
                  </w:r>
                  <w:r>
                    <w:rPr>
                      <w:rFonts w:hint="eastAsia"/>
                      <w:sz w:val="21"/>
                      <w:szCs w:val="21"/>
                      <w:lang w:val="en-US" w:eastAsia="zh-CN"/>
                    </w:rPr>
                    <w:t>1</w:t>
                  </w:r>
                  <w:r>
                    <w:rPr>
                      <w:sz w:val="21"/>
                      <w:szCs w:val="21"/>
                    </w:rPr>
                    <w:t>）与电池材料相关的且对周围环境敏感点影响可接受的二类化工项目应入驻西片区。</w:t>
                  </w:r>
                </w:p>
              </w:tc>
              <w:tc>
                <w:tcPr>
                  <w:tcW w:w="3412" w:type="dxa"/>
                  <w:tcBorders>
                    <w:tl2br w:val="nil"/>
                    <w:tr2bl w:val="nil"/>
                  </w:tcBorders>
                  <w:noWrap w:val="0"/>
                  <w:vAlign w:val="center"/>
                </w:tcPr>
                <w:p>
                  <w:pPr>
                    <w:adjustRightInd w:val="0"/>
                    <w:snapToGrid w:val="0"/>
                    <w:jc w:val="center"/>
                    <w:rPr>
                      <w:sz w:val="21"/>
                      <w:szCs w:val="21"/>
                    </w:rPr>
                  </w:pPr>
                  <w:r>
                    <w:rPr>
                      <w:sz w:val="21"/>
                      <w:szCs w:val="21"/>
                    </w:rPr>
                    <w:t>本项目</w:t>
                  </w:r>
                  <w:r>
                    <w:rPr>
                      <w:rFonts w:hint="eastAsia"/>
                      <w:sz w:val="21"/>
                      <w:szCs w:val="21"/>
                    </w:rPr>
                    <w:t>不属于化工项目</w:t>
                  </w:r>
                  <w:r>
                    <w:rPr>
                      <w:sz w:val="21"/>
                      <w:szCs w:val="21"/>
                    </w:rPr>
                    <w:t>。</w:t>
                  </w:r>
                </w:p>
              </w:tc>
              <w:tc>
                <w:tcPr>
                  <w:tcW w:w="704" w:type="dxa"/>
                  <w:tcBorders>
                    <w:tl2br w:val="nil"/>
                    <w:tr2bl w:val="nil"/>
                  </w:tcBorders>
                  <w:noWrap w:val="0"/>
                  <w:vAlign w:val="center"/>
                </w:tcPr>
                <w:p>
                  <w:pPr>
                    <w:adjustRightInd w:val="0"/>
                    <w:snapToGrid w:val="0"/>
                    <w:jc w:val="center"/>
                    <w:rPr>
                      <w:sz w:val="21"/>
                      <w:szCs w:val="21"/>
                    </w:rPr>
                  </w:pPr>
                  <w:r>
                    <w:rPr>
                      <w:sz w:val="21"/>
                      <w:szCs w:val="21"/>
                    </w:rPr>
                    <w:t>相</w:t>
                  </w:r>
                  <w:r>
                    <w:rPr>
                      <w:rFonts w:hint="eastAsia"/>
                      <w:sz w:val="21"/>
                      <w:szCs w:val="21"/>
                    </w:rPr>
                    <w:t>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8" w:type="dxa"/>
                  <w:tcBorders>
                    <w:tl2br w:val="nil"/>
                    <w:tr2bl w:val="nil"/>
                  </w:tcBorders>
                  <w:noWrap w:val="0"/>
                  <w:vAlign w:val="center"/>
                </w:tcPr>
                <w:p>
                  <w:pPr>
                    <w:adjustRightInd w:val="0"/>
                    <w:snapToGrid w:val="0"/>
                    <w:jc w:val="center"/>
                    <w:rPr>
                      <w:sz w:val="21"/>
                      <w:szCs w:val="21"/>
                    </w:rPr>
                  </w:pPr>
                  <w:r>
                    <w:rPr>
                      <w:sz w:val="21"/>
                      <w:szCs w:val="21"/>
                    </w:rPr>
                    <w:t>（</w:t>
                  </w:r>
                  <w:r>
                    <w:rPr>
                      <w:rFonts w:hint="eastAsia"/>
                      <w:sz w:val="21"/>
                      <w:szCs w:val="21"/>
                      <w:lang w:val="en-US" w:eastAsia="zh-CN"/>
                    </w:rPr>
                    <w:t>2</w:t>
                  </w:r>
                  <w:r>
                    <w:rPr>
                      <w:sz w:val="21"/>
                      <w:szCs w:val="21"/>
                    </w:rPr>
                    <w:t>）新建非铅酸电池回收项目应入驻西片区。</w:t>
                  </w:r>
                </w:p>
              </w:tc>
              <w:tc>
                <w:tcPr>
                  <w:tcW w:w="3412" w:type="dxa"/>
                  <w:tcBorders>
                    <w:tl2br w:val="nil"/>
                    <w:tr2bl w:val="nil"/>
                  </w:tcBorders>
                  <w:noWrap w:val="0"/>
                  <w:vAlign w:val="center"/>
                </w:tcPr>
                <w:p>
                  <w:pPr>
                    <w:adjustRightInd w:val="0"/>
                    <w:snapToGrid w:val="0"/>
                    <w:jc w:val="center"/>
                    <w:rPr>
                      <w:sz w:val="21"/>
                      <w:szCs w:val="21"/>
                    </w:rPr>
                  </w:pPr>
                  <w:r>
                    <w:rPr>
                      <w:sz w:val="21"/>
                      <w:szCs w:val="21"/>
                    </w:rPr>
                    <w:t>本项目</w:t>
                  </w:r>
                  <w:r>
                    <w:rPr>
                      <w:rFonts w:hint="eastAsia"/>
                      <w:sz w:val="21"/>
                      <w:szCs w:val="21"/>
                      <w:lang w:val="en-US" w:eastAsia="zh-CN"/>
                    </w:rPr>
                    <w:t>位于新乡市动力电池专业园区西区</w:t>
                  </w:r>
                  <w:r>
                    <w:rPr>
                      <w:sz w:val="21"/>
                      <w:szCs w:val="21"/>
                    </w:rPr>
                    <w:t>。</w:t>
                  </w:r>
                </w:p>
              </w:tc>
              <w:tc>
                <w:tcPr>
                  <w:tcW w:w="704" w:type="dxa"/>
                  <w:tcBorders>
                    <w:tl2br w:val="nil"/>
                    <w:tr2bl w:val="nil"/>
                  </w:tcBorders>
                  <w:noWrap w:val="0"/>
                  <w:vAlign w:val="center"/>
                </w:tcPr>
                <w:p>
                  <w:pPr>
                    <w:adjustRightInd w:val="0"/>
                    <w:snapToGrid w:val="0"/>
                    <w:jc w:val="center"/>
                    <w:rPr>
                      <w:sz w:val="21"/>
                      <w:szCs w:val="21"/>
                    </w:rPr>
                  </w:pPr>
                  <w:r>
                    <w:rPr>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8" w:type="dxa"/>
                  <w:tcBorders>
                    <w:tl2br w:val="nil"/>
                    <w:tr2bl w:val="nil"/>
                  </w:tcBorders>
                  <w:noWrap w:val="0"/>
                  <w:vAlign w:val="center"/>
                </w:tcPr>
                <w:p>
                  <w:pPr>
                    <w:adjustRightInd w:val="0"/>
                    <w:snapToGrid w:val="0"/>
                    <w:jc w:val="center"/>
                    <w:rPr>
                      <w:sz w:val="21"/>
                      <w:szCs w:val="21"/>
                    </w:rPr>
                  </w:pPr>
                  <w:r>
                    <w:rPr>
                      <w:sz w:val="21"/>
                      <w:szCs w:val="21"/>
                    </w:rPr>
                    <w:t>（</w:t>
                  </w:r>
                  <w:r>
                    <w:rPr>
                      <w:rFonts w:hint="eastAsia"/>
                      <w:sz w:val="21"/>
                      <w:szCs w:val="21"/>
                      <w:lang w:val="en-US" w:eastAsia="zh-CN"/>
                    </w:rPr>
                    <w:t>3</w:t>
                  </w:r>
                  <w:r>
                    <w:rPr>
                      <w:sz w:val="21"/>
                      <w:szCs w:val="21"/>
                    </w:rPr>
                    <w:t>）入园企业建设规模应符合国家产业政策的最小经济规模要求。</w:t>
                  </w:r>
                </w:p>
              </w:tc>
              <w:tc>
                <w:tcPr>
                  <w:tcW w:w="3412" w:type="dxa"/>
                  <w:tcBorders>
                    <w:tl2br w:val="nil"/>
                    <w:tr2bl w:val="nil"/>
                  </w:tcBorders>
                  <w:noWrap w:val="0"/>
                  <w:vAlign w:val="center"/>
                </w:tcPr>
                <w:p>
                  <w:pPr>
                    <w:adjustRightInd w:val="0"/>
                    <w:snapToGrid w:val="0"/>
                    <w:jc w:val="center"/>
                    <w:rPr>
                      <w:sz w:val="21"/>
                      <w:szCs w:val="21"/>
                    </w:rPr>
                  </w:pPr>
                  <w:r>
                    <w:rPr>
                      <w:sz w:val="21"/>
                      <w:szCs w:val="21"/>
                    </w:rPr>
                    <w:t>本项目生产规模符合国家产业政策的最小经济规模要求。</w:t>
                  </w:r>
                </w:p>
              </w:tc>
              <w:tc>
                <w:tcPr>
                  <w:tcW w:w="704" w:type="dxa"/>
                  <w:tcBorders>
                    <w:tl2br w:val="nil"/>
                    <w:tr2bl w:val="nil"/>
                  </w:tcBorders>
                  <w:noWrap w:val="0"/>
                  <w:vAlign w:val="center"/>
                </w:tcPr>
                <w:p>
                  <w:pPr>
                    <w:adjustRightInd w:val="0"/>
                    <w:snapToGrid w:val="0"/>
                    <w:jc w:val="center"/>
                    <w:rPr>
                      <w:sz w:val="21"/>
                      <w:szCs w:val="21"/>
                    </w:rPr>
                  </w:pPr>
                  <w:r>
                    <w:rPr>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8" w:type="dxa"/>
                  <w:tcBorders>
                    <w:tl2br w:val="nil"/>
                    <w:tr2bl w:val="nil"/>
                  </w:tcBorders>
                  <w:noWrap w:val="0"/>
                  <w:vAlign w:val="center"/>
                </w:tcPr>
                <w:p>
                  <w:pPr>
                    <w:adjustRightInd w:val="0"/>
                    <w:snapToGrid w:val="0"/>
                    <w:jc w:val="center"/>
                    <w:rPr>
                      <w:sz w:val="21"/>
                      <w:szCs w:val="21"/>
                    </w:rPr>
                  </w:pPr>
                  <w:r>
                    <w:rPr>
                      <w:sz w:val="21"/>
                      <w:szCs w:val="21"/>
                    </w:rPr>
                    <w:t>（</w:t>
                  </w:r>
                  <w:r>
                    <w:rPr>
                      <w:rFonts w:hint="eastAsia"/>
                      <w:sz w:val="21"/>
                      <w:szCs w:val="21"/>
                      <w:lang w:val="en-US" w:eastAsia="zh-CN"/>
                    </w:rPr>
                    <w:t>4</w:t>
                  </w:r>
                  <w:r>
                    <w:rPr>
                      <w:sz w:val="21"/>
                      <w:szCs w:val="21"/>
                    </w:rPr>
                    <w:t>）新、改扩建项目必须符合国家、省市产业政策及相关行业准入要求，清洁生产水平达到国内先进水平，鼓励能够形成良好循环经济链条的项目可优先入区。</w:t>
                  </w:r>
                </w:p>
              </w:tc>
              <w:tc>
                <w:tcPr>
                  <w:tcW w:w="3412" w:type="dxa"/>
                  <w:tcBorders>
                    <w:tl2br w:val="nil"/>
                    <w:tr2bl w:val="nil"/>
                  </w:tcBorders>
                  <w:noWrap w:val="0"/>
                  <w:vAlign w:val="center"/>
                </w:tcPr>
                <w:p>
                  <w:pPr>
                    <w:adjustRightInd w:val="0"/>
                    <w:snapToGrid w:val="0"/>
                    <w:jc w:val="center"/>
                    <w:rPr>
                      <w:rFonts w:hint="eastAsia" w:eastAsia="宋体"/>
                      <w:sz w:val="21"/>
                      <w:szCs w:val="21"/>
                      <w:lang w:eastAsia="zh-CN"/>
                    </w:rPr>
                  </w:pPr>
                  <w:r>
                    <w:rPr>
                      <w:sz w:val="21"/>
                      <w:szCs w:val="21"/>
                    </w:rPr>
                    <w:t>本项目不属于《产业结构调整指导目录</w:t>
                  </w:r>
                  <w:r>
                    <w:rPr>
                      <w:rFonts w:hint="eastAsia"/>
                      <w:sz w:val="21"/>
                      <w:szCs w:val="21"/>
                    </w:rPr>
                    <w:t>（</w:t>
                  </w:r>
                  <w:r>
                    <w:rPr>
                      <w:sz w:val="21"/>
                      <w:szCs w:val="21"/>
                    </w:rPr>
                    <w:t>2019年本）</w:t>
                  </w:r>
                  <w:r>
                    <w:rPr>
                      <w:rFonts w:hint="eastAsia"/>
                      <w:sz w:val="21"/>
                      <w:szCs w:val="21"/>
                    </w:rPr>
                    <w:t>》</w:t>
                  </w:r>
                  <w:r>
                    <w:rPr>
                      <w:sz w:val="21"/>
                      <w:szCs w:val="21"/>
                    </w:rPr>
                    <w:t>、《外商投资产业指导目录（2007年修订）》中限制</w:t>
                  </w:r>
                  <w:r>
                    <w:rPr>
                      <w:rFonts w:hint="eastAsia"/>
                      <w:sz w:val="21"/>
                      <w:szCs w:val="21"/>
                      <w:lang w:val="en-US" w:eastAsia="zh-CN"/>
                    </w:rPr>
                    <w:t>类</w:t>
                  </w:r>
                  <w:r>
                    <w:rPr>
                      <w:sz w:val="21"/>
                      <w:szCs w:val="21"/>
                    </w:rPr>
                    <w:t>、淘汰类的建设项目，</w:t>
                  </w:r>
                  <w:r>
                    <w:rPr>
                      <w:rFonts w:hint="eastAsia"/>
                      <w:sz w:val="21"/>
                      <w:szCs w:val="21"/>
                      <w:lang w:val="en-US" w:eastAsia="zh-CN"/>
                    </w:rPr>
                    <w:t>与</w:t>
                  </w:r>
                  <w:r>
                    <w:rPr>
                      <w:sz w:val="21"/>
                      <w:szCs w:val="21"/>
                    </w:rPr>
                    <w:cr/>
                  </w:r>
                  <w:r>
                    <w:rPr>
                      <w:sz w:val="21"/>
                      <w:szCs w:val="21"/>
                    </w:rPr>
                    <w:t>专业园区主导产业不冲突。</w:t>
                  </w:r>
                </w:p>
              </w:tc>
              <w:tc>
                <w:tcPr>
                  <w:tcW w:w="704" w:type="dxa"/>
                  <w:tcBorders>
                    <w:tl2br w:val="nil"/>
                    <w:tr2bl w:val="nil"/>
                  </w:tcBorders>
                  <w:noWrap w:val="0"/>
                  <w:vAlign w:val="center"/>
                </w:tcPr>
                <w:p>
                  <w:pPr>
                    <w:adjustRightInd w:val="0"/>
                    <w:snapToGrid w:val="0"/>
                    <w:jc w:val="center"/>
                    <w:rPr>
                      <w:sz w:val="21"/>
                      <w:szCs w:val="21"/>
                    </w:rPr>
                  </w:pPr>
                  <w:r>
                    <w:rPr>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8" w:type="dxa"/>
                  <w:tcBorders>
                    <w:tl2br w:val="nil"/>
                    <w:tr2bl w:val="nil"/>
                  </w:tcBorders>
                  <w:noWrap w:val="0"/>
                  <w:vAlign w:val="center"/>
                </w:tcPr>
                <w:p>
                  <w:pPr>
                    <w:adjustRightInd w:val="0"/>
                    <w:snapToGrid w:val="0"/>
                    <w:jc w:val="center"/>
                    <w:rPr>
                      <w:sz w:val="21"/>
                      <w:szCs w:val="21"/>
                    </w:rPr>
                  </w:pPr>
                  <w:r>
                    <w:rPr>
                      <w:sz w:val="21"/>
                      <w:szCs w:val="21"/>
                    </w:rPr>
                    <w:t>（</w:t>
                  </w:r>
                  <w:r>
                    <w:rPr>
                      <w:rFonts w:hint="eastAsia"/>
                      <w:sz w:val="21"/>
                      <w:szCs w:val="21"/>
                      <w:lang w:val="en-US" w:eastAsia="zh-CN"/>
                    </w:rPr>
                    <w:t>5</w:t>
                  </w:r>
                  <w:r>
                    <w:rPr>
                      <w:sz w:val="21"/>
                      <w:szCs w:val="21"/>
                    </w:rPr>
                    <w:t>）鼓励发展符合园区功能布局和产业规划，采用先进生产工艺和设备、自动化程度高，具有可靠的污染治理技术或轻污染项目。</w:t>
                  </w:r>
                </w:p>
              </w:tc>
              <w:tc>
                <w:tcPr>
                  <w:tcW w:w="3412" w:type="dxa"/>
                  <w:tcBorders>
                    <w:tl2br w:val="nil"/>
                    <w:tr2bl w:val="nil"/>
                  </w:tcBorders>
                  <w:noWrap w:val="0"/>
                  <w:vAlign w:val="center"/>
                </w:tcPr>
                <w:p>
                  <w:pPr>
                    <w:adjustRightInd w:val="0"/>
                    <w:snapToGrid w:val="0"/>
                    <w:jc w:val="center"/>
                    <w:rPr>
                      <w:sz w:val="21"/>
                      <w:szCs w:val="21"/>
                    </w:rPr>
                  </w:pPr>
                  <w:r>
                    <w:rPr>
                      <w:sz w:val="21"/>
                      <w:szCs w:val="21"/>
                    </w:rPr>
                    <w:t>项目位于新乡市动力电池专业园区西片区内，项目废气、废水、噪声经过</w:t>
                  </w:r>
                  <w:r>
                    <w:rPr>
                      <w:rFonts w:hint="eastAsia"/>
                      <w:sz w:val="21"/>
                      <w:szCs w:val="21"/>
                    </w:rPr>
                    <w:t>治理</w:t>
                  </w:r>
                  <w:r>
                    <w:rPr>
                      <w:sz w:val="21"/>
                      <w:szCs w:val="21"/>
                    </w:rPr>
                    <w:t>后均可达标排放，固废处置措施可行，不属于重污染项目。</w:t>
                  </w:r>
                </w:p>
              </w:tc>
              <w:tc>
                <w:tcPr>
                  <w:tcW w:w="704" w:type="dxa"/>
                  <w:tcBorders>
                    <w:tl2br w:val="nil"/>
                    <w:tr2bl w:val="nil"/>
                  </w:tcBorders>
                  <w:noWrap w:val="0"/>
                  <w:vAlign w:val="center"/>
                </w:tcPr>
                <w:p>
                  <w:pPr>
                    <w:adjustRightInd w:val="0"/>
                    <w:snapToGrid w:val="0"/>
                    <w:jc w:val="center"/>
                    <w:rPr>
                      <w:sz w:val="21"/>
                      <w:szCs w:val="21"/>
                    </w:rPr>
                  </w:pPr>
                  <w:r>
                    <w:rPr>
                      <w:sz w:val="21"/>
                      <w:szCs w:val="21"/>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48" w:type="dxa"/>
                  <w:tcBorders>
                    <w:tl2br w:val="nil"/>
                    <w:tr2bl w:val="nil"/>
                  </w:tcBorders>
                  <w:noWrap w:val="0"/>
                  <w:vAlign w:val="center"/>
                </w:tcPr>
                <w:p>
                  <w:pPr>
                    <w:adjustRightInd w:val="0"/>
                    <w:snapToGrid w:val="0"/>
                    <w:jc w:val="center"/>
                    <w:rPr>
                      <w:sz w:val="21"/>
                      <w:szCs w:val="21"/>
                    </w:rPr>
                  </w:pPr>
                  <w:r>
                    <w:rPr>
                      <w:sz w:val="21"/>
                      <w:szCs w:val="21"/>
                    </w:rPr>
                    <w:t>（</w:t>
                  </w:r>
                  <w:r>
                    <w:rPr>
                      <w:rFonts w:hint="eastAsia"/>
                      <w:sz w:val="21"/>
                      <w:szCs w:val="21"/>
                      <w:lang w:val="en-US" w:eastAsia="zh-CN"/>
                    </w:rPr>
                    <w:t>6</w:t>
                  </w:r>
                  <w:r>
                    <w:rPr>
                      <w:sz w:val="21"/>
                      <w:szCs w:val="21"/>
                    </w:rPr>
                    <w:t>）鼓励污水深度治理、中水回用项目、资源综合利用项目入驻。</w:t>
                  </w:r>
                </w:p>
              </w:tc>
              <w:tc>
                <w:tcPr>
                  <w:tcW w:w="3412" w:type="dxa"/>
                  <w:tcBorders>
                    <w:tl2br w:val="nil"/>
                    <w:tr2bl w:val="nil"/>
                  </w:tcBorders>
                  <w:noWrap w:val="0"/>
                  <w:vAlign w:val="center"/>
                </w:tcPr>
                <w:p>
                  <w:pPr>
                    <w:adjustRightInd w:val="0"/>
                    <w:snapToGrid w:val="0"/>
                    <w:jc w:val="center"/>
                    <w:rPr>
                      <w:sz w:val="21"/>
                      <w:szCs w:val="21"/>
                    </w:rPr>
                  </w:pPr>
                  <w:r>
                    <w:rPr>
                      <w:rFonts w:hint="eastAsia"/>
                      <w:sz w:val="21"/>
                      <w:szCs w:val="21"/>
                    </w:rPr>
                    <w:t>本项目</w:t>
                  </w:r>
                  <w:r>
                    <w:rPr>
                      <w:sz w:val="21"/>
                      <w:szCs w:val="21"/>
                    </w:rPr>
                    <w:t>不属于污水深度治理、中水回用项目、资源综合利用项目</w:t>
                  </w:r>
                </w:p>
              </w:tc>
              <w:tc>
                <w:tcPr>
                  <w:tcW w:w="704" w:type="dxa"/>
                  <w:tcBorders>
                    <w:tl2br w:val="nil"/>
                    <w:tr2bl w:val="nil"/>
                  </w:tcBorders>
                  <w:noWrap w:val="0"/>
                  <w:vAlign w:val="center"/>
                </w:tcPr>
                <w:p>
                  <w:pPr>
                    <w:adjustRightInd w:val="0"/>
                    <w:snapToGrid w:val="0"/>
                    <w:jc w:val="center"/>
                    <w:rPr>
                      <w:sz w:val="21"/>
                      <w:szCs w:val="21"/>
                    </w:rPr>
                  </w:pPr>
                  <w:r>
                    <w:rPr>
                      <w:sz w:val="21"/>
                      <w:szCs w:val="21"/>
                    </w:rPr>
                    <w:t>相符</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rFonts w:hint="eastAsia"/>
                <w:color w:val="000000"/>
                <w:sz w:val="24"/>
                <w:szCs w:val="24"/>
              </w:rPr>
            </w:pPr>
            <w:r>
              <w:rPr>
                <w:color w:val="000000"/>
                <w:sz w:val="24"/>
                <w:szCs w:val="24"/>
              </w:rPr>
              <w:t>由表1</w:t>
            </w:r>
            <w:r>
              <w:rPr>
                <w:rFonts w:hint="eastAsia"/>
                <w:color w:val="000000"/>
                <w:sz w:val="24"/>
                <w:szCs w:val="24"/>
                <w:lang w:val="en-US" w:eastAsia="zh-CN"/>
              </w:rPr>
              <w:t>-1</w:t>
            </w:r>
            <w:r>
              <w:rPr>
                <w:color w:val="000000"/>
                <w:sz w:val="24"/>
                <w:szCs w:val="24"/>
              </w:rPr>
              <w:t>可知，本项目符合新乡市动力电池专业园区</w:t>
            </w:r>
            <w:r>
              <w:rPr>
                <w:rFonts w:hint="eastAsia"/>
                <w:color w:val="000000"/>
                <w:sz w:val="24"/>
                <w:szCs w:val="24"/>
              </w:rPr>
              <w:t>西片区</w:t>
            </w:r>
            <w:r>
              <w:rPr>
                <w:color w:val="000000"/>
                <w:sz w:val="24"/>
                <w:szCs w:val="24"/>
              </w:rPr>
              <w:t>产业规划要求，能够满足准</w:t>
            </w:r>
            <w:r>
              <w:rPr>
                <w:rFonts w:hint="eastAsia"/>
                <w:color w:val="000000"/>
                <w:sz w:val="24"/>
                <w:szCs w:val="24"/>
              </w:rPr>
              <w:t>入</w:t>
            </w:r>
            <w:r>
              <w:rPr>
                <w:color w:val="000000"/>
                <w:sz w:val="24"/>
                <w:szCs w:val="24"/>
              </w:rPr>
              <w:t>条件。</w:t>
            </w:r>
          </w:p>
          <w:p>
            <w:pPr>
              <w:keepNext w:val="0"/>
              <w:keepLines w:val="0"/>
              <w:pageBreakBefore w:val="0"/>
              <w:widowControl w:val="0"/>
              <w:kinsoku/>
              <w:wordWrap/>
              <w:overflowPunct/>
              <w:topLinePunct w:val="0"/>
              <w:autoSpaceDE/>
              <w:autoSpaceDN/>
              <w:bidi w:val="0"/>
              <w:adjustRightInd w:val="0"/>
              <w:snapToGrid w:val="0"/>
              <w:spacing w:line="520" w:lineRule="exact"/>
              <w:ind w:left="280" w:leftChars="100" w:firstLine="240" w:firstLineChars="100"/>
              <w:textAlignment w:val="baseline"/>
              <w:rPr>
                <w:rFonts w:hint="eastAsia"/>
                <w:color w:val="000000"/>
                <w:sz w:val="24"/>
                <w:szCs w:val="24"/>
              </w:rPr>
            </w:pPr>
            <w:r>
              <w:rPr>
                <w:color w:val="000000"/>
                <w:sz w:val="24"/>
                <w:szCs w:val="24"/>
              </w:rPr>
              <w:t>项目与环境准入负面清单对比分析如下</w:t>
            </w:r>
            <w:r>
              <w:rPr>
                <w:rFonts w:hint="eastAsia"/>
                <w:color w:val="000000"/>
                <w:sz w:val="24"/>
                <w:szCs w:val="24"/>
              </w:rPr>
              <w:t>：</w:t>
            </w:r>
          </w:p>
          <w:p>
            <w:pPr>
              <w:spacing w:line="460" w:lineRule="exact"/>
              <w:ind w:firstLine="482" w:firstLineChars="200"/>
              <w:jc w:val="cente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表1</w:t>
            </w:r>
            <w:r>
              <w:rPr>
                <w:rFonts w:hint="eastAsia" w:ascii="Times New Roman" w:hAnsi="Times New Roman"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w:t>
            </w:r>
            <w:r>
              <w:rPr>
                <w:rFonts w:hint="default" w:ascii="Times New Roman" w:hAnsi="Times New Roman" w:eastAsia="宋体" w:cs="Times New Roman"/>
                <w:b/>
                <w:bCs/>
                <w:color w:val="000000"/>
                <w:sz w:val="24"/>
                <w:szCs w:val="24"/>
              </w:rPr>
              <w:t>新乡市动力电池专业园区</w:t>
            </w:r>
            <w:r>
              <w:rPr>
                <w:rFonts w:hint="eastAsia" w:ascii="Times New Roman" w:hAnsi="Times New Roman" w:eastAsia="宋体" w:cs="Times New Roman"/>
                <w:b/>
                <w:bCs/>
                <w:color w:val="000000"/>
                <w:sz w:val="24"/>
                <w:szCs w:val="24"/>
              </w:rPr>
              <w:t>西</w:t>
            </w:r>
            <w:r>
              <w:rPr>
                <w:rFonts w:hint="default" w:ascii="Times New Roman" w:hAnsi="Times New Roman" w:eastAsia="宋体" w:cs="Times New Roman"/>
                <w:b/>
                <w:bCs/>
                <w:color w:val="000000"/>
                <w:sz w:val="24"/>
                <w:szCs w:val="24"/>
              </w:rPr>
              <w:t>片区环境准入负面清单一览表</w:t>
            </w:r>
          </w:p>
          <w:tbl>
            <w:tblPr>
              <w:tblStyle w:val="25"/>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099"/>
              <w:gridCol w:w="3345"/>
              <w:gridCol w:w="3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tblHeader/>
                <w:jc w:val="center"/>
              </w:trPr>
              <w:tc>
                <w:tcPr>
                  <w:tcW w:w="1099" w:type="dxa"/>
                  <w:vMerge w:val="restart"/>
                  <w:tcBorders>
                    <w:tl2br w:val="nil"/>
                    <w:tr2bl w:val="nil"/>
                  </w:tcBorders>
                  <w:noWrap w:val="0"/>
                  <w:tcMar>
                    <w:left w:w="57" w:type="dxa"/>
                    <w:right w:w="57" w:type="dxa"/>
                  </w:tcMar>
                  <w:vAlign w:val="center"/>
                </w:tcPr>
                <w:p>
                  <w:pPr>
                    <w:snapToGrid w:val="0"/>
                    <w:jc w:val="center"/>
                    <w:rPr>
                      <w:b/>
                      <w:color w:val="000000"/>
                      <w:sz w:val="21"/>
                      <w:szCs w:val="21"/>
                    </w:rPr>
                  </w:pPr>
                  <w:r>
                    <w:rPr>
                      <w:b/>
                      <w:color w:val="000000"/>
                      <w:sz w:val="21"/>
                      <w:szCs w:val="21"/>
                    </w:rPr>
                    <w:t>项目</w:t>
                  </w:r>
                </w:p>
              </w:tc>
              <w:tc>
                <w:tcPr>
                  <w:tcW w:w="6465" w:type="dxa"/>
                  <w:gridSpan w:val="2"/>
                  <w:tcBorders>
                    <w:tl2br w:val="nil"/>
                    <w:tr2bl w:val="nil"/>
                  </w:tcBorders>
                  <w:noWrap w:val="0"/>
                  <w:tcMar>
                    <w:left w:w="57" w:type="dxa"/>
                    <w:right w:w="57" w:type="dxa"/>
                  </w:tcMar>
                  <w:vAlign w:val="center"/>
                </w:tcPr>
                <w:p>
                  <w:pPr>
                    <w:snapToGrid w:val="0"/>
                    <w:jc w:val="center"/>
                    <w:rPr>
                      <w:b/>
                      <w:color w:val="000000"/>
                      <w:sz w:val="21"/>
                      <w:szCs w:val="21"/>
                    </w:rPr>
                  </w:pPr>
                  <w:r>
                    <w:rPr>
                      <w:b/>
                      <w:bCs/>
                      <w:color w:val="000000"/>
                      <w:sz w:val="21"/>
                      <w:szCs w:val="21"/>
                    </w:rPr>
                    <w:t>环境准入负面清单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tblHeader/>
                <w:jc w:val="center"/>
              </w:trPr>
              <w:tc>
                <w:tcPr>
                  <w:tcW w:w="1099" w:type="dxa"/>
                  <w:vMerge w:val="continue"/>
                  <w:tcBorders>
                    <w:tl2br w:val="nil"/>
                    <w:tr2bl w:val="nil"/>
                  </w:tcBorders>
                  <w:noWrap w:val="0"/>
                  <w:tcMar>
                    <w:left w:w="57" w:type="dxa"/>
                    <w:right w:w="57" w:type="dxa"/>
                  </w:tcMar>
                  <w:vAlign w:val="center"/>
                </w:tcPr>
                <w:p>
                  <w:pPr>
                    <w:snapToGrid w:val="0"/>
                    <w:jc w:val="center"/>
                    <w:rPr>
                      <w:b/>
                      <w:color w:val="000000"/>
                      <w:sz w:val="21"/>
                      <w:szCs w:val="21"/>
                    </w:rPr>
                  </w:pPr>
                </w:p>
              </w:tc>
              <w:tc>
                <w:tcPr>
                  <w:tcW w:w="3345" w:type="dxa"/>
                  <w:tcBorders>
                    <w:tl2br w:val="nil"/>
                    <w:tr2bl w:val="nil"/>
                  </w:tcBorders>
                  <w:noWrap w:val="0"/>
                  <w:tcMar>
                    <w:left w:w="57" w:type="dxa"/>
                    <w:right w:w="57" w:type="dxa"/>
                  </w:tcMar>
                  <w:vAlign w:val="center"/>
                </w:tcPr>
                <w:p>
                  <w:pPr>
                    <w:snapToGrid w:val="0"/>
                    <w:jc w:val="center"/>
                    <w:rPr>
                      <w:b/>
                      <w:color w:val="000000"/>
                      <w:sz w:val="21"/>
                      <w:szCs w:val="21"/>
                    </w:rPr>
                  </w:pPr>
                  <w:r>
                    <w:rPr>
                      <w:b/>
                      <w:color w:val="000000"/>
                      <w:sz w:val="21"/>
                      <w:szCs w:val="21"/>
                    </w:rPr>
                    <w:t>限</w:t>
                  </w:r>
                  <w:r>
                    <w:rPr>
                      <w:rFonts w:hint="eastAsia"/>
                      <w:b/>
                      <w:color w:val="000000"/>
                      <w:sz w:val="21"/>
                      <w:szCs w:val="21"/>
                    </w:rPr>
                    <w:t>制</w:t>
                  </w:r>
                  <w:r>
                    <w:rPr>
                      <w:b/>
                      <w:color w:val="000000"/>
                      <w:sz w:val="21"/>
                      <w:szCs w:val="21"/>
                    </w:rPr>
                    <w:t>类</w:t>
                  </w:r>
                </w:p>
              </w:tc>
              <w:tc>
                <w:tcPr>
                  <w:tcW w:w="3120" w:type="dxa"/>
                  <w:tcBorders>
                    <w:tl2br w:val="nil"/>
                    <w:tr2bl w:val="nil"/>
                  </w:tcBorders>
                  <w:noWrap w:val="0"/>
                  <w:tcMar>
                    <w:left w:w="57" w:type="dxa"/>
                    <w:right w:w="57" w:type="dxa"/>
                  </w:tcMar>
                  <w:vAlign w:val="center"/>
                </w:tcPr>
                <w:p>
                  <w:pPr>
                    <w:snapToGrid w:val="0"/>
                    <w:jc w:val="center"/>
                    <w:rPr>
                      <w:b/>
                      <w:color w:val="000000"/>
                      <w:sz w:val="21"/>
                      <w:szCs w:val="21"/>
                    </w:rPr>
                  </w:pPr>
                  <w:r>
                    <w:rPr>
                      <w:b/>
                      <w:color w:val="000000"/>
                      <w:sz w:val="21"/>
                      <w:szCs w:val="21"/>
                    </w:rPr>
                    <w:t>本项目情况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099" w:type="dxa"/>
                  <w:tcBorders>
                    <w:tl2br w:val="nil"/>
                    <w:tr2bl w:val="nil"/>
                  </w:tcBorders>
                  <w:noWrap w:val="0"/>
                  <w:tcMar>
                    <w:left w:w="57" w:type="dxa"/>
                    <w:right w:w="57" w:type="dxa"/>
                  </w:tcMar>
                  <w:vAlign w:val="center"/>
                </w:tcPr>
                <w:p>
                  <w:pPr>
                    <w:snapToGrid w:val="0"/>
                    <w:jc w:val="center"/>
                    <w:rPr>
                      <w:color w:val="000000"/>
                      <w:sz w:val="21"/>
                      <w:szCs w:val="21"/>
                    </w:rPr>
                  </w:pPr>
                  <w:r>
                    <w:rPr>
                      <w:color w:val="000000"/>
                      <w:sz w:val="21"/>
                      <w:szCs w:val="21"/>
                    </w:rPr>
                    <w:t>空间布局及土地规划</w:t>
                  </w:r>
                </w:p>
              </w:tc>
              <w:tc>
                <w:tcPr>
                  <w:tcW w:w="3345" w:type="dxa"/>
                  <w:tcBorders>
                    <w:tl2br w:val="nil"/>
                    <w:tr2bl w:val="nil"/>
                  </w:tcBorders>
                  <w:noWrap w:val="0"/>
                  <w:tcMar>
                    <w:left w:w="57" w:type="dxa"/>
                    <w:right w:w="57" w:type="dxa"/>
                  </w:tcMar>
                  <w:vAlign w:val="center"/>
                </w:tcPr>
                <w:p>
                  <w:pPr>
                    <w:snapToGrid w:val="0"/>
                    <w:rPr>
                      <w:color w:val="000000"/>
                      <w:sz w:val="21"/>
                      <w:szCs w:val="21"/>
                    </w:rPr>
                  </w:pPr>
                  <w:r>
                    <w:rPr>
                      <w:color w:val="000000"/>
                      <w:sz w:val="21"/>
                      <w:szCs w:val="21"/>
                    </w:rPr>
                    <w:t>1、限制与园区土地利用规划、产业定位和功能区划不相符的现有企业进行扩建（科技含量高、污染小、能耗低，生产工艺、设备处于先进水平的现有企业除外）。</w:t>
                  </w:r>
                </w:p>
              </w:tc>
              <w:tc>
                <w:tcPr>
                  <w:tcW w:w="3120" w:type="dxa"/>
                  <w:tcBorders>
                    <w:tl2br w:val="nil"/>
                    <w:tr2bl w:val="nil"/>
                  </w:tcBorders>
                  <w:noWrap w:val="0"/>
                  <w:tcMar>
                    <w:left w:w="57" w:type="dxa"/>
                    <w:right w:w="57" w:type="dxa"/>
                  </w:tcMar>
                  <w:vAlign w:val="center"/>
                </w:tcPr>
                <w:p>
                  <w:pPr>
                    <w:snapToGrid w:val="0"/>
                    <w:rPr>
                      <w:color w:val="000000"/>
                      <w:sz w:val="21"/>
                      <w:szCs w:val="21"/>
                    </w:rPr>
                  </w:pPr>
                  <w:r>
                    <w:rPr>
                      <w:color w:val="000000"/>
                      <w:sz w:val="21"/>
                      <w:szCs w:val="21"/>
                    </w:rPr>
                    <w:t>本项目</w:t>
                  </w:r>
                  <w:r>
                    <w:rPr>
                      <w:rFonts w:hint="eastAsia"/>
                      <w:color w:val="000000"/>
                      <w:sz w:val="21"/>
                      <w:szCs w:val="21"/>
                    </w:rPr>
                    <w:t>为</w:t>
                  </w:r>
                  <w:r>
                    <w:rPr>
                      <w:rFonts w:hint="eastAsia"/>
                      <w:color w:val="000000"/>
                      <w:sz w:val="21"/>
                      <w:szCs w:val="21"/>
                      <w:lang w:val="en-US" w:eastAsia="zh-CN"/>
                    </w:rPr>
                    <w:t>新建</w:t>
                  </w:r>
                  <w:r>
                    <w:rPr>
                      <w:rFonts w:hint="eastAsia"/>
                      <w:color w:val="000000"/>
                      <w:sz w:val="21"/>
                      <w:szCs w:val="21"/>
                    </w:rPr>
                    <w:t>项目，</w:t>
                  </w:r>
                  <w:r>
                    <w:rPr>
                      <w:color w:val="000000"/>
                      <w:sz w:val="21"/>
                      <w:szCs w:val="21"/>
                    </w:rPr>
                    <w:t>位于新乡市动力电池专业园区西片区，占地属于规划的二类工业用地，符合园区土地利用规划，本项目</w:t>
                  </w:r>
                  <w:r>
                    <w:rPr>
                      <w:rFonts w:hint="eastAsia"/>
                      <w:sz w:val="21"/>
                      <w:szCs w:val="21"/>
                      <w:lang w:val="en-US" w:eastAsia="zh-CN"/>
                    </w:rPr>
                    <w:t>属于工业废弃物收集治理业</w:t>
                  </w:r>
                  <w:r>
                    <w:rPr>
                      <w:color w:val="000000"/>
                      <w:sz w:val="21"/>
                      <w:szCs w:val="21"/>
                    </w:rPr>
                    <w:t>，</w:t>
                  </w:r>
                  <w:r>
                    <w:rPr>
                      <w:rFonts w:hint="eastAsia"/>
                      <w:color w:val="000000"/>
                      <w:sz w:val="21"/>
                      <w:szCs w:val="21"/>
                      <w:lang w:val="en-US" w:eastAsia="zh-CN"/>
                    </w:rPr>
                    <w:t>项目建设有助于提升园区工业废弃物规模批收集、贮存、转运</w:t>
                  </w:r>
                  <w:r>
                    <w:rPr>
                      <w:color w:val="000000"/>
                      <w:sz w:val="21"/>
                      <w:szCs w:val="21"/>
                    </w:rPr>
                    <w:t>，不属于园区</w:t>
                  </w:r>
                  <w:r>
                    <w:rPr>
                      <w:rFonts w:hint="eastAsia"/>
                      <w:color w:val="000000"/>
                      <w:sz w:val="21"/>
                      <w:szCs w:val="21"/>
                    </w:rPr>
                    <w:t>限制</w:t>
                  </w:r>
                  <w:r>
                    <w:rPr>
                      <w:color w:val="000000"/>
                      <w:sz w:val="21"/>
                      <w:szCs w:val="21"/>
                    </w:rPr>
                    <w:t>发展项目。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099" w:type="dxa"/>
                  <w:tcBorders>
                    <w:tl2br w:val="nil"/>
                    <w:tr2bl w:val="nil"/>
                  </w:tcBorders>
                  <w:noWrap w:val="0"/>
                  <w:tcMar>
                    <w:left w:w="57" w:type="dxa"/>
                    <w:right w:w="57" w:type="dxa"/>
                  </w:tcMar>
                  <w:vAlign w:val="center"/>
                </w:tcPr>
                <w:p>
                  <w:pPr>
                    <w:snapToGrid w:val="0"/>
                    <w:jc w:val="center"/>
                    <w:rPr>
                      <w:color w:val="000000"/>
                      <w:sz w:val="21"/>
                      <w:szCs w:val="21"/>
                    </w:rPr>
                  </w:pPr>
                  <w:r>
                    <w:rPr>
                      <w:color w:val="000000"/>
                      <w:sz w:val="21"/>
                      <w:szCs w:val="21"/>
                    </w:rPr>
                    <w:t>产业政策及行业</w:t>
                  </w:r>
                  <w:r>
                    <w:rPr>
                      <w:rFonts w:hint="eastAsia"/>
                      <w:color w:val="000000"/>
                      <w:sz w:val="21"/>
                      <w:szCs w:val="21"/>
                    </w:rPr>
                    <w:t>准</w:t>
                  </w:r>
                  <w:r>
                    <w:rPr>
                      <w:color w:val="000000"/>
                      <w:sz w:val="21"/>
                      <w:szCs w:val="21"/>
                    </w:rPr>
                    <w:t>入</w:t>
                  </w:r>
                </w:p>
              </w:tc>
              <w:tc>
                <w:tcPr>
                  <w:tcW w:w="3345" w:type="dxa"/>
                  <w:tcBorders>
                    <w:tl2br w:val="nil"/>
                    <w:tr2bl w:val="nil"/>
                  </w:tcBorders>
                  <w:noWrap w:val="0"/>
                  <w:tcMar>
                    <w:left w:w="57" w:type="dxa"/>
                    <w:right w:w="57" w:type="dxa"/>
                  </w:tcMar>
                  <w:vAlign w:val="center"/>
                </w:tcPr>
                <w:p>
                  <w:pPr>
                    <w:snapToGrid w:val="0"/>
                    <w:rPr>
                      <w:color w:val="000000"/>
                      <w:sz w:val="21"/>
                      <w:szCs w:val="21"/>
                    </w:rPr>
                  </w:pPr>
                  <w:r>
                    <w:rPr>
                      <w:color w:val="000000"/>
                      <w:sz w:val="21"/>
                      <w:szCs w:val="21"/>
                    </w:rPr>
                    <w:t>1、限制发展原料和产品为非环境友好型的项目。</w:t>
                  </w:r>
                </w:p>
              </w:tc>
              <w:tc>
                <w:tcPr>
                  <w:tcW w:w="3120" w:type="dxa"/>
                  <w:tcBorders>
                    <w:tl2br w:val="nil"/>
                    <w:tr2bl w:val="nil"/>
                  </w:tcBorders>
                  <w:noWrap w:val="0"/>
                  <w:tcMar>
                    <w:left w:w="57" w:type="dxa"/>
                    <w:right w:w="57" w:type="dxa"/>
                  </w:tcMar>
                  <w:vAlign w:val="center"/>
                </w:tcPr>
                <w:p>
                  <w:pPr>
                    <w:snapToGrid w:val="0"/>
                    <w:rPr>
                      <w:bCs/>
                      <w:color w:val="000000"/>
                      <w:sz w:val="21"/>
                      <w:szCs w:val="21"/>
                    </w:rPr>
                  </w:pPr>
                  <w:r>
                    <w:rPr>
                      <w:bCs/>
                      <w:color w:val="000000"/>
                      <w:sz w:val="21"/>
                      <w:szCs w:val="21"/>
                    </w:rPr>
                    <w:t>本项目</w:t>
                  </w:r>
                  <w:r>
                    <w:rPr>
                      <w:rFonts w:hint="eastAsia"/>
                      <w:bCs/>
                      <w:color w:val="000000"/>
                      <w:sz w:val="21"/>
                      <w:szCs w:val="21"/>
                      <w:lang w:val="en-US" w:eastAsia="zh-CN"/>
                    </w:rPr>
                    <w:t>不属于生产型项目，不涉及</w:t>
                  </w:r>
                  <w:r>
                    <w:rPr>
                      <w:color w:val="000000"/>
                      <w:sz w:val="21"/>
                      <w:szCs w:val="21"/>
                    </w:rPr>
                    <w:t>非环境友好型</w:t>
                  </w:r>
                  <w:r>
                    <w:rPr>
                      <w:rFonts w:hint="eastAsia"/>
                      <w:bCs/>
                      <w:color w:val="000000"/>
                      <w:sz w:val="21"/>
                      <w:szCs w:val="21"/>
                      <w:lang w:val="en-US" w:eastAsia="zh-CN"/>
                    </w:rPr>
                    <w:t>原料和产品</w:t>
                  </w:r>
                  <w:r>
                    <w:rPr>
                      <w:rFonts w:hint="eastAsia"/>
                      <w:bCs/>
                      <w:color w:val="000000"/>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099" w:type="dxa"/>
                  <w:tcBorders>
                    <w:tl2br w:val="nil"/>
                    <w:tr2bl w:val="nil"/>
                  </w:tcBorders>
                  <w:noWrap w:val="0"/>
                  <w:tcMar>
                    <w:left w:w="57" w:type="dxa"/>
                    <w:right w:w="57" w:type="dxa"/>
                  </w:tcMar>
                  <w:vAlign w:val="center"/>
                </w:tcPr>
                <w:p>
                  <w:pPr>
                    <w:snapToGrid w:val="0"/>
                    <w:jc w:val="center"/>
                    <w:rPr>
                      <w:color w:val="000000"/>
                      <w:sz w:val="21"/>
                      <w:szCs w:val="21"/>
                    </w:rPr>
                  </w:pPr>
                  <w:r>
                    <w:rPr>
                      <w:color w:val="000000"/>
                      <w:sz w:val="21"/>
                      <w:szCs w:val="21"/>
                    </w:rPr>
                    <w:t>污</w:t>
                  </w:r>
                  <w:r>
                    <w:rPr>
                      <w:rFonts w:hint="eastAsia"/>
                      <w:color w:val="000000"/>
                      <w:sz w:val="21"/>
                      <w:szCs w:val="21"/>
                    </w:rPr>
                    <w:t>染</w:t>
                  </w:r>
                  <w:r>
                    <w:rPr>
                      <w:color w:val="000000"/>
                      <w:sz w:val="21"/>
                      <w:szCs w:val="21"/>
                    </w:rPr>
                    <w:t>物排放及资</w:t>
                  </w:r>
                  <w:r>
                    <w:rPr>
                      <w:rFonts w:hint="eastAsia"/>
                      <w:color w:val="000000"/>
                      <w:sz w:val="21"/>
                      <w:szCs w:val="21"/>
                    </w:rPr>
                    <w:t>源</w:t>
                  </w:r>
                  <w:r>
                    <w:rPr>
                      <w:color w:val="000000"/>
                      <w:sz w:val="21"/>
                      <w:szCs w:val="21"/>
                    </w:rPr>
                    <w:t>利用</w:t>
                  </w:r>
                </w:p>
              </w:tc>
              <w:tc>
                <w:tcPr>
                  <w:tcW w:w="3345" w:type="dxa"/>
                  <w:tcBorders>
                    <w:tl2br w:val="nil"/>
                    <w:tr2bl w:val="nil"/>
                  </w:tcBorders>
                  <w:noWrap w:val="0"/>
                  <w:tcMar>
                    <w:left w:w="57" w:type="dxa"/>
                    <w:right w:w="57" w:type="dxa"/>
                  </w:tcMar>
                  <w:vAlign w:val="center"/>
                </w:tcPr>
                <w:p>
                  <w:pPr>
                    <w:adjustRightInd w:val="0"/>
                    <w:snapToGrid w:val="0"/>
                    <w:rPr>
                      <w:color w:val="000000"/>
                      <w:sz w:val="21"/>
                      <w:szCs w:val="21"/>
                    </w:rPr>
                  </w:pPr>
                  <w:r>
                    <w:rPr>
                      <w:color w:val="000000"/>
                      <w:sz w:val="21"/>
                      <w:szCs w:val="21"/>
                    </w:rPr>
                    <w:t>1、限制污染防治和资源利用技术不成熟、污染物不能达标排放的项目。</w:t>
                  </w:r>
                </w:p>
                <w:p>
                  <w:pPr>
                    <w:snapToGrid w:val="0"/>
                    <w:rPr>
                      <w:color w:val="000000"/>
                      <w:sz w:val="21"/>
                      <w:szCs w:val="21"/>
                    </w:rPr>
                  </w:pPr>
                  <w:r>
                    <w:rPr>
                      <w:color w:val="000000"/>
                      <w:sz w:val="21"/>
                      <w:szCs w:val="21"/>
                    </w:rPr>
                    <w:t>2、限制高耗水、高耗能、高污染项目入驻。</w:t>
                  </w:r>
                </w:p>
              </w:tc>
              <w:tc>
                <w:tcPr>
                  <w:tcW w:w="3120" w:type="dxa"/>
                  <w:tcBorders>
                    <w:tl2br w:val="nil"/>
                    <w:tr2bl w:val="nil"/>
                  </w:tcBorders>
                  <w:noWrap w:val="0"/>
                  <w:tcMar>
                    <w:left w:w="57" w:type="dxa"/>
                    <w:right w:w="57" w:type="dxa"/>
                  </w:tcMar>
                  <w:vAlign w:val="center"/>
                </w:tcPr>
                <w:p>
                  <w:pPr>
                    <w:snapToGrid w:val="0"/>
                    <w:rPr>
                      <w:color w:val="000000"/>
                      <w:sz w:val="21"/>
                      <w:szCs w:val="21"/>
                    </w:rPr>
                  </w:pPr>
                  <w:r>
                    <w:rPr>
                      <w:color w:val="000000"/>
                      <w:sz w:val="21"/>
                      <w:szCs w:val="21"/>
                    </w:rPr>
                    <w:t>本项目技术成熟、污染防治措施可行，污染物能够达标排放；</w:t>
                  </w:r>
                  <w:r>
                    <w:rPr>
                      <w:rFonts w:hint="eastAsia"/>
                      <w:bCs/>
                      <w:color w:val="000000"/>
                      <w:sz w:val="21"/>
                      <w:szCs w:val="21"/>
                    </w:rPr>
                    <w:t>不属于高耗水、高耗能、高污染</w:t>
                  </w:r>
                  <w:r>
                    <w:rPr>
                      <w:bCs/>
                      <w:color w:val="000000"/>
                      <w:sz w:val="21"/>
                      <w:szCs w:val="21"/>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099" w:type="dxa"/>
                  <w:tcBorders>
                    <w:tl2br w:val="nil"/>
                    <w:tr2bl w:val="nil"/>
                  </w:tcBorders>
                  <w:noWrap w:val="0"/>
                  <w:tcMar>
                    <w:left w:w="57" w:type="dxa"/>
                    <w:right w:w="57" w:type="dxa"/>
                  </w:tcMar>
                  <w:vAlign w:val="center"/>
                </w:tcPr>
                <w:p>
                  <w:pPr>
                    <w:snapToGrid w:val="0"/>
                    <w:jc w:val="center"/>
                    <w:rPr>
                      <w:color w:val="000000"/>
                      <w:sz w:val="21"/>
                      <w:szCs w:val="21"/>
                    </w:rPr>
                  </w:pPr>
                  <w:r>
                    <w:rPr>
                      <w:color w:val="000000"/>
                      <w:sz w:val="21"/>
                      <w:szCs w:val="21"/>
                    </w:rPr>
                    <w:t>环境风险</w:t>
                  </w:r>
                </w:p>
              </w:tc>
              <w:tc>
                <w:tcPr>
                  <w:tcW w:w="3345" w:type="dxa"/>
                  <w:tcBorders>
                    <w:tl2br w:val="nil"/>
                    <w:tr2bl w:val="nil"/>
                  </w:tcBorders>
                  <w:noWrap w:val="0"/>
                  <w:tcMar>
                    <w:left w:w="57" w:type="dxa"/>
                    <w:right w:w="57" w:type="dxa"/>
                  </w:tcMar>
                  <w:vAlign w:val="center"/>
                </w:tcPr>
                <w:p>
                  <w:pPr>
                    <w:snapToGrid w:val="0"/>
                    <w:rPr>
                      <w:color w:val="000000"/>
                      <w:sz w:val="21"/>
                      <w:szCs w:val="21"/>
                    </w:rPr>
                  </w:pPr>
                  <w:r>
                    <w:rPr>
                      <w:color w:val="000000"/>
                      <w:sz w:val="21"/>
                      <w:szCs w:val="21"/>
                    </w:rPr>
                    <w:t>1、限制新建无</w:t>
                  </w:r>
                  <w:r>
                    <w:rPr>
                      <w:rFonts w:hint="eastAsia"/>
                      <w:color w:val="000000"/>
                      <w:sz w:val="21"/>
                      <w:szCs w:val="21"/>
                      <w:lang w:val="en-US" w:eastAsia="zh-CN"/>
                    </w:rPr>
                    <w:t>可</w:t>
                  </w:r>
                  <w:r>
                    <w:rPr>
                      <w:color w:val="000000"/>
                      <w:sz w:val="21"/>
                      <w:szCs w:val="21"/>
                    </w:rPr>
                    <w:cr/>
                  </w:r>
                  <w:r>
                    <w:rPr>
                      <w:color w:val="000000"/>
                      <w:sz w:val="21"/>
                      <w:szCs w:val="21"/>
                    </w:rPr>
                    <w:t>靠风险</w:t>
                  </w:r>
                  <w:r>
                    <w:rPr>
                      <w:color w:val="000000"/>
                      <w:sz w:val="21"/>
                      <w:szCs w:val="21"/>
                    </w:rPr>
                    <w:cr/>
                  </w:r>
                  <w:r>
                    <w:rPr>
                      <w:color w:val="000000"/>
                      <w:sz w:val="21"/>
                      <w:szCs w:val="21"/>
                    </w:rPr>
                    <w:t>范措施且存在重大危险源项目。</w:t>
                  </w:r>
                </w:p>
              </w:tc>
              <w:tc>
                <w:tcPr>
                  <w:tcW w:w="3120" w:type="dxa"/>
                  <w:tcBorders>
                    <w:tl2br w:val="nil"/>
                    <w:tr2bl w:val="nil"/>
                  </w:tcBorders>
                  <w:noWrap w:val="0"/>
                  <w:tcMar>
                    <w:left w:w="57" w:type="dxa"/>
                    <w:right w:w="57" w:type="dxa"/>
                  </w:tcMar>
                  <w:vAlign w:val="center"/>
                </w:tcPr>
                <w:p>
                  <w:pPr>
                    <w:snapToGrid w:val="0"/>
                    <w:rPr>
                      <w:color w:val="000000"/>
                      <w:sz w:val="21"/>
                      <w:szCs w:val="21"/>
                    </w:rPr>
                  </w:pPr>
                  <w:r>
                    <w:rPr>
                      <w:color w:val="000000"/>
                      <w:sz w:val="21"/>
                      <w:szCs w:val="21"/>
                    </w:rPr>
                    <w:t>本项目无重大危险源。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099" w:type="dxa"/>
                  <w:tcBorders>
                    <w:tl2br w:val="nil"/>
                    <w:tr2bl w:val="nil"/>
                  </w:tcBorders>
                  <w:noWrap w:val="0"/>
                  <w:tcMar>
                    <w:left w:w="57" w:type="dxa"/>
                    <w:right w:w="57" w:type="dxa"/>
                  </w:tcMar>
                  <w:vAlign w:val="center"/>
                </w:tcPr>
                <w:p>
                  <w:pPr>
                    <w:snapToGrid w:val="0"/>
                    <w:jc w:val="center"/>
                    <w:rPr>
                      <w:color w:val="000000"/>
                      <w:sz w:val="21"/>
                      <w:szCs w:val="21"/>
                    </w:rPr>
                  </w:pPr>
                </w:p>
              </w:tc>
              <w:tc>
                <w:tcPr>
                  <w:tcW w:w="3345" w:type="dxa"/>
                  <w:tcBorders>
                    <w:tl2br w:val="nil"/>
                    <w:tr2bl w:val="nil"/>
                  </w:tcBorders>
                  <w:noWrap w:val="0"/>
                  <w:tcMar>
                    <w:left w:w="57" w:type="dxa"/>
                    <w:right w:w="57" w:type="dxa"/>
                  </w:tcMar>
                  <w:vAlign w:val="center"/>
                </w:tcPr>
                <w:p>
                  <w:pPr>
                    <w:snapToGrid w:val="0"/>
                    <w:jc w:val="center"/>
                    <w:rPr>
                      <w:b/>
                      <w:color w:val="000000"/>
                      <w:sz w:val="21"/>
                      <w:szCs w:val="21"/>
                    </w:rPr>
                  </w:pPr>
                  <w:r>
                    <w:rPr>
                      <w:b/>
                      <w:color w:val="000000"/>
                      <w:sz w:val="21"/>
                      <w:szCs w:val="21"/>
                    </w:rPr>
                    <w:t>禁止类</w:t>
                  </w:r>
                </w:p>
              </w:tc>
              <w:tc>
                <w:tcPr>
                  <w:tcW w:w="3120" w:type="dxa"/>
                  <w:tcBorders>
                    <w:tl2br w:val="nil"/>
                    <w:tr2bl w:val="nil"/>
                  </w:tcBorders>
                  <w:noWrap w:val="0"/>
                  <w:tcMar>
                    <w:left w:w="57" w:type="dxa"/>
                    <w:right w:w="57" w:type="dxa"/>
                  </w:tcMar>
                  <w:vAlign w:val="center"/>
                </w:tcPr>
                <w:p>
                  <w:pPr>
                    <w:snapToGrid w:val="0"/>
                    <w:jc w:val="center"/>
                    <w:rPr>
                      <w:rFonts w:hint="default" w:eastAsia="宋体"/>
                      <w:color w:val="000000"/>
                      <w:kern w:val="0"/>
                      <w:sz w:val="21"/>
                      <w:szCs w:val="21"/>
                      <w:lang w:val="en-US" w:eastAsia="zh-CN"/>
                    </w:rPr>
                  </w:pPr>
                  <w:r>
                    <w:rPr>
                      <w:rFonts w:hint="eastAsia"/>
                      <w:b/>
                      <w:bCs/>
                      <w:color w:val="000000"/>
                      <w:kern w:val="0"/>
                      <w:sz w:val="21"/>
                      <w:szCs w:val="21"/>
                      <w:lang w:val="en-US" w:eastAsia="zh-CN"/>
                    </w:rPr>
                    <w:t>本项目情况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099" w:type="dxa"/>
                  <w:tcBorders>
                    <w:tl2br w:val="nil"/>
                    <w:tr2bl w:val="nil"/>
                  </w:tcBorders>
                  <w:noWrap w:val="0"/>
                  <w:tcMar>
                    <w:left w:w="57" w:type="dxa"/>
                    <w:right w:w="57" w:type="dxa"/>
                  </w:tcMar>
                  <w:vAlign w:val="center"/>
                </w:tcPr>
                <w:p>
                  <w:pPr>
                    <w:snapToGrid w:val="0"/>
                    <w:jc w:val="center"/>
                    <w:rPr>
                      <w:color w:val="000000"/>
                      <w:sz w:val="21"/>
                      <w:szCs w:val="21"/>
                    </w:rPr>
                  </w:pPr>
                  <w:r>
                    <w:rPr>
                      <w:color w:val="000000"/>
                      <w:sz w:val="21"/>
                      <w:szCs w:val="21"/>
                    </w:rPr>
                    <w:t>空间布局及土地规划</w:t>
                  </w:r>
                </w:p>
              </w:tc>
              <w:tc>
                <w:tcPr>
                  <w:tcW w:w="3345" w:type="dxa"/>
                  <w:tcBorders>
                    <w:tl2br w:val="nil"/>
                    <w:tr2bl w:val="nil"/>
                  </w:tcBorders>
                  <w:noWrap w:val="0"/>
                  <w:tcMar>
                    <w:left w:w="57" w:type="dxa"/>
                    <w:right w:w="57" w:type="dxa"/>
                  </w:tcMar>
                  <w:vAlign w:val="center"/>
                </w:tcPr>
                <w:p>
                  <w:pPr>
                    <w:adjustRightInd w:val="0"/>
                    <w:snapToGrid w:val="0"/>
                    <w:rPr>
                      <w:color w:val="000000"/>
                      <w:sz w:val="21"/>
                      <w:szCs w:val="21"/>
                    </w:rPr>
                  </w:pPr>
                  <w:r>
                    <w:rPr>
                      <w:color w:val="000000"/>
                      <w:sz w:val="21"/>
                      <w:szCs w:val="21"/>
                    </w:rPr>
                    <w:t>1、禁止化工项目入驻（与主导产业相关的二类化工项目除外）；</w:t>
                  </w:r>
                </w:p>
                <w:p>
                  <w:pPr>
                    <w:adjustRightInd w:val="0"/>
                    <w:snapToGrid w:val="0"/>
                    <w:rPr>
                      <w:color w:val="000000"/>
                      <w:sz w:val="21"/>
                      <w:szCs w:val="21"/>
                    </w:rPr>
                  </w:pPr>
                  <w:r>
                    <w:rPr>
                      <w:color w:val="000000"/>
                      <w:sz w:val="21"/>
                      <w:szCs w:val="21"/>
                    </w:rPr>
                    <w:t>2、禁止现有不符合园区土地利用规划企业扩大用地规模；</w:t>
                  </w:r>
                </w:p>
                <w:p>
                  <w:pPr>
                    <w:tabs>
                      <w:tab w:val="left" w:pos="7200"/>
                    </w:tabs>
                    <w:adjustRightInd w:val="0"/>
                    <w:snapToGrid w:val="0"/>
                    <w:rPr>
                      <w:color w:val="000000"/>
                      <w:sz w:val="21"/>
                      <w:szCs w:val="21"/>
                    </w:rPr>
                  </w:pPr>
                  <w:r>
                    <w:rPr>
                      <w:color w:val="000000"/>
                      <w:sz w:val="21"/>
                      <w:szCs w:val="21"/>
                    </w:rPr>
                    <w:t>3、禁止不符合园区土地</w:t>
                  </w:r>
                  <w:r>
                    <w:rPr>
                      <w:rStyle w:val="31"/>
                      <w:rFonts w:hint="eastAsia"/>
                      <w:color w:val="000000"/>
                    </w:rPr>
                    <w:t>利</w:t>
                  </w:r>
                  <w:r>
                    <w:rPr>
                      <w:color w:val="000000"/>
                      <w:sz w:val="21"/>
                      <w:szCs w:val="21"/>
                    </w:rPr>
                    <w:t>用规划的项目入区。</w:t>
                  </w:r>
                </w:p>
              </w:tc>
              <w:tc>
                <w:tcPr>
                  <w:tcW w:w="3120" w:type="dxa"/>
                  <w:tcBorders>
                    <w:tl2br w:val="nil"/>
                    <w:tr2bl w:val="nil"/>
                  </w:tcBorders>
                  <w:noWrap w:val="0"/>
                  <w:tcMar>
                    <w:left w:w="57" w:type="dxa"/>
                    <w:right w:w="57" w:type="dxa"/>
                  </w:tcMar>
                  <w:vAlign w:val="center"/>
                </w:tcPr>
                <w:p>
                  <w:pPr>
                    <w:snapToGrid w:val="0"/>
                    <w:rPr>
                      <w:color w:val="000000"/>
                      <w:kern w:val="0"/>
                      <w:sz w:val="21"/>
                      <w:szCs w:val="21"/>
                    </w:rPr>
                  </w:pPr>
                  <w:r>
                    <w:rPr>
                      <w:color w:val="000000"/>
                      <w:kern w:val="0"/>
                      <w:sz w:val="21"/>
                      <w:szCs w:val="21"/>
                    </w:rPr>
                    <w:t>本项目</w:t>
                  </w:r>
                  <w:r>
                    <w:rPr>
                      <w:rFonts w:hint="eastAsia"/>
                      <w:color w:val="000000"/>
                      <w:kern w:val="0"/>
                      <w:sz w:val="21"/>
                      <w:szCs w:val="21"/>
                      <w:lang w:val="en-US" w:eastAsia="zh-CN"/>
                    </w:rPr>
                    <w:t>不属于化工行业</w:t>
                  </w:r>
                  <w:r>
                    <w:rPr>
                      <w:rFonts w:hint="eastAsia"/>
                      <w:color w:val="000000"/>
                      <w:kern w:val="0"/>
                      <w:sz w:val="21"/>
                      <w:szCs w:val="21"/>
                    </w:rPr>
                    <w:t>，</w:t>
                  </w:r>
                  <w:r>
                    <w:rPr>
                      <w:rFonts w:hint="eastAsia"/>
                      <w:color w:val="000000"/>
                      <w:kern w:val="0"/>
                      <w:sz w:val="21"/>
                      <w:szCs w:val="21"/>
                      <w:lang w:val="en-US" w:eastAsia="zh-CN"/>
                    </w:rPr>
                    <w:t>占地属工业用地，</w:t>
                  </w:r>
                  <w:r>
                    <w:rPr>
                      <w:color w:val="000000"/>
                      <w:sz w:val="21"/>
                      <w:szCs w:val="21"/>
                    </w:rPr>
                    <w:t>符合园区土地利用规划。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099" w:type="dxa"/>
                  <w:tcBorders>
                    <w:tl2br w:val="nil"/>
                    <w:tr2bl w:val="nil"/>
                  </w:tcBorders>
                  <w:noWrap w:val="0"/>
                  <w:tcMar>
                    <w:left w:w="57" w:type="dxa"/>
                    <w:right w:w="57" w:type="dxa"/>
                  </w:tcMar>
                  <w:vAlign w:val="center"/>
                </w:tcPr>
                <w:p>
                  <w:pPr>
                    <w:snapToGrid w:val="0"/>
                    <w:jc w:val="center"/>
                    <w:rPr>
                      <w:color w:val="000000"/>
                      <w:sz w:val="21"/>
                      <w:szCs w:val="21"/>
                    </w:rPr>
                  </w:pPr>
                  <w:r>
                    <w:rPr>
                      <w:color w:val="000000"/>
                      <w:sz w:val="21"/>
                      <w:szCs w:val="21"/>
                    </w:rPr>
                    <w:t>产业政策及行业准入</w:t>
                  </w:r>
                </w:p>
              </w:tc>
              <w:tc>
                <w:tcPr>
                  <w:tcW w:w="3345" w:type="dxa"/>
                  <w:tcBorders>
                    <w:tl2br w:val="nil"/>
                    <w:tr2bl w:val="nil"/>
                  </w:tcBorders>
                  <w:noWrap w:val="0"/>
                  <w:tcMar>
                    <w:left w:w="57" w:type="dxa"/>
                    <w:right w:w="57" w:type="dxa"/>
                  </w:tcMar>
                  <w:vAlign w:val="center"/>
                </w:tcPr>
                <w:p>
                  <w:pPr>
                    <w:adjustRightInd w:val="0"/>
                    <w:snapToGrid w:val="0"/>
                    <w:rPr>
                      <w:color w:val="000000"/>
                      <w:sz w:val="21"/>
                      <w:szCs w:val="21"/>
                    </w:rPr>
                  </w:pPr>
                  <w:r>
                    <w:rPr>
                      <w:color w:val="000000"/>
                      <w:sz w:val="21"/>
                      <w:szCs w:val="21"/>
                    </w:rPr>
                    <w:t>1、禁止新建国家《产业结构调整指导目录（2011年本）（2013年修正）》中限制、淘汰类的建设项目；</w:t>
                  </w:r>
                </w:p>
                <w:p>
                  <w:pPr>
                    <w:adjustRightInd w:val="0"/>
                    <w:snapToGrid w:val="0"/>
                    <w:rPr>
                      <w:color w:val="000000"/>
                      <w:sz w:val="21"/>
                      <w:szCs w:val="21"/>
                    </w:rPr>
                  </w:pPr>
                  <w:r>
                    <w:rPr>
                      <w:color w:val="000000"/>
                      <w:sz w:val="21"/>
                      <w:szCs w:val="21"/>
                    </w:rPr>
                    <w:t>2、禁止新增重金属污染物排放的相应项目（涉及铅、镉、铬、砷、汞等，符合省、市重大产业布局的项目除外）；</w:t>
                  </w:r>
                </w:p>
                <w:p>
                  <w:pPr>
                    <w:adjustRightInd w:val="0"/>
                    <w:snapToGrid w:val="0"/>
                    <w:rPr>
                      <w:color w:val="000000"/>
                      <w:sz w:val="21"/>
                      <w:szCs w:val="21"/>
                    </w:rPr>
                  </w:pPr>
                  <w:r>
                    <w:rPr>
                      <w:color w:val="000000"/>
                      <w:sz w:val="21"/>
                      <w:szCs w:val="21"/>
                    </w:rPr>
                    <w:t>3、禁止高毒、高污染的工业企业入驻；</w:t>
                  </w:r>
                </w:p>
                <w:p>
                  <w:pPr>
                    <w:adjustRightInd w:val="0"/>
                    <w:snapToGrid w:val="0"/>
                    <w:rPr>
                      <w:bCs/>
                      <w:color w:val="000000"/>
                      <w:sz w:val="21"/>
                      <w:szCs w:val="21"/>
                    </w:rPr>
                  </w:pPr>
                  <w:r>
                    <w:rPr>
                      <w:color w:val="000000"/>
                      <w:sz w:val="21"/>
                      <w:szCs w:val="21"/>
                    </w:rPr>
                    <w:t>4、禁止铅酸电池回收项目入驻</w:t>
                  </w:r>
                  <w:r>
                    <w:rPr>
                      <w:bCs/>
                      <w:color w:val="000000"/>
                      <w:sz w:val="21"/>
                      <w:szCs w:val="21"/>
                    </w:rPr>
                    <w:t>；</w:t>
                  </w:r>
                </w:p>
                <w:p>
                  <w:pPr>
                    <w:tabs>
                      <w:tab w:val="left" w:pos="7200"/>
                    </w:tabs>
                    <w:adjustRightInd w:val="0"/>
                    <w:snapToGrid w:val="0"/>
                    <w:rPr>
                      <w:bCs/>
                      <w:color w:val="000000"/>
                      <w:sz w:val="21"/>
                      <w:szCs w:val="21"/>
                    </w:rPr>
                  </w:pPr>
                  <w:r>
                    <w:rPr>
                      <w:color w:val="000000"/>
                      <w:sz w:val="21"/>
                      <w:szCs w:val="21"/>
                    </w:rPr>
                    <w:t>5、禁止新建铅酸电池项目入驻</w:t>
                  </w:r>
                  <w:r>
                    <w:rPr>
                      <w:bCs/>
                      <w:color w:val="000000"/>
                      <w:sz w:val="21"/>
                      <w:szCs w:val="21"/>
                    </w:rPr>
                    <w:t>。</w:t>
                  </w:r>
                </w:p>
              </w:tc>
              <w:tc>
                <w:tcPr>
                  <w:tcW w:w="3120" w:type="dxa"/>
                  <w:tcBorders>
                    <w:tl2br w:val="nil"/>
                    <w:tr2bl w:val="nil"/>
                  </w:tcBorders>
                  <w:noWrap w:val="0"/>
                  <w:tcMar>
                    <w:left w:w="57" w:type="dxa"/>
                    <w:right w:w="57" w:type="dxa"/>
                  </w:tcMar>
                  <w:vAlign w:val="center"/>
                </w:tcPr>
                <w:p>
                  <w:pPr>
                    <w:snapToGrid w:val="0"/>
                    <w:rPr>
                      <w:color w:val="000000"/>
                      <w:kern w:val="0"/>
                      <w:sz w:val="21"/>
                      <w:szCs w:val="21"/>
                    </w:rPr>
                  </w:pPr>
                  <w:r>
                    <w:rPr>
                      <w:bCs/>
                      <w:color w:val="000000"/>
                      <w:sz w:val="21"/>
                      <w:szCs w:val="21"/>
                    </w:rPr>
                    <w:t>本项目属于《产业结构调整指导目录（2019年本）》中允许类建设项目</w:t>
                  </w:r>
                  <w:r>
                    <w:rPr>
                      <w:rFonts w:hint="eastAsia"/>
                      <w:bCs/>
                      <w:color w:val="000000"/>
                      <w:sz w:val="21"/>
                      <w:szCs w:val="21"/>
                    </w:rPr>
                    <w:t>，</w:t>
                  </w:r>
                  <w:r>
                    <w:rPr>
                      <w:rFonts w:hint="eastAsia"/>
                      <w:bCs/>
                      <w:color w:val="000000"/>
                      <w:sz w:val="21"/>
                      <w:szCs w:val="21"/>
                      <w:lang w:val="en-US" w:eastAsia="zh-CN"/>
                    </w:rPr>
                    <w:t>经营</w:t>
                  </w:r>
                  <w:r>
                    <w:rPr>
                      <w:rFonts w:hint="eastAsia"/>
                      <w:bCs/>
                      <w:color w:val="000000"/>
                      <w:sz w:val="21"/>
                      <w:szCs w:val="21"/>
                    </w:rPr>
                    <w:t>过程</w:t>
                  </w:r>
                  <w:r>
                    <w:rPr>
                      <w:rFonts w:hint="eastAsia"/>
                      <w:bCs/>
                      <w:color w:val="000000"/>
                      <w:sz w:val="21"/>
                      <w:szCs w:val="21"/>
                      <w:lang w:val="en-US" w:eastAsia="zh-CN"/>
                    </w:rPr>
                    <w:t>不涉及</w:t>
                  </w:r>
                  <w:r>
                    <w:rPr>
                      <w:rFonts w:hint="eastAsia"/>
                      <w:bCs/>
                      <w:color w:val="000000"/>
                      <w:sz w:val="21"/>
                      <w:szCs w:val="21"/>
                    </w:rPr>
                    <w:t>重金属污染物排放，</w:t>
                  </w:r>
                  <w:r>
                    <w:rPr>
                      <w:rFonts w:hint="eastAsia"/>
                      <w:bCs/>
                      <w:color w:val="000000"/>
                      <w:sz w:val="21"/>
                      <w:szCs w:val="21"/>
                      <w:lang w:val="en-US" w:eastAsia="zh-CN"/>
                    </w:rPr>
                    <w:t>不属于高毒、高</w:t>
                  </w:r>
                  <w:r>
                    <w:rPr>
                      <w:bCs/>
                      <w:color w:val="000000"/>
                      <w:sz w:val="21"/>
                      <w:szCs w:val="21"/>
                    </w:rPr>
                    <w:t>污染工业企业，</w:t>
                  </w:r>
                  <w:r>
                    <w:rPr>
                      <w:rFonts w:hint="eastAsia"/>
                      <w:bCs/>
                      <w:color w:val="000000"/>
                      <w:sz w:val="21"/>
                      <w:szCs w:val="21"/>
                      <w:lang w:val="en-US" w:eastAsia="zh-CN"/>
                    </w:rPr>
                    <w:t>不属于</w:t>
                  </w:r>
                  <w:r>
                    <w:rPr>
                      <w:bCs/>
                      <w:color w:val="000000"/>
                      <w:sz w:val="21"/>
                      <w:szCs w:val="21"/>
                    </w:rPr>
                    <w:t>铅酸电池项目、铅酸电池回收项目。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099" w:type="dxa"/>
                  <w:tcBorders>
                    <w:tl2br w:val="nil"/>
                    <w:tr2bl w:val="nil"/>
                  </w:tcBorders>
                  <w:noWrap w:val="0"/>
                  <w:tcMar>
                    <w:left w:w="57" w:type="dxa"/>
                    <w:right w:w="57" w:type="dxa"/>
                  </w:tcMar>
                  <w:vAlign w:val="center"/>
                </w:tcPr>
                <w:p>
                  <w:pPr>
                    <w:snapToGrid w:val="0"/>
                    <w:jc w:val="center"/>
                    <w:rPr>
                      <w:color w:val="000000"/>
                      <w:sz w:val="21"/>
                      <w:szCs w:val="21"/>
                    </w:rPr>
                  </w:pPr>
                  <w:r>
                    <w:rPr>
                      <w:color w:val="000000"/>
                      <w:sz w:val="21"/>
                      <w:szCs w:val="21"/>
                    </w:rPr>
                    <w:t>污染物排放及资源利用</w:t>
                  </w:r>
                </w:p>
              </w:tc>
              <w:tc>
                <w:tcPr>
                  <w:tcW w:w="3345" w:type="dxa"/>
                  <w:tcBorders>
                    <w:tl2br w:val="nil"/>
                    <w:tr2bl w:val="nil"/>
                  </w:tcBorders>
                  <w:noWrap w:val="0"/>
                  <w:tcMar>
                    <w:left w:w="57" w:type="dxa"/>
                    <w:right w:w="57" w:type="dxa"/>
                  </w:tcMar>
                  <w:vAlign w:val="center"/>
                </w:tcPr>
                <w:p>
                  <w:pPr>
                    <w:adjustRightInd w:val="0"/>
                    <w:snapToGrid w:val="0"/>
                    <w:rPr>
                      <w:color w:val="000000"/>
                      <w:sz w:val="21"/>
                      <w:szCs w:val="21"/>
                    </w:rPr>
                  </w:pPr>
                  <w:r>
                    <w:rPr>
                      <w:color w:val="000000"/>
                      <w:sz w:val="21"/>
                      <w:szCs w:val="21"/>
                    </w:rPr>
                    <w:t>1.禁止新建燃煤锅炉项目；</w:t>
                  </w:r>
                </w:p>
                <w:p>
                  <w:pPr>
                    <w:adjustRightInd w:val="0"/>
                    <w:snapToGrid w:val="0"/>
                    <w:rPr>
                      <w:color w:val="000000"/>
                      <w:sz w:val="21"/>
                      <w:szCs w:val="21"/>
                    </w:rPr>
                  </w:pPr>
                  <w:r>
                    <w:rPr>
                      <w:color w:val="000000"/>
                      <w:sz w:val="21"/>
                      <w:szCs w:val="21"/>
                    </w:rPr>
                    <w:t>2.禁止清洁生产水平达不到国内先进水平的项目；</w:t>
                  </w:r>
                </w:p>
                <w:p>
                  <w:pPr>
                    <w:adjustRightInd w:val="0"/>
                    <w:snapToGrid w:val="0"/>
                    <w:rPr>
                      <w:color w:val="000000"/>
                      <w:sz w:val="21"/>
                      <w:szCs w:val="21"/>
                    </w:rPr>
                  </w:pPr>
                  <w:r>
                    <w:rPr>
                      <w:color w:val="000000"/>
                      <w:sz w:val="21"/>
                      <w:szCs w:val="21"/>
                    </w:rPr>
                    <w:t>3、禁止引入排放《污水综合排放标准》（GB8978-1996）中表1、第一类污染物（总镍除外）的项目（符合省、市重大产业布局的项目除外）；</w:t>
                  </w:r>
                </w:p>
                <w:p>
                  <w:pPr>
                    <w:tabs>
                      <w:tab w:val="left" w:pos="7200"/>
                    </w:tabs>
                    <w:adjustRightInd w:val="0"/>
                    <w:snapToGrid w:val="0"/>
                    <w:rPr>
                      <w:color w:val="000000"/>
                      <w:sz w:val="21"/>
                      <w:szCs w:val="21"/>
                    </w:rPr>
                  </w:pPr>
                  <w:r>
                    <w:rPr>
                      <w:color w:val="000000"/>
                      <w:sz w:val="21"/>
                      <w:szCs w:val="21"/>
                    </w:rPr>
                    <w:t>4、禁止化工、涂装、包装印刷行业中涉及高VOC排放的企业入驻。</w:t>
                  </w:r>
                </w:p>
              </w:tc>
              <w:tc>
                <w:tcPr>
                  <w:tcW w:w="3120" w:type="dxa"/>
                  <w:tcBorders>
                    <w:tl2br w:val="nil"/>
                    <w:tr2bl w:val="nil"/>
                  </w:tcBorders>
                  <w:noWrap w:val="0"/>
                  <w:tcMar>
                    <w:left w:w="57" w:type="dxa"/>
                    <w:right w:w="57" w:type="dxa"/>
                  </w:tcMar>
                  <w:vAlign w:val="center"/>
                </w:tcPr>
                <w:p>
                  <w:pPr>
                    <w:snapToGrid w:val="0"/>
                    <w:rPr>
                      <w:color w:val="000000"/>
                      <w:kern w:val="0"/>
                      <w:sz w:val="21"/>
                      <w:szCs w:val="21"/>
                    </w:rPr>
                  </w:pPr>
                  <w:r>
                    <w:rPr>
                      <w:color w:val="000000"/>
                      <w:kern w:val="0"/>
                      <w:sz w:val="21"/>
                      <w:szCs w:val="21"/>
                    </w:rPr>
                    <w:t>本项目</w:t>
                  </w:r>
                  <w:r>
                    <w:rPr>
                      <w:rFonts w:hint="eastAsia"/>
                      <w:color w:val="000000"/>
                      <w:kern w:val="0"/>
                      <w:sz w:val="21"/>
                      <w:szCs w:val="21"/>
                      <w:lang w:val="en-US" w:eastAsia="zh-CN"/>
                    </w:rPr>
                    <w:t>不</w:t>
                  </w:r>
                  <w:r>
                    <w:rPr>
                      <w:color w:val="000000"/>
                      <w:kern w:val="0"/>
                      <w:sz w:val="21"/>
                      <w:szCs w:val="21"/>
                    </w:rPr>
                    <w:t>建设</w:t>
                  </w:r>
                  <w:r>
                    <w:rPr>
                      <w:rFonts w:hint="eastAsia"/>
                      <w:color w:val="000000"/>
                      <w:kern w:val="0"/>
                      <w:sz w:val="21"/>
                      <w:szCs w:val="21"/>
                      <w:lang w:val="en-US" w:eastAsia="zh-CN"/>
                    </w:rPr>
                    <w:t>锅炉</w:t>
                  </w:r>
                  <w:r>
                    <w:rPr>
                      <w:color w:val="000000"/>
                      <w:kern w:val="0"/>
                      <w:sz w:val="21"/>
                      <w:szCs w:val="21"/>
                    </w:rPr>
                    <w:t>；</w:t>
                  </w:r>
                </w:p>
                <w:p>
                  <w:pPr>
                    <w:snapToGrid w:val="0"/>
                    <w:rPr>
                      <w:color w:val="000000"/>
                      <w:kern w:val="0"/>
                      <w:sz w:val="21"/>
                      <w:szCs w:val="21"/>
                    </w:rPr>
                  </w:pPr>
                  <w:r>
                    <w:rPr>
                      <w:color w:val="000000"/>
                      <w:kern w:val="0"/>
                      <w:sz w:val="21"/>
                      <w:szCs w:val="21"/>
                    </w:rPr>
                    <w:t>本项目清洁生产水平能够达到国内先进水平；</w:t>
                  </w:r>
                </w:p>
                <w:p>
                  <w:pPr>
                    <w:snapToGrid w:val="0"/>
                    <w:rPr>
                      <w:color w:val="000000"/>
                      <w:sz w:val="21"/>
                      <w:szCs w:val="21"/>
                    </w:rPr>
                  </w:pPr>
                  <w:r>
                    <w:rPr>
                      <w:color w:val="000000"/>
                      <w:kern w:val="0"/>
                      <w:sz w:val="21"/>
                      <w:szCs w:val="21"/>
                    </w:rPr>
                    <w:t>本项目不排放</w:t>
                  </w:r>
                  <w:r>
                    <w:rPr>
                      <w:color w:val="000000"/>
                      <w:sz w:val="21"/>
                      <w:szCs w:val="21"/>
                    </w:rPr>
                    <w:t>《污水综合排放标准》中第一类污染物；</w:t>
                  </w:r>
                </w:p>
                <w:p>
                  <w:pPr>
                    <w:snapToGrid w:val="0"/>
                    <w:rPr>
                      <w:color w:val="000000"/>
                      <w:kern w:val="0"/>
                      <w:sz w:val="21"/>
                      <w:szCs w:val="21"/>
                    </w:rPr>
                  </w:pPr>
                  <w:r>
                    <w:rPr>
                      <w:color w:val="000000"/>
                      <w:sz w:val="21"/>
                      <w:szCs w:val="21"/>
                    </w:rPr>
                    <w:t>本项目不属于化工、涂装、包装印刷行业。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atLeast"/>
                <w:jc w:val="center"/>
              </w:trPr>
              <w:tc>
                <w:tcPr>
                  <w:tcW w:w="1099" w:type="dxa"/>
                  <w:tcBorders>
                    <w:tl2br w:val="nil"/>
                    <w:tr2bl w:val="nil"/>
                  </w:tcBorders>
                  <w:noWrap w:val="0"/>
                  <w:tcMar>
                    <w:left w:w="57" w:type="dxa"/>
                    <w:right w:w="57" w:type="dxa"/>
                  </w:tcMar>
                  <w:vAlign w:val="center"/>
                </w:tcPr>
                <w:p>
                  <w:pPr>
                    <w:snapToGrid w:val="0"/>
                    <w:jc w:val="center"/>
                    <w:rPr>
                      <w:color w:val="000000"/>
                      <w:sz w:val="21"/>
                      <w:szCs w:val="21"/>
                    </w:rPr>
                  </w:pPr>
                  <w:r>
                    <w:rPr>
                      <w:color w:val="000000"/>
                      <w:sz w:val="21"/>
                      <w:szCs w:val="21"/>
                    </w:rPr>
                    <w:t>环</w:t>
                  </w:r>
                  <w:r>
                    <w:rPr>
                      <w:rFonts w:hint="eastAsia"/>
                      <w:color w:val="000000"/>
                      <w:sz w:val="21"/>
                      <w:szCs w:val="21"/>
                    </w:rPr>
                    <w:t>境</w:t>
                  </w:r>
                  <w:r>
                    <w:rPr>
                      <w:color w:val="000000"/>
                      <w:sz w:val="21"/>
                      <w:szCs w:val="21"/>
                    </w:rPr>
                    <w:t>风险</w:t>
                  </w:r>
                </w:p>
              </w:tc>
              <w:tc>
                <w:tcPr>
                  <w:tcW w:w="3345" w:type="dxa"/>
                  <w:tcBorders>
                    <w:tl2br w:val="nil"/>
                    <w:tr2bl w:val="nil"/>
                  </w:tcBorders>
                  <w:noWrap w:val="0"/>
                  <w:tcMar>
                    <w:left w:w="57" w:type="dxa"/>
                    <w:right w:w="57" w:type="dxa"/>
                  </w:tcMar>
                  <w:vAlign w:val="center"/>
                </w:tcPr>
                <w:p>
                  <w:pPr>
                    <w:tabs>
                      <w:tab w:val="left" w:pos="7200"/>
                    </w:tabs>
                    <w:adjustRightInd w:val="0"/>
                    <w:snapToGrid w:val="0"/>
                    <w:rPr>
                      <w:color w:val="000000"/>
                      <w:sz w:val="21"/>
                      <w:szCs w:val="21"/>
                    </w:rPr>
                  </w:pPr>
                  <w:r>
                    <w:rPr>
                      <w:color w:val="000000"/>
                      <w:kern w:val="0"/>
                      <w:sz w:val="21"/>
                      <w:szCs w:val="21"/>
                    </w:rPr>
                    <w:t>1、禁止新建与环境敏感目标间距不能满足建设项目环评文件或者行业规定的防护距离要求的项目。</w:t>
                  </w:r>
                </w:p>
              </w:tc>
              <w:tc>
                <w:tcPr>
                  <w:tcW w:w="3120" w:type="dxa"/>
                  <w:tcBorders>
                    <w:tl2br w:val="nil"/>
                    <w:tr2bl w:val="nil"/>
                  </w:tcBorders>
                  <w:noWrap w:val="0"/>
                  <w:tcMar>
                    <w:left w:w="57" w:type="dxa"/>
                    <w:right w:w="57" w:type="dxa"/>
                  </w:tcMar>
                  <w:vAlign w:val="center"/>
                </w:tcPr>
                <w:p>
                  <w:pPr>
                    <w:snapToGrid w:val="0"/>
                    <w:rPr>
                      <w:color w:val="000000"/>
                      <w:kern w:val="0"/>
                      <w:sz w:val="21"/>
                      <w:szCs w:val="21"/>
                    </w:rPr>
                  </w:pPr>
                  <w:r>
                    <w:rPr>
                      <w:color w:val="000000"/>
                      <w:kern w:val="0"/>
                      <w:sz w:val="21"/>
                      <w:szCs w:val="21"/>
                    </w:rPr>
                    <w:t>项目与最近的敏感点（陈堡村）相距</w:t>
                  </w:r>
                  <w:r>
                    <w:rPr>
                      <w:rFonts w:hint="eastAsia"/>
                      <w:color w:val="000000"/>
                      <w:kern w:val="0"/>
                      <w:sz w:val="21"/>
                      <w:szCs w:val="21"/>
                      <w:lang w:val="en-US" w:eastAsia="zh-CN"/>
                    </w:rPr>
                    <w:t>70</w:t>
                  </w:r>
                  <w:r>
                    <w:rPr>
                      <w:rFonts w:hint="eastAsia"/>
                      <w:color w:val="000000"/>
                      <w:kern w:val="0"/>
                      <w:sz w:val="21"/>
                      <w:szCs w:val="21"/>
                    </w:rPr>
                    <w:t>0</w:t>
                  </w:r>
                  <w:r>
                    <w:rPr>
                      <w:color w:val="000000"/>
                      <w:kern w:val="0"/>
                      <w:sz w:val="21"/>
                      <w:szCs w:val="21"/>
                    </w:rPr>
                    <w:t>m，本项目不需设置卫生防护距离。</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color w:val="000000"/>
                <w:sz w:val="24"/>
                <w:szCs w:val="24"/>
              </w:rPr>
            </w:pPr>
            <w:r>
              <w:rPr>
                <w:bCs/>
                <w:color w:val="000000"/>
                <w:sz w:val="24"/>
              </w:rPr>
              <w:t>本项目位于新乡市动力电池专业园区西片区（电池材料及配件产业区），本项目属于</w:t>
            </w:r>
            <w:r>
              <w:rPr>
                <w:rFonts w:hint="eastAsia"/>
                <w:bCs/>
                <w:color w:val="000000"/>
                <w:sz w:val="24"/>
                <w:lang w:val="en-US" w:eastAsia="zh-CN"/>
              </w:rPr>
              <w:t>危险废物治理业，</w:t>
            </w:r>
            <w:r>
              <w:rPr>
                <w:color w:val="000000"/>
                <w:sz w:val="24"/>
              </w:rPr>
              <w:t>与该片区主导产业从产业特征、污染特征、行业建设要求等多方面对比来看，均无相互制约、相互冲突的因素存在，</w:t>
            </w:r>
            <w:r>
              <w:rPr>
                <w:rStyle w:val="31"/>
                <w:rFonts w:hint="eastAsia"/>
                <w:color w:val="000000"/>
                <w:sz w:val="24"/>
              </w:rPr>
              <w:t>且</w:t>
            </w:r>
            <w:r>
              <w:rPr>
                <w:color w:val="000000"/>
                <w:sz w:val="24"/>
              </w:rPr>
              <w:t>该项目不属于新乡市动力电池专业园区</w:t>
            </w:r>
            <w:r>
              <w:rPr>
                <w:rFonts w:hint="eastAsia"/>
                <w:color w:val="000000"/>
                <w:sz w:val="24"/>
              </w:rPr>
              <w:t>西</w:t>
            </w:r>
            <w:r>
              <w:rPr>
                <w:color w:val="000000"/>
                <w:sz w:val="24"/>
              </w:rPr>
              <w:t>片区环保准入条件中限制和禁止类入驻项目，因此评价认为本项目与新乡市动力电池专业园区</w:t>
            </w:r>
            <w:r>
              <w:rPr>
                <w:rFonts w:hint="eastAsia"/>
                <w:color w:val="000000"/>
                <w:sz w:val="24"/>
              </w:rPr>
              <w:t>西</w:t>
            </w:r>
            <w:r>
              <w:rPr>
                <w:color w:val="000000"/>
                <w:sz w:val="24"/>
              </w:rPr>
              <w:t>片区主导产业规划能够相容</w:t>
            </w:r>
            <w:r>
              <w:rPr>
                <w:rFonts w:hint="eastAsia"/>
                <w:color w:val="000000"/>
                <w:sz w:val="24"/>
              </w:rPr>
              <w:t>，</w:t>
            </w:r>
            <w:r>
              <w:rPr>
                <w:color w:val="000000"/>
                <w:sz w:val="24"/>
              </w:rPr>
              <w:t>符合动力电池专业园区准入条件</w:t>
            </w:r>
            <w:r>
              <w:rPr>
                <w:bCs/>
                <w:color w:val="000000"/>
                <w:sz w:val="24"/>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9" w:hRule="atLeast"/>
          <w:jc w:val="center"/>
        </w:trPr>
        <w:tc>
          <w:tcPr>
            <w:tcW w:w="799" w:type="dxa"/>
            <w:tcBorders>
              <w:tl2br w:val="nil"/>
              <w:tr2bl w:val="nil"/>
            </w:tcBorders>
            <w:vAlign w:val="center"/>
          </w:tcPr>
          <w:p>
            <w:pPr>
              <w:jc w:val="center"/>
              <w:rPr>
                <w:rFonts w:hAnsi="宋体"/>
                <w:color w:val="000000"/>
                <w:sz w:val="24"/>
                <w:szCs w:val="24"/>
              </w:rPr>
            </w:pPr>
            <w:r>
              <w:rPr>
                <w:rFonts w:hint="eastAsia" w:hAnsi="宋体"/>
                <w:color w:val="000000"/>
                <w:sz w:val="24"/>
                <w:szCs w:val="24"/>
              </w:rPr>
              <w:t>其他符合性分析</w:t>
            </w:r>
          </w:p>
        </w:tc>
        <w:tc>
          <w:tcPr>
            <w:tcW w:w="8286" w:type="dxa"/>
            <w:gridSpan w:val="4"/>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520" w:lineRule="exact"/>
              <w:ind w:firstLine="482" w:firstLineChars="200"/>
              <w:textAlignment w:val="auto"/>
              <w:rPr>
                <w:sz w:val="24"/>
              </w:rPr>
            </w:pPr>
            <w:r>
              <w:rPr>
                <w:rFonts w:hint="eastAsia"/>
                <w:b/>
                <w:bCs/>
                <w:color w:val="000000"/>
                <w:sz w:val="24"/>
                <w:szCs w:val="24"/>
              </w:rPr>
              <w:t>1</w:t>
            </w:r>
            <w:r>
              <w:rPr>
                <w:b/>
                <w:bCs/>
                <w:color w:val="000000"/>
                <w:sz w:val="24"/>
                <w:szCs w:val="24"/>
              </w:rPr>
              <w:t>、</w:t>
            </w:r>
            <w:r>
              <w:rPr>
                <w:rFonts w:hint="eastAsia"/>
                <w:b/>
                <w:sz w:val="24"/>
              </w:rPr>
              <w:t>本项目与</w:t>
            </w:r>
            <w:r>
              <w:rPr>
                <w:rFonts w:hAnsi="宋体"/>
                <w:b/>
                <w:kern w:val="0"/>
                <w:sz w:val="24"/>
              </w:rPr>
              <w:t>《建设项目环境影响评价分类管理名录》（</w:t>
            </w:r>
            <w:r>
              <w:rPr>
                <w:b/>
                <w:kern w:val="0"/>
                <w:sz w:val="24"/>
              </w:rPr>
              <w:t>20</w:t>
            </w:r>
            <w:r>
              <w:rPr>
                <w:rFonts w:hint="eastAsia"/>
                <w:b/>
                <w:kern w:val="0"/>
                <w:sz w:val="24"/>
              </w:rPr>
              <w:t>21年版</w:t>
            </w:r>
            <w:r>
              <w:rPr>
                <w:rFonts w:hAnsi="宋体"/>
                <w:b/>
                <w:kern w:val="0"/>
                <w:sz w:val="24"/>
              </w:rPr>
              <w:t>）</w:t>
            </w:r>
            <w:r>
              <w:rPr>
                <w:rFonts w:hint="eastAsia" w:hAnsi="宋体"/>
                <w:b/>
                <w:kern w:val="0"/>
                <w:sz w:val="24"/>
              </w:rPr>
              <w:t>相符性分析</w:t>
            </w:r>
          </w:p>
          <w:p>
            <w:pPr>
              <w:keepNext w:val="0"/>
              <w:keepLines w:val="0"/>
              <w:pageBreakBefore w:val="0"/>
              <w:widowControl w:val="0"/>
              <w:kinsoku/>
              <w:wordWrap/>
              <w:overflowPunct/>
              <w:topLinePunct w:val="0"/>
              <w:bidi w:val="0"/>
              <w:spacing w:line="520" w:lineRule="exact"/>
              <w:ind w:firstLine="480" w:firstLineChars="200"/>
              <w:jc w:val="left"/>
              <w:textAlignment w:val="auto"/>
              <w:rPr>
                <w:b/>
                <w:bCs/>
                <w:color w:val="000000"/>
                <w:sz w:val="24"/>
                <w:szCs w:val="24"/>
              </w:rPr>
            </w:pPr>
            <w:r>
              <w:rPr>
                <w:sz w:val="24"/>
              </w:rPr>
              <w:t>经查阅《建设项目环境影响评价分类管理名录》（生态环境部令第1号），项目属于</w:t>
            </w:r>
            <w:r>
              <w:rPr>
                <w:rFonts w:hint="eastAsia"/>
                <w:sz w:val="24"/>
                <w:lang w:eastAsia="zh-CN"/>
              </w:rPr>
              <w:t>“</w:t>
            </w:r>
            <w:r>
              <w:rPr>
                <w:rFonts w:hint="eastAsia"/>
                <w:sz w:val="24"/>
                <w:lang w:val="en-US" w:eastAsia="zh-CN"/>
              </w:rPr>
              <w:t>四</w:t>
            </w:r>
            <w:r>
              <w:rPr>
                <w:sz w:val="24"/>
              </w:rPr>
              <w:t>十七、</w:t>
            </w:r>
            <w:r>
              <w:rPr>
                <w:rFonts w:hint="eastAsia"/>
                <w:sz w:val="24"/>
                <w:lang w:val="en-US" w:eastAsia="zh-CN"/>
              </w:rPr>
              <w:t>生态保护和环境治理业</w:t>
            </w:r>
            <w:r>
              <w:rPr>
                <w:sz w:val="24"/>
              </w:rPr>
              <w:t>：</w:t>
            </w:r>
            <w:r>
              <w:rPr>
                <w:rFonts w:hint="eastAsia"/>
                <w:sz w:val="24"/>
                <w:lang w:val="en-US" w:eastAsia="zh-CN"/>
              </w:rPr>
              <w:t>101</w:t>
            </w:r>
            <w:r>
              <w:rPr>
                <w:sz w:val="24"/>
              </w:rPr>
              <w:t>：</w:t>
            </w:r>
            <w:r>
              <w:rPr>
                <w:rFonts w:hint="eastAsia"/>
                <w:sz w:val="24"/>
                <w:lang w:val="en-US" w:eastAsia="zh-CN"/>
              </w:rPr>
              <w:t>危险废物（不含医疗废物）利用及处置</w:t>
            </w:r>
            <w:r>
              <w:rPr>
                <w:rFonts w:hint="eastAsia"/>
                <w:sz w:val="24"/>
                <w:lang w:eastAsia="zh-CN"/>
              </w:rPr>
              <w:t>”</w:t>
            </w:r>
            <w:r>
              <w:rPr>
                <w:sz w:val="24"/>
              </w:rPr>
              <w:t>，名录中规定，</w:t>
            </w:r>
            <w:r>
              <w:rPr>
                <w:rFonts w:hint="eastAsia"/>
                <w:sz w:val="24"/>
              </w:rPr>
              <w:t>危险废物利用及处置（产生单位内部回收再利用的除外；单纯收集、贮存的除外）</w:t>
            </w:r>
            <w:r>
              <w:rPr>
                <w:sz w:val="24"/>
              </w:rPr>
              <w:t>的项目需编制环境影响报告书，其他项目需编制环境影响评价报告表。本项目为</w:t>
            </w:r>
            <w:r>
              <w:rPr>
                <w:rFonts w:hint="eastAsia"/>
                <w:sz w:val="24"/>
                <w:lang w:val="en-US" w:eastAsia="zh-CN"/>
              </w:rPr>
              <w:t>危险废物单纯收集、贮存</w:t>
            </w:r>
            <w:r>
              <w:rPr>
                <w:sz w:val="24"/>
              </w:rPr>
              <w:t>，属于其他类，应编制环境影响</w:t>
            </w:r>
            <w:r>
              <w:rPr>
                <w:rFonts w:hint="eastAsia"/>
                <w:sz w:val="24"/>
                <w:lang w:val="en-US" w:eastAsia="zh-CN"/>
              </w:rPr>
              <w:t>评价</w:t>
            </w:r>
            <w:r>
              <w:rPr>
                <w:sz w:val="24"/>
              </w:rPr>
              <w:t>报告表。</w:t>
            </w:r>
          </w:p>
          <w:p>
            <w:pPr>
              <w:keepNext w:val="0"/>
              <w:keepLines w:val="0"/>
              <w:pageBreakBefore w:val="0"/>
              <w:widowControl w:val="0"/>
              <w:kinsoku/>
              <w:wordWrap/>
              <w:overflowPunct/>
              <w:topLinePunct w:val="0"/>
              <w:bidi w:val="0"/>
              <w:spacing w:line="520" w:lineRule="exact"/>
              <w:ind w:firstLine="482" w:firstLineChars="200"/>
              <w:jc w:val="left"/>
              <w:textAlignment w:val="auto"/>
              <w:rPr>
                <w:b/>
                <w:bCs/>
                <w:color w:val="000000"/>
                <w:sz w:val="24"/>
                <w:szCs w:val="24"/>
              </w:rPr>
            </w:pPr>
            <w:r>
              <w:rPr>
                <w:rFonts w:hint="eastAsia"/>
                <w:b/>
                <w:bCs/>
                <w:color w:val="000000"/>
                <w:sz w:val="24"/>
                <w:szCs w:val="24"/>
                <w:lang w:val="en-US" w:eastAsia="zh-CN"/>
              </w:rPr>
              <w:t>2、</w:t>
            </w:r>
            <w:r>
              <w:rPr>
                <w:b/>
                <w:bCs/>
                <w:color w:val="000000"/>
                <w:sz w:val="24"/>
                <w:szCs w:val="24"/>
              </w:rPr>
              <w:t>项目建设与产业政策及备案相符性分析</w:t>
            </w:r>
          </w:p>
          <w:p>
            <w:pPr>
              <w:keepNext w:val="0"/>
              <w:keepLines w:val="0"/>
              <w:pageBreakBefore w:val="0"/>
              <w:widowControl w:val="0"/>
              <w:kinsoku/>
              <w:wordWrap/>
              <w:overflowPunct/>
              <w:topLinePunct w:val="0"/>
              <w:bidi w:val="0"/>
              <w:spacing w:line="520" w:lineRule="exact"/>
              <w:ind w:firstLine="480" w:firstLineChars="200"/>
              <w:jc w:val="both"/>
              <w:textAlignment w:val="auto"/>
              <w:rPr>
                <w:color w:val="000000"/>
                <w:sz w:val="24"/>
                <w:szCs w:val="24"/>
              </w:rPr>
            </w:pPr>
            <w:r>
              <w:rPr>
                <w:rFonts w:hint="eastAsia"/>
                <w:color w:val="000000"/>
                <w:sz w:val="24"/>
                <w:szCs w:val="24"/>
                <w:lang w:val="en-US" w:eastAsia="zh-CN"/>
              </w:rPr>
              <w:t>经查本项目不属于</w:t>
            </w:r>
            <w:r>
              <w:rPr>
                <w:color w:val="000000"/>
                <w:sz w:val="24"/>
                <w:szCs w:val="24"/>
              </w:rPr>
              <w:t>《产业结构调整指导目录</w:t>
            </w:r>
            <w:r>
              <w:rPr>
                <w:rFonts w:hint="eastAsia"/>
                <w:color w:val="000000"/>
                <w:sz w:val="24"/>
                <w:szCs w:val="24"/>
              </w:rPr>
              <w:t>（</w:t>
            </w:r>
            <w:r>
              <w:rPr>
                <w:color w:val="000000"/>
                <w:sz w:val="24"/>
                <w:szCs w:val="24"/>
              </w:rPr>
              <w:t>201</w:t>
            </w:r>
            <w:r>
              <w:rPr>
                <w:rFonts w:hint="eastAsia"/>
                <w:color w:val="000000"/>
                <w:sz w:val="24"/>
                <w:szCs w:val="24"/>
              </w:rPr>
              <w:t>9年</w:t>
            </w:r>
            <w:r>
              <w:rPr>
                <w:color w:val="000000"/>
                <w:sz w:val="24"/>
                <w:szCs w:val="24"/>
              </w:rPr>
              <w:t>本</w:t>
            </w:r>
            <w:r>
              <w:rPr>
                <w:rFonts w:hint="eastAsia"/>
                <w:color w:val="000000"/>
                <w:sz w:val="24"/>
                <w:szCs w:val="24"/>
              </w:rPr>
              <w:t>）</w:t>
            </w:r>
            <w:r>
              <w:rPr>
                <w:color w:val="000000"/>
                <w:sz w:val="24"/>
                <w:szCs w:val="24"/>
              </w:rPr>
              <w:t>》</w:t>
            </w:r>
            <w:r>
              <w:rPr>
                <w:rFonts w:hint="eastAsia"/>
                <w:color w:val="000000"/>
                <w:sz w:val="24"/>
                <w:szCs w:val="24"/>
                <w:lang w:val="en-US" w:eastAsia="zh-CN"/>
              </w:rPr>
              <w:t>中鼓励类、限制类和淘汰类，属于允许类</w:t>
            </w:r>
            <w:r>
              <w:rPr>
                <w:rFonts w:hint="eastAsia"/>
                <w:color w:val="000000"/>
                <w:sz w:val="24"/>
                <w:szCs w:val="24"/>
                <w:lang w:eastAsia="zh-CN"/>
              </w:rPr>
              <w:t>，</w:t>
            </w:r>
            <w:r>
              <w:rPr>
                <w:rFonts w:hint="eastAsia"/>
                <w:color w:val="000000"/>
                <w:sz w:val="24"/>
                <w:szCs w:val="24"/>
                <w:lang w:val="en-US" w:eastAsia="zh-CN"/>
              </w:rPr>
              <w:t>项目已经</w:t>
            </w:r>
            <w:r>
              <w:rPr>
                <w:rFonts w:hint="eastAsia"/>
                <w:color w:val="000000"/>
                <w:sz w:val="24"/>
                <w:szCs w:val="24"/>
              </w:rPr>
              <w:t>新乡市凤泉区发展和改革委员会</w:t>
            </w:r>
            <w:r>
              <w:rPr>
                <w:rFonts w:hint="eastAsia"/>
                <w:color w:val="000000"/>
                <w:sz w:val="24"/>
                <w:szCs w:val="24"/>
                <w:lang w:val="en-US" w:eastAsia="zh-CN"/>
              </w:rPr>
              <w:t>备案，</w:t>
            </w:r>
            <w:r>
              <w:rPr>
                <w:color w:val="000000"/>
                <w:sz w:val="24"/>
                <w:szCs w:val="24"/>
              </w:rPr>
              <w:t>项目代码</w:t>
            </w:r>
            <w:r>
              <w:rPr>
                <w:rFonts w:hint="eastAsia"/>
                <w:color w:val="000000"/>
                <w:sz w:val="24"/>
                <w:szCs w:val="24"/>
                <w:lang w:eastAsia="zh-CN"/>
              </w:rPr>
              <w:t>2109-410704-04-01-421928</w:t>
            </w:r>
            <w:r>
              <w:rPr>
                <w:color w:val="000000"/>
                <w:sz w:val="24"/>
                <w:szCs w:val="24"/>
              </w:rPr>
              <w:t>。</w:t>
            </w:r>
            <w:r>
              <w:rPr>
                <w:rFonts w:hint="eastAsia"/>
                <w:color w:val="000000"/>
                <w:sz w:val="24"/>
                <w:szCs w:val="24"/>
              </w:rPr>
              <w:t>本项目情况与产业政策一致性分析见下</w:t>
            </w:r>
            <w:r>
              <w:rPr>
                <w:color w:val="000000"/>
                <w:sz w:val="24"/>
                <w:szCs w:val="24"/>
              </w:rPr>
              <w:t>表</w:t>
            </w:r>
            <w:r>
              <w:rPr>
                <w:rFonts w:hint="eastAsia"/>
                <w:color w:val="000000"/>
                <w:sz w:val="24"/>
                <w:szCs w:val="24"/>
              </w:rPr>
              <w:t>。</w:t>
            </w:r>
          </w:p>
          <w:p>
            <w:pPr>
              <w:keepNext w:val="0"/>
              <w:keepLines w:val="0"/>
              <w:pageBreakBefore w:val="0"/>
              <w:widowControl w:val="0"/>
              <w:kinsoku/>
              <w:wordWrap/>
              <w:overflowPunct/>
              <w:topLinePunct w:val="0"/>
              <w:bidi w:val="0"/>
              <w:spacing w:line="520" w:lineRule="exact"/>
              <w:ind w:firstLine="482" w:firstLineChars="200"/>
              <w:jc w:val="center"/>
              <w:textAlignment w:val="auto"/>
              <w:rPr>
                <w:b/>
                <w:color w:val="000000"/>
                <w:sz w:val="24"/>
                <w:szCs w:val="24"/>
              </w:rPr>
            </w:pPr>
            <w:r>
              <w:rPr>
                <w:b/>
                <w:color w:val="000000"/>
                <w:sz w:val="24"/>
                <w:szCs w:val="24"/>
              </w:rPr>
              <w:t>表</w:t>
            </w:r>
            <w:r>
              <w:rPr>
                <w:rFonts w:hint="eastAsia"/>
                <w:b/>
                <w:color w:val="000000"/>
                <w:sz w:val="24"/>
                <w:szCs w:val="24"/>
              </w:rPr>
              <w:t>1</w:t>
            </w:r>
            <w:r>
              <w:rPr>
                <w:rFonts w:hint="eastAsia"/>
                <w:b/>
                <w:color w:val="000000"/>
                <w:sz w:val="24"/>
                <w:szCs w:val="24"/>
                <w:lang w:val="en-US" w:eastAsia="zh-CN"/>
              </w:rPr>
              <w:t xml:space="preserve">-3    </w:t>
            </w:r>
            <w:r>
              <w:rPr>
                <w:b/>
                <w:color w:val="000000"/>
                <w:sz w:val="24"/>
                <w:szCs w:val="24"/>
              </w:rPr>
              <w:t>项目与产业政策一致性分析</w:t>
            </w:r>
          </w:p>
          <w:tbl>
            <w:tblPr>
              <w:tblStyle w:val="2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4"/>
              <w:gridCol w:w="1132"/>
              <w:gridCol w:w="2018"/>
              <w:gridCol w:w="1349"/>
              <w:gridCol w:w="11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84" w:type="dxa"/>
                  <w:tcBorders>
                    <w:tl2br w:val="nil"/>
                    <w:tr2bl w:val="nil"/>
                  </w:tcBorders>
                  <w:vAlign w:val="center"/>
                </w:tcPr>
                <w:p>
                  <w:pPr>
                    <w:jc w:val="center"/>
                    <w:rPr>
                      <w:b/>
                      <w:color w:val="000000"/>
                      <w:sz w:val="21"/>
                      <w:szCs w:val="21"/>
                    </w:rPr>
                  </w:pPr>
                  <w:r>
                    <w:rPr>
                      <w:b/>
                      <w:color w:val="000000"/>
                      <w:sz w:val="21"/>
                      <w:szCs w:val="21"/>
                    </w:rPr>
                    <w:t>类别</w:t>
                  </w:r>
                </w:p>
              </w:tc>
              <w:tc>
                <w:tcPr>
                  <w:tcW w:w="1132" w:type="dxa"/>
                  <w:tcBorders>
                    <w:tl2br w:val="nil"/>
                    <w:tr2bl w:val="nil"/>
                  </w:tcBorders>
                  <w:vAlign w:val="center"/>
                </w:tcPr>
                <w:p>
                  <w:pPr>
                    <w:jc w:val="center"/>
                    <w:rPr>
                      <w:b/>
                      <w:color w:val="000000"/>
                      <w:sz w:val="21"/>
                      <w:szCs w:val="21"/>
                    </w:rPr>
                  </w:pPr>
                  <w:r>
                    <w:rPr>
                      <w:b/>
                      <w:color w:val="000000"/>
                      <w:sz w:val="21"/>
                      <w:szCs w:val="21"/>
                    </w:rPr>
                    <w:t>条款</w:t>
                  </w:r>
                </w:p>
              </w:tc>
              <w:tc>
                <w:tcPr>
                  <w:tcW w:w="2018" w:type="dxa"/>
                  <w:tcBorders>
                    <w:tl2br w:val="nil"/>
                    <w:tr2bl w:val="nil"/>
                  </w:tcBorders>
                  <w:vAlign w:val="center"/>
                </w:tcPr>
                <w:p>
                  <w:pPr>
                    <w:jc w:val="center"/>
                    <w:rPr>
                      <w:b/>
                      <w:color w:val="000000"/>
                      <w:sz w:val="21"/>
                      <w:szCs w:val="21"/>
                    </w:rPr>
                  </w:pPr>
                  <w:r>
                    <w:rPr>
                      <w:b/>
                      <w:color w:val="000000"/>
                      <w:sz w:val="21"/>
                      <w:szCs w:val="21"/>
                    </w:rPr>
                    <w:t>内容</w:t>
                  </w:r>
                </w:p>
              </w:tc>
              <w:tc>
                <w:tcPr>
                  <w:tcW w:w="1349" w:type="dxa"/>
                  <w:tcBorders>
                    <w:tl2br w:val="nil"/>
                    <w:tr2bl w:val="nil"/>
                  </w:tcBorders>
                  <w:vAlign w:val="center"/>
                </w:tcPr>
                <w:p>
                  <w:pPr>
                    <w:jc w:val="center"/>
                    <w:rPr>
                      <w:b/>
                      <w:color w:val="000000"/>
                      <w:sz w:val="21"/>
                      <w:szCs w:val="21"/>
                    </w:rPr>
                  </w:pPr>
                  <w:r>
                    <w:rPr>
                      <w:b/>
                      <w:color w:val="000000"/>
                      <w:sz w:val="21"/>
                      <w:szCs w:val="21"/>
                    </w:rPr>
                    <w:t>本项目情况</w:t>
                  </w:r>
                </w:p>
              </w:tc>
              <w:tc>
                <w:tcPr>
                  <w:tcW w:w="1175" w:type="dxa"/>
                  <w:tcBorders>
                    <w:tl2br w:val="nil"/>
                    <w:tr2bl w:val="nil"/>
                  </w:tcBorders>
                  <w:vAlign w:val="center"/>
                </w:tcPr>
                <w:p>
                  <w:pPr>
                    <w:jc w:val="center"/>
                    <w:rPr>
                      <w:b/>
                      <w:color w:val="000000"/>
                      <w:sz w:val="21"/>
                      <w:szCs w:val="21"/>
                    </w:rPr>
                  </w:pPr>
                  <w:r>
                    <w:rPr>
                      <w:b/>
                      <w:color w:val="00000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84" w:type="dxa"/>
                  <w:tcBorders>
                    <w:tl2br w:val="nil"/>
                    <w:tr2bl w:val="nil"/>
                  </w:tcBorders>
                  <w:vAlign w:val="center"/>
                </w:tcPr>
                <w:p>
                  <w:pPr>
                    <w:jc w:val="center"/>
                    <w:rPr>
                      <w:color w:val="000000"/>
                      <w:sz w:val="21"/>
                      <w:szCs w:val="21"/>
                    </w:rPr>
                  </w:pPr>
                  <w:r>
                    <w:rPr>
                      <w:color w:val="000000"/>
                      <w:sz w:val="21"/>
                      <w:szCs w:val="21"/>
                    </w:rPr>
                    <w:t>鼓励类</w:t>
                  </w:r>
                </w:p>
              </w:tc>
              <w:tc>
                <w:tcPr>
                  <w:tcW w:w="1132" w:type="dxa"/>
                  <w:tcBorders>
                    <w:tl2br w:val="nil"/>
                    <w:tr2bl w:val="nil"/>
                  </w:tcBorders>
                  <w:vAlign w:val="center"/>
                </w:tcPr>
                <w:p>
                  <w:pPr>
                    <w:jc w:val="center"/>
                    <w:rPr>
                      <w:color w:val="000000"/>
                      <w:sz w:val="21"/>
                      <w:szCs w:val="21"/>
                    </w:rPr>
                  </w:pPr>
                  <w:r>
                    <w:rPr>
                      <w:color w:val="000000"/>
                      <w:sz w:val="21"/>
                      <w:szCs w:val="21"/>
                    </w:rPr>
                    <w:t>/</w:t>
                  </w:r>
                </w:p>
              </w:tc>
              <w:tc>
                <w:tcPr>
                  <w:tcW w:w="2018" w:type="dxa"/>
                  <w:tcBorders>
                    <w:tl2br w:val="nil"/>
                    <w:tr2bl w:val="nil"/>
                  </w:tcBorders>
                  <w:vAlign w:val="center"/>
                </w:tcPr>
                <w:p>
                  <w:pPr>
                    <w:jc w:val="center"/>
                    <w:rPr>
                      <w:color w:val="000000"/>
                      <w:sz w:val="21"/>
                      <w:szCs w:val="21"/>
                    </w:rPr>
                  </w:pPr>
                  <w:r>
                    <w:rPr>
                      <w:color w:val="000000"/>
                      <w:sz w:val="21"/>
                      <w:szCs w:val="21"/>
                    </w:rPr>
                    <w:t>查无相关对应条款</w:t>
                  </w:r>
                </w:p>
              </w:tc>
              <w:tc>
                <w:tcPr>
                  <w:tcW w:w="1349" w:type="dxa"/>
                  <w:tcBorders>
                    <w:tl2br w:val="nil"/>
                    <w:tr2bl w:val="nil"/>
                  </w:tcBorders>
                  <w:vAlign w:val="center"/>
                </w:tcPr>
                <w:p>
                  <w:pPr>
                    <w:jc w:val="center"/>
                    <w:rPr>
                      <w:color w:val="000000"/>
                      <w:sz w:val="21"/>
                      <w:szCs w:val="21"/>
                    </w:rPr>
                  </w:pPr>
                  <w:r>
                    <w:rPr>
                      <w:color w:val="000000"/>
                      <w:sz w:val="21"/>
                      <w:szCs w:val="21"/>
                    </w:rPr>
                    <w:t>/</w:t>
                  </w:r>
                </w:p>
              </w:tc>
              <w:tc>
                <w:tcPr>
                  <w:tcW w:w="1175" w:type="dxa"/>
                  <w:tcBorders>
                    <w:tl2br w:val="nil"/>
                    <w:tr2bl w:val="nil"/>
                  </w:tcBorders>
                  <w:vAlign w:val="center"/>
                </w:tcPr>
                <w:p>
                  <w:pPr>
                    <w:jc w:val="center"/>
                    <w:rPr>
                      <w:color w:val="000000"/>
                      <w:sz w:val="21"/>
                      <w:szCs w:val="21"/>
                    </w:rPr>
                  </w:pPr>
                  <w:r>
                    <w:rPr>
                      <w:color w:val="000000"/>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84" w:type="dxa"/>
                  <w:tcBorders>
                    <w:tl2br w:val="nil"/>
                    <w:tr2bl w:val="nil"/>
                  </w:tcBorders>
                  <w:vAlign w:val="center"/>
                </w:tcPr>
                <w:p>
                  <w:pPr>
                    <w:jc w:val="center"/>
                    <w:rPr>
                      <w:color w:val="000000"/>
                      <w:sz w:val="21"/>
                      <w:szCs w:val="21"/>
                    </w:rPr>
                  </w:pPr>
                  <w:r>
                    <w:rPr>
                      <w:color w:val="000000"/>
                      <w:sz w:val="21"/>
                      <w:szCs w:val="21"/>
                    </w:rPr>
                    <w:t>限制类</w:t>
                  </w:r>
                </w:p>
              </w:tc>
              <w:tc>
                <w:tcPr>
                  <w:tcW w:w="1132" w:type="dxa"/>
                  <w:tcBorders>
                    <w:tl2br w:val="nil"/>
                    <w:tr2bl w:val="nil"/>
                  </w:tcBorders>
                  <w:vAlign w:val="center"/>
                </w:tcPr>
                <w:p>
                  <w:pPr>
                    <w:jc w:val="center"/>
                    <w:rPr>
                      <w:color w:val="000000"/>
                      <w:sz w:val="21"/>
                      <w:szCs w:val="21"/>
                    </w:rPr>
                  </w:pPr>
                  <w:r>
                    <w:rPr>
                      <w:color w:val="000000"/>
                      <w:sz w:val="21"/>
                      <w:szCs w:val="21"/>
                    </w:rPr>
                    <w:t>/</w:t>
                  </w:r>
                </w:p>
              </w:tc>
              <w:tc>
                <w:tcPr>
                  <w:tcW w:w="2018" w:type="dxa"/>
                  <w:tcBorders>
                    <w:tl2br w:val="nil"/>
                    <w:tr2bl w:val="nil"/>
                  </w:tcBorders>
                  <w:vAlign w:val="center"/>
                </w:tcPr>
                <w:p>
                  <w:pPr>
                    <w:jc w:val="center"/>
                    <w:rPr>
                      <w:color w:val="000000"/>
                      <w:sz w:val="21"/>
                      <w:szCs w:val="21"/>
                    </w:rPr>
                  </w:pPr>
                  <w:r>
                    <w:rPr>
                      <w:color w:val="000000"/>
                      <w:sz w:val="21"/>
                      <w:szCs w:val="21"/>
                    </w:rPr>
                    <w:t>查无相关对应条款</w:t>
                  </w:r>
                </w:p>
              </w:tc>
              <w:tc>
                <w:tcPr>
                  <w:tcW w:w="1349" w:type="dxa"/>
                  <w:tcBorders>
                    <w:tl2br w:val="nil"/>
                    <w:tr2bl w:val="nil"/>
                  </w:tcBorders>
                  <w:vAlign w:val="center"/>
                </w:tcPr>
                <w:p>
                  <w:pPr>
                    <w:jc w:val="center"/>
                    <w:rPr>
                      <w:color w:val="000000"/>
                      <w:sz w:val="21"/>
                      <w:szCs w:val="21"/>
                    </w:rPr>
                  </w:pPr>
                  <w:r>
                    <w:rPr>
                      <w:color w:val="000000"/>
                      <w:sz w:val="21"/>
                      <w:szCs w:val="21"/>
                    </w:rPr>
                    <w:t>/</w:t>
                  </w:r>
                </w:p>
              </w:tc>
              <w:tc>
                <w:tcPr>
                  <w:tcW w:w="1175" w:type="dxa"/>
                  <w:tcBorders>
                    <w:tl2br w:val="nil"/>
                    <w:tr2bl w:val="nil"/>
                  </w:tcBorders>
                  <w:vAlign w:val="center"/>
                </w:tcPr>
                <w:p>
                  <w:pPr>
                    <w:jc w:val="center"/>
                    <w:rPr>
                      <w:color w:val="000000"/>
                      <w:sz w:val="21"/>
                      <w:szCs w:val="21"/>
                    </w:rPr>
                  </w:pPr>
                  <w:r>
                    <w:rPr>
                      <w:color w:val="000000"/>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84" w:type="dxa"/>
                  <w:tcBorders>
                    <w:tl2br w:val="nil"/>
                    <w:tr2bl w:val="nil"/>
                  </w:tcBorders>
                  <w:vAlign w:val="center"/>
                </w:tcPr>
                <w:p>
                  <w:pPr>
                    <w:jc w:val="center"/>
                    <w:rPr>
                      <w:color w:val="000000"/>
                      <w:sz w:val="21"/>
                      <w:szCs w:val="21"/>
                    </w:rPr>
                  </w:pPr>
                  <w:r>
                    <w:rPr>
                      <w:color w:val="000000"/>
                      <w:sz w:val="21"/>
                      <w:szCs w:val="21"/>
                    </w:rPr>
                    <w:t>淘汰类</w:t>
                  </w:r>
                </w:p>
                <w:p>
                  <w:pPr>
                    <w:jc w:val="center"/>
                    <w:rPr>
                      <w:color w:val="000000"/>
                      <w:sz w:val="21"/>
                      <w:szCs w:val="21"/>
                    </w:rPr>
                  </w:pPr>
                  <w:r>
                    <w:rPr>
                      <w:color w:val="000000"/>
                      <w:sz w:val="21"/>
                      <w:szCs w:val="21"/>
                    </w:rPr>
                    <w:t>（落后生产工艺装备）</w:t>
                  </w:r>
                </w:p>
              </w:tc>
              <w:tc>
                <w:tcPr>
                  <w:tcW w:w="1132" w:type="dxa"/>
                  <w:tcBorders>
                    <w:tl2br w:val="nil"/>
                    <w:tr2bl w:val="nil"/>
                  </w:tcBorders>
                  <w:vAlign w:val="center"/>
                </w:tcPr>
                <w:p>
                  <w:pPr>
                    <w:jc w:val="center"/>
                    <w:rPr>
                      <w:color w:val="000000"/>
                      <w:sz w:val="21"/>
                      <w:szCs w:val="21"/>
                    </w:rPr>
                  </w:pPr>
                  <w:r>
                    <w:rPr>
                      <w:color w:val="000000"/>
                      <w:sz w:val="21"/>
                      <w:szCs w:val="21"/>
                    </w:rPr>
                    <w:t>/</w:t>
                  </w:r>
                </w:p>
              </w:tc>
              <w:tc>
                <w:tcPr>
                  <w:tcW w:w="2018" w:type="dxa"/>
                  <w:tcBorders>
                    <w:tl2br w:val="nil"/>
                    <w:tr2bl w:val="nil"/>
                  </w:tcBorders>
                  <w:vAlign w:val="center"/>
                </w:tcPr>
                <w:p>
                  <w:pPr>
                    <w:jc w:val="center"/>
                    <w:rPr>
                      <w:color w:val="000000"/>
                      <w:sz w:val="21"/>
                      <w:szCs w:val="21"/>
                    </w:rPr>
                  </w:pPr>
                  <w:r>
                    <w:rPr>
                      <w:color w:val="000000"/>
                      <w:sz w:val="21"/>
                      <w:szCs w:val="21"/>
                    </w:rPr>
                    <w:t>查无相关对应条款</w:t>
                  </w:r>
                </w:p>
              </w:tc>
              <w:tc>
                <w:tcPr>
                  <w:tcW w:w="1349" w:type="dxa"/>
                  <w:tcBorders>
                    <w:tl2br w:val="nil"/>
                    <w:tr2bl w:val="nil"/>
                  </w:tcBorders>
                  <w:vAlign w:val="center"/>
                </w:tcPr>
                <w:p>
                  <w:pPr>
                    <w:jc w:val="center"/>
                    <w:rPr>
                      <w:color w:val="000000"/>
                      <w:sz w:val="21"/>
                      <w:szCs w:val="21"/>
                    </w:rPr>
                  </w:pPr>
                  <w:r>
                    <w:rPr>
                      <w:color w:val="000000"/>
                      <w:sz w:val="21"/>
                      <w:szCs w:val="21"/>
                    </w:rPr>
                    <w:t>/</w:t>
                  </w:r>
                </w:p>
              </w:tc>
              <w:tc>
                <w:tcPr>
                  <w:tcW w:w="1175" w:type="dxa"/>
                  <w:tcBorders>
                    <w:tl2br w:val="nil"/>
                    <w:tr2bl w:val="nil"/>
                  </w:tcBorders>
                  <w:vAlign w:val="center"/>
                </w:tcPr>
                <w:p>
                  <w:pPr>
                    <w:jc w:val="center"/>
                    <w:rPr>
                      <w:color w:val="000000"/>
                      <w:sz w:val="21"/>
                      <w:szCs w:val="21"/>
                    </w:rPr>
                  </w:pPr>
                  <w:r>
                    <w:rPr>
                      <w:color w:val="000000"/>
                      <w:sz w:val="21"/>
                      <w:szCs w:val="21"/>
                    </w:rP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2384" w:type="dxa"/>
                  <w:tcBorders>
                    <w:tl2br w:val="nil"/>
                    <w:tr2bl w:val="nil"/>
                  </w:tcBorders>
                  <w:vAlign w:val="center"/>
                </w:tcPr>
                <w:p>
                  <w:pPr>
                    <w:jc w:val="center"/>
                    <w:rPr>
                      <w:color w:val="000000"/>
                      <w:sz w:val="21"/>
                      <w:szCs w:val="21"/>
                    </w:rPr>
                  </w:pPr>
                  <w:r>
                    <w:rPr>
                      <w:color w:val="000000"/>
                      <w:sz w:val="21"/>
                      <w:szCs w:val="21"/>
                    </w:rPr>
                    <w:t>淘汰类（落后产品）</w:t>
                  </w:r>
                </w:p>
              </w:tc>
              <w:tc>
                <w:tcPr>
                  <w:tcW w:w="1132" w:type="dxa"/>
                  <w:tcBorders>
                    <w:tl2br w:val="nil"/>
                    <w:tr2bl w:val="nil"/>
                  </w:tcBorders>
                  <w:vAlign w:val="center"/>
                </w:tcPr>
                <w:p>
                  <w:pPr>
                    <w:jc w:val="center"/>
                    <w:rPr>
                      <w:color w:val="000000"/>
                      <w:sz w:val="21"/>
                      <w:szCs w:val="21"/>
                    </w:rPr>
                  </w:pPr>
                  <w:r>
                    <w:rPr>
                      <w:color w:val="000000"/>
                      <w:sz w:val="21"/>
                      <w:szCs w:val="21"/>
                    </w:rPr>
                    <w:t>/</w:t>
                  </w:r>
                </w:p>
              </w:tc>
              <w:tc>
                <w:tcPr>
                  <w:tcW w:w="2018" w:type="dxa"/>
                  <w:tcBorders>
                    <w:tl2br w:val="nil"/>
                    <w:tr2bl w:val="nil"/>
                  </w:tcBorders>
                  <w:vAlign w:val="center"/>
                </w:tcPr>
                <w:p>
                  <w:pPr>
                    <w:jc w:val="center"/>
                    <w:rPr>
                      <w:color w:val="000000"/>
                      <w:sz w:val="21"/>
                      <w:szCs w:val="21"/>
                    </w:rPr>
                  </w:pPr>
                  <w:r>
                    <w:rPr>
                      <w:color w:val="000000"/>
                      <w:sz w:val="21"/>
                      <w:szCs w:val="21"/>
                    </w:rPr>
                    <w:t>查无相关对应条款</w:t>
                  </w:r>
                </w:p>
              </w:tc>
              <w:tc>
                <w:tcPr>
                  <w:tcW w:w="1349" w:type="dxa"/>
                  <w:tcBorders>
                    <w:tl2br w:val="nil"/>
                    <w:tr2bl w:val="nil"/>
                  </w:tcBorders>
                  <w:vAlign w:val="center"/>
                </w:tcPr>
                <w:p>
                  <w:pPr>
                    <w:jc w:val="center"/>
                    <w:rPr>
                      <w:color w:val="000000"/>
                      <w:sz w:val="21"/>
                      <w:szCs w:val="21"/>
                    </w:rPr>
                  </w:pPr>
                  <w:r>
                    <w:rPr>
                      <w:color w:val="000000"/>
                      <w:sz w:val="21"/>
                      <w:szCs w:val="21"/>
                    </w:rPr>
                    <w:t>/</w:t>
                  </w:r>
                </w:p>
              </w:tc>
              <w:tc>
                <w:tcPr>
                  <w:tcW w:w="1175" w:type="dxa"/>
                  <w:tcBorders>
                    <w:tl2br w:val="nil"/>
                    <w:tr2bl w:val="nil"/>
                  </w:tcBorders>
                  <w:vAlign w:val="center"/>
                </w:tcPr>
                <w:p>
                  <w:pPr>
                    <w:jc w:val="center"/>
                    <w:rPr>
                      <w:color w:val="000000"/>
                      <w:sz w:val="21"/>
                      <w:szCs w:val="21"/>
                    </w:rPr>
                  </w:pPr>
                  <w:r>
                    <w:rPr>
                      <w:color w:val="000000"/>
                      <w:sz w:val="21"/>
                      <w:szCs w:val="21"/>
                    </w:rPr>
                    <w:t>不属于</w:t>
                  </w:r>
                </w:p>
              </w:tc>
            </w:tr>
          </w:tbl>
          <w:p>
            <w:pPr>
              <w:keepNext w:val="0"/>
              <w:keepLines w:val="0"/>
              <w:pageBreakBefore w:val="0"/>
              <w:widowControl w:val="0"/>
              <w:kinsoku/>
              <w:wordWrap/>
              <w:overflowPunct/>
              <w:topLinePunct w:val="0"/>
              <w:autoSpaceDE w:val="0"/>
              <w:autoSpaceDN w:val="0"/>
              <w:bidi w:val="0"/>
              <w:adjustRightInd w:val="0"/>
              <w:snapToGrid w:val="0"/>
              <w:spacing w:line="520" w:lineRule="exact"/>
              <w:ind w:firstLine="482" w:firstLineChars="200"/>
              <w:jc w:val="both"/>
              <w:textAlignment w:val="auto"/>
              <w:rPr>
                <w:rFonts w:hint="default" w:ascii="Times New Roman" w:hAnsi="Times New Roman" w:eastAsia="宋体" w:cs="Times New Roman"/>
                <w:b/>
                <w:bCs/>
                <w:sz w:val="24"/>
                <w:szCs w:val="24"/>
                <w:lang w:val="en-US" w:eastAsia="zh-CN"/>
              </w:rPr>
            </w:pPr>
            <w:r>
              <w:rPr>
                <w:rFonts w:hint="eastAsia"/>
                <w:b/>
                <w:bCs/>
                <w:color w:val="000000"/>
                <w:sz w:val="24"/>
                <w:szCs w:val="24"/>
                <w:lang w:val="en-US" w:eastAsia="zh-CN"/>
              </w:rPr>
              <w:t>3</w:t>
            </w:r>
            <w:r>
              <w:rPr>
                <w:rFonts w:hint="eastAsia"/>
                <w:b/>
                <w:bCs/>
                <w:color w:val="000000"/>
                <w:sz w:val="24"/>
                <w:szCs w:val="24"/>
              </w:rPr>
              <w:t>、</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三线一单</w:t>
            </w:r>
            <w:r>
              <w:rPr>
                <w:rFonts w:hint="eastAsia" w:ascii="Times New Roman" w:hAnsi="Times New Roman" w:eastAsia="宋体" w:cs="Times New Roman"/>
                <w:b/>
                <w:bCs/>
                <w:sz w:val="24"/>
                <w:szCs w:val="24"/>
                <w:lang w:val="en-US" w:eastAsia="zh-CN"/>
              </w:rPr>
              <w:t>”</w:t>
            </w:r>
            <w:r>
              <w:rPr>
                <w:rFonts w:hint="default" w:ascii="Times New Roman" w:hAnsi="Times New Roman" w:eastAsia="宋体" w:cs="Times New Roman"/>
                <w:b/>
                <w:bCs/>
                <w:sz w:val="24"/>
                <w:szCs w:val="24"/>
                <w:lang w:val="en-US" w:eastAsia="zh-CN"/>
              </w:rPr>
              <w:t>相符性分析</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（1）生态</w:t>
            </w:r>
            <w:r>
              <w:rPr>
                <w:rFonts w:hint="eastAsia" w:ascii="Times New Roman" w:hAnsi="Times New Roman" w:eastAsia="宋体" w:cs="Times New Roman"/>
                <w:sz w:val="24"/>
                <w:szCs w:val="24"/>
                <w:lang w:val="en-US" w:eastAsia="zh-CN"/>
              </w:rPr>
              <w:t>保护</w:t>
            </w:r>
            <w:r>
              <w:rPr>
                <w:rFonts w:hint="default" w:ascii="Times New Roman" w:hAnsi="Times New Roman" w:eastAsia="宋体" w:cs="Times New Roman"/>
                <w:sz w:val="24"/>
                <w:szCs w:val="24"/>
                <w:lang w:val="en-US" w:eastAsia="zh-CN"/>
              </w:rPr>
              <w:t>红线相符性</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河南省生态保护红线划定方案》，新乡市涉及土壤保持、生物多样性和水源涵养三大类生态红线，分别是太行山丘陵土壤保持生态保护红线、太行山山地生物多样性维护生态保护红线、太行山卫河水源涵养生态保护红线、南水北调中线水源涵养生态保护红线和黄河湿地生物多样性维护生态保护红线。</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本项目位于</w:t>
            </w:r>
            <w:r>
              <w:rPr>
                <w:bCs/>
                <w:color w:val="000000"/>
                <w:sz w:val="24"/>
              </w:rPr>
              <w:t>新乡市动力电池专业园区西片区</w:t>
            </w:r>
            <w:r>
              <w:rPr>
                <w:rFonts w:hint="default" w:ascii="Times New Roman" w:hAnsi="Times New Roman" w:eastAsia="宋体" w:cs="Times New Roman"/>
                <w:sz w:val="24"/>
                <w:szCs w:val="24"/>
                <w:lang w:val="en-US" w:eastAsia="zh-CN"/>
              </w:rPr>
              <w:t>，不在上述生态红线范围内。</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（2）环境质量底限相符性</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本项目所在地大气环境为环境空气质量功能二类区，根据</w:t>
            </w:r>
            <w:r>
              <w:rPr>
                <w:rFonts w:hint="eastAsia" w:cs="Times New Roman"/>
                <w:sz w:val="24"/>
                <w:szCs w:val="24"/>
                <w:lang w:val="en-US" w:eastAsia="zh-CN"/>
              </w:rPr>
              <w:t>发布的</w:t>
            </w:r>
            <w:r>
              <w:rPr>
                <w:rFonts w:hint="default" w:ascii="Times New Roman" w:hAnsi="Times New Roman" w:eastAsia="宋体" w:cs="Times New Roman"/>
                <w:sz w:val="24"/>
                <w:szCs w:val="24"/>
                <w:lang w:val="en-US" w:eastAsia="zh-CN"/>
              </w:rPr>
              <w:t>《新乡市20</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年环境质量年报》，评价区域内大气环境中</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10</w:t>
            </w:r>
            <w:r>
              <w:rPr>
                <w:rFonts w:hint="default" w:ascii="Times New Roman" w:hAnsi="Times New Roman" w:eastAsia="宋体" w:cs="Times New Roman"/>
                <w:color w:val="auto"/>
                <w:sz w:val="24"/>
                <w:szCs w:val="24"/>
              </w:rPr>
              <w:t>、PM</w:t>
            </w:r>
            <w:r>
              <w:rPr>
                <w:rFonts w:hint="default" w:ascii="Times New Roman" w:hAnsi="Times New Roman" w:eastAsia="宋体" w:cs="Times New Roman"/>
                <w:color w:val="auto"/>
                <w:sz w:val="24"/>
                <w:szCs w:val="24"/>
                <w:vertAlign w:val="subscript"/>
              </w:rPr>
              <w:t>2.5</w:t>
            </w:r>
            <w:r>
              <w:rPr>
                <w:rFonts w:hint="default" w:ascii="Times New Roman" w:hAnsi="Times New Roman" w:eastAsia="宋体" w:cs="Times New Roman"/>
                <w:color w:val="auto"/>
                <w:sz w:val="24"/>
                <w:szCs w:val="24"/>
              </w:rPr>
              <w:t>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均不能够满足《环境空气质量标准》（GB3095-2012）二级标准要求</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kern w:val="0"/>
                <w:sz w:val="24"/>
                <w:szCs w:val="24"/>
                <w:lang w:val="en-US" w:eastAsia="zh-CN"/>
              </w:rPr>
              <w:t>新</w:t>
            </w:r>
            <w:r>
              <w:rPr>
                <w:rFonts w:hint="default" w:ascii="Times New Roman" w:hAnsi="Times New Roman" w:eastAsia="宋体" w:cs="Times New Roman"/>
                <w:sz w:val="24"/>
                <w:szCs w:val="24"/>
                <w:lang w:val="en-US" w:eastAsia="zh-CN"/>
              </w:rPr>
              <w:t>乡市正在实施《新乡市蓝天工程行动计划》、《</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十三五</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挥发性有机物污染防治工作方案》</w:t>
            </w:r>
            <w:r>
              <w:rPr>
                <w:rFonts w:hint="default" w:ascii="Times New Roman" w:hAnsi="Times New Roman" w:eastAsia="宋体" w:cs="Times New Roman"/>
                <w:kern w:val="0"/>
                <w:sz w:val="24"/>
                <w:szCs w:val="24"/>
                <w:lang w:val="en-US" w:eastAsia="zh-CN"/>
              </w:rPr>
              <w:t>等一系列措施，</w:t>
            </w:r>
            <w:r>
              <w:rPr>
                <w:rFonts w:hint="default" w:ascii="Times New Roman" w:hAnsi="Times New Roman" w:eastAsia="宋体" w:cs="Times New Roman"/>
                <w:sz w:val="24"/>
                <w:szCs w:val="24"/>
                <w:lang w:val="en-US" w:eastAsia="zh-CN"/>
              </w:rPr>
              <w:t>确保全面实现空气质量约束性目标。采取以上措施后，新乡市大气质量状况可以得到进一步改善；项目</w:t>
            </w:r>
            <w:r>
              <w:rPr>
                <w:rFonts w:hint="eastAsia" w:ascii="Times New Roman" w:hAnsi="Times New Roman" w:eastAsia="宋体" w:cs="Times New Roman"/>
                <w:sz w:val="24"/>
                <w:szCs w:val="24"/>
                <w:lang w:val="en-US" w:eastAsia="zh-CN"/>
              </w:rPr>
              <w:t>区域纳污水体最近控制断面为共渠下马营断面，</w:t>
            </w:r>
            <w:r>
              <w:rPr>
                <w:rFonts w:hint="default" w:ascii="Times New Roman" w:hAnsi="Times New Roman" w:eastAsia="宋体" w:cs="Times New Roman"/>
                <w:sz w:val="24"/>
                <w:szCs w:val="24"/>
                <w:lang w:val="en-US" w:eastAsia="zh-CN"/>
              </w:rPr>
              <w:t>根据新乡市生态环境局发布的2020年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月-202</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年1</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监测数据</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共渠下马营</w:t>
            </w:r>
            <w:r>
              <w:rPr>
                <w:rFonts w:hint="default" w:ascii="Times New Roman" w:hAnsi="Times New Roman" w:eastAsia="宋体" w:cs="Times New Roman"/>
                <w:sz w:val="24"/>
                <w:szCs w:val="24"/>
                <w:lang w:val="en-US" w:eastAsia="zh-CN"/>
              </w:rPr>
              <w:t>监测断面水质各项分析指标均符合《地表水环境质量标准》（GB3838-2002）中V类水质标准</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项目所在地，应执行《声环境质量标准》（GB3096-2008）</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类标准，经现状调查，项目所在地声环境质量符合《声环境质量标准》（GB3096-2008）中</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类标准要求。</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本项目废气</w:t>
            </w:r>
            <w:r>
              <w:rPr>
                <w:rFonts w:hint="eastAsia" w:ascii="Times New Roman" w:hAnsi="Times New Roman" w:eastAsia="宋体" w:cs="Times New Roman"/>
                <w:sz w:val="24"/>
                <w:szCs w:val="24"/>
                <w:lang w:val="en-US" w:eastAsia="zh-CN"/>
              </w:rPr>
              <w:t>、噪声</w:t>
            </w:r>
            <w:r>
              <w:rPr>
                <w:rFonts w:hint="default" w:ascii="Times New Roman" w:hAnsi="Times New Roman" w:eastAsia="宋体" w:cs="Times New Roman"/>
                <w:sz w:val="24"/>
                <w:szCs w:val="24"/>
                <w:lang w:val="en-US" w:eastAsia="zh-CN"/>
              </w:rPr>
              <w:t>在采取报告中提出的治理措施后，能够达到相应的排放标准，因此对周边环境质量影响较小，本项目</w:t>
            </w:r>
            <w:r>
              <w:rPr>
                <w:rFonts w:hint="eastAsia" w:ascii="Times New Roman" w:hAnsi="Times New Roman" w:eastAsia="宋体" w:cs="Times New Roman"/>
                <w:sz w:val="24"/>
                <w:szCs w:val="24"/>
                <w:lang w:val="en-US" w:eastAsia="zh-CN"/>
              </w:rPr>
              <w:t>废水</w:t>
            </w:r>
            <w:r>
              <w:rPr>
                <w:rFonts w:hint="default" w:ascii="Times New Roman" w:hAnsi="Times New Roman" w:eastAsia="宋体" w:cs="Times New Roman"/>
                <w:sz w:val="24"/>
                <w:szCs w:val="24"/>
                <w:lang w:val="en-US" w:eastAsia="zh-CN"/>
              </w:rPr>
              <w:t>和固废均得到合理处置，对周边影响较小。综上，本项目的建设运行不会突破项目所在地的环境质量底线，因此项目符合环境质量底线标准。</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（3）资源利用上限相符性</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属</w:t>
            </w:r>
            <w:r>
              <w:rPr>
                <w:rFonts w:hint="eastAsia"/>
                <w:color w:val="000000"/>
                <w:sz w:val="24"/>
                <w:szCs w:val="24"/>
              </w:rPr>
              <w:t>危险废物治理</w:t>
            </w:r>
            <w:r>
              <w:rPr>
                <w:rFonts w:hint="eastAsia"/>
                <w:color w:val="000000"/>
                <w:sz w:val="24"/>
                <w:szCs w:val="24"/>
                <w:lang w:val="en-US" w:eastAsia="zh-CN"/>
              </w:rPr>
              <w:t>业</w:t>
            </w:r>
            <w:r>
              <w:rPr>
                <w:rFonts w:hint="eastAsia" w:ascii="Times New Roman" w:hAnsi="Times New Roman" w:eastAsia="宋体" w:cs="Times New Roman"/>
                <w:color w:val="auto"/>
                <w:sz w:val="24"/>
                <w:szCs w:val="24"/>
                <w:lang w:val="en-US" w:eastAsia="zh-CN"/>
              </w:rPr>
              <w:t>，不涉及资源利用，</w:t>
            </w:r>
            <w:r>
              <w:rPr>
                <w:rFonts w:hint="eastAsia" w:cs="Times New Roman"/>
                <w:color w:val="auto"/>
                <w:sz w:val="24"/>
                <w:szCs w:val="24"/>
                <w:lang w:val="en-US" w:eastAsia="zh-CN"/>
              </w:rPr>
              <w:t>企业</w:t>
            </w:r>
            <w:r>
              <w:rPr>
                <w:rFonts w:hint="eastAsia" w:ascii="Times New Roman" w:hAnsi="Times New Roman" w:eastAsia="宋体" w:cs="Times New Roman"/>
                <w:color w:val="auto"/>
                <w:sz w:val="24"/>
                <w:szCs w:val="24"/>
                <w:lang w:val="en-US" w:eastAsia="zh-CN"/>
              </w:rPr>
              <w:t>职工生活用水由园区自来水供应，生产生活用</w:t>
            </w:r>
            <w:r>
              <w:rPr>
                <w:rFonts w:hint="default" w:ascii="Times New Roman" w:hAnsi="Times New Roman" w:eastAsia="宋体" w:cs="Times New Roman"/>
                <w:color w:val="auto"/>
                <w:sz w:val="24"/>
                <w:szCs w:val="24"/>
                <w:lang w:val="en-US" w:eastAsia="zh-CN"/>
              </w:rPr>
              <w:t>电</w:t>
            </w:r>
            <w:r>
              <w:rPr>
                <w:rFonts w:hint="eastAsia" w:ascii="Times New Roman" w:hAnsi="Times New Roman" w:eastAsia="宋体" w:cs="Times New Roman"/>
                <w:color w:val="auto"/>
                <w:sz w:val="24"/>
                <w:szCs w:val="24"/>
                <w:lang w:val="en-US" w:eastAsia="zh-CN"/>
              </w:rPr>
              <w:t>由园区电网提供</w:t>
            </w:r>
            <w:r>
              <w:rPr>
                <w:rFonts w:hint="default" w:ascii="Times New Roman" w:hAnsi="Times New Roman" w:eastAsia="宋体" w:cs="Times New Roman"/>
                <w:color w:val="auto"/>
                <w:sz w:val="24"/>
                <w:szCs w:val="24"/>
                <w:lang w:val="en-US" w:eastAsia="zh-CN"/>
              </w:rPr>
              <w:t>，项目建成运行后通过内部管理、设备选择、原辅材料的选用和管理、污染治理等多方面采取合理、可行、有效的防治措施，以</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节能、降耗、减污</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为目标，有效的控制污染及资源利用水平。项目</w:t>
            </w:r>
            <w:r>
              <w:rPr>
                <w:rFonts w:hint="eastAsia" w:ascii="Times New Roman" w:hAnsi="Times New Roman" w:eastAsia="宋体" w:cs="Times New Roman"/>
                <w:color w:val="auto"/>
                <w:sz w:val="24"/>
                <w:szCs w:val="24"/>
                <w:lang w:val="en-US" w:eastAsia="zh-CN"/>
              </w:rPr>
              <w:t>各</w:t>
            </w:r>
            <w:r>
              <w:rPr>
                <w:rFonts w:hint="default" w:ascii="Times New Roman" w:hAnsi="Times New Roman" w:eastAsia="宋体" w:cs="Times New Roman"/>
                <w:color w:val="auto"/>
                <w:sz w:val="24"/>
                <w:szCs w:val="24"/>
                <w:lang w:val="en-US" w:eastAsia="zh-CN"/>
              </w:rPr>
              <w:t>资源利用不会突破区域的资源利用上线。</w:t>
            </w:r>
          </w:p>
          <w:p>
            <w:pPr>
              <w:keepNext w:val="0"/>
              <w:keepLines w:val="0"/>
              <w:pageBreakBefore w:val="0"/>
              <w:widowControl w:val="0"/>
              <w:kinsoku/>
              <w:wordWrap/>
              <w:overflowPunct/>
              <w:topLinePunct w:val="0"/>
              <w:autoSpaceDE w:val="0"/>
              <w:autoSpaceDN w:val="0"/>
              <w:bidi w:val="0"/>
              <w:adjustRightInd w:val="0"/>
              <w:snapToGrid w:val="0"/>
              <w:spacing w:line="520" w:lineRule="exact"/>
              <w:ind w:firstLine="480" w:firstLineChars="20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w:t>
            </w:r>
            <w:r>
              <w:rPr>
                <w:rFonts w:hint="eastAsia" w:ascii="Times New Roman" w:hAnsi="Times New Roman" w:eastAsia="宋体" w:cs="Times New Roman"/>
                <w:sz w:val="24"/>
                <w:szCs w:val="24"/>
                <w:lang w:val="en-US" w:eastAsia="zh-CN"/>
              </w:rPr>
              <w:t>生态</w:t>
            </w:r>
            <w:r>
              <w:rPr>
                <w:rFonts w:hint="default" w:ascii="Times New Roman" w:hAnsi="Times New Roman" w:eastAsia="宋体" w:cs="Times New Roman"/>
                <w:sz w:val="24"/>
                <w:szCs w:val="24"/>
                <w:lang w:val="en-US" w:eastAsia="zh-CN"/>
              </w:rPr>
              <w:t>环境准入负面清单相符性</w:t>
            </w:r>
          </w:p>
          <w:p>
            <w:pPr>
              <w:keepNext w:val="0"/>
              <w:keepLines w:val="0"/>
              <w:pageBreakBefore w:val="0"/>
              <w:widowControl w:val="0"/>
              <w:kinsoku/>
              <w:wordWrap/>
              <w:overflowPunct/>
              <w:topLinePunct w:val="0"/>
              <w:autoSpaceDE/>
              <w:autoSpaceDN/>
              <w:bidi w:val="0"/>
              <w:adjustRightInd/>
              <w:snapToGrid w:val="0"/>
              <w:spacing w:line="520" w:lineRule="exact"/>
              <w:ind w:firstLine="480" w:firstLineChars="200"/>
              <w:jc w:val="left"/>
              <w:textAlignment w:val="auto"/>
              <w:rPr>
                <w:rFonts w:hint="eastAsia" w:ascii="Times New Roman" w:hAnsi="Times New Roman" w:eastAsia="宋体" w:cs="Times New Roman"/>
                <w:b w:val="0"/>
                <w:bCs/>
                <w:color w:val="000000"/>
                <w:sz w:val="24"/>
                <w:szCs w:val="24"/>
                <w:lang w:eastAsia="zh-CN"/>
              </w:rPr>
            </w:pPr>
            <w:r>
              <w:rPr>
                <w:rFonts w:hint="eastAsia" w:ascii="Times New Roman" w:hAnsi="Times New Roman" w:cs="Times New Roman"/>
                <w:b w:val="0"/>
                <w:bCs/>
                <w:color w:val="000000"/>
                <w:sz w:val="24"/>
                <w:szCs w:val="24"/>
                <w:lang w:eastAsia="zh-CN"/>
              </w:rPr>
              <w:t>根据</w:t>
            </w:r>
            <w:r>
              <w:rPr>
                <w:rFonts w:hint="default" w:ascii="Times New Roman" w:hAnsi="Times New Roman" w:cs="Times New Roman"/>
                <w:b w:val="0"/>
                <w:bCs/>
                <w:color w:val="000000"/>
                <w:sz w:val="24"/>
                <w:szCs w:val="24"/>
              </w:rPr>
              <w:t>《河南省生态环境准入清单》</w:t>
            </w:r>
            <w:r>
              <w:rPr>
                <w:rFonts w:hint="eastAsia" w:ascii="Times New Roman" w:hAnsi="Times New Roman" w:cs="Times New Roman"/>
                <w:b w:val="0"/>
                <w:bCs/>
                <w:color w:val="000000"/>
                <w:sz w:val="24"/>
                <w:szCs w:val="24"/>
                <w:lang w:eastAsia="zh-CN"/>
              </w:rPr>
              <w:t>（</w:t>
            </w:r>
            <w:r>
              <w:rPr>
                <w:rFonts w:hint="eastAsia" w:ascii="Times New Roman" w:hAnsi="Times New Roman" w:cs="Times New Roman"/>
                <w:b w:val="0"/>
                <w:bCs/>
                <w:color w:val="000000"/>
                <w:sz w:val="24"/>
                <w:szCs w:val="24"/>
                <w:lang w:val="en-US" w:eastAsia="zh-CN"/>
              </w:rPr>
              <w:t>2020年12月</w:t>
            </w:r>
            <w:r>
              <w:rPr>
                <w:rFonts w:hint="eastAsia" w:ascii="Times New Roman" w:hAnsi="Times New Roman" w:cs="Times New Roman"/>
                <w:b w:val="0"/>
                <w:bCs/>
                <w:color w:val="000000"/>
                <w:sz w:val="24"/>
                <w:szCs w:val="24"/>
                <w:lang w:eastAsia="zh-CN"/>
              </w:rPr>
              <w:t>）中</w:t>
            </w:r>
            <w:bookmarkStart w:id="0" w:name="_Toc38962908"/>
            <w:bookmarkStart w:id="1" w:name="_Toc39654294"/>
            <w:r>
              <w:rPr>
                <w:rFonts w:hint="default" w:ascii="Times New Roman" w:hAnsi="Times New Roman" w:cs="Times New Roman"/>
                <w:b w:val="0"/>
                <w:bCs/>
                <w:color w:val="000000"/>
                <w:sz w:val="24"/>
                <w:szCs w:val="24"/>
              </w:rPr>
              <w:t>新乡市</w:t>
            </w:r>
            <w:r>
              <w:rPr>
                <w:rFonts w:hint="eastAsia" w:ascii="Times New Roman" w:hAnsi="Times New Roman" w:cs="Times New Roman"/>
                <w:b w:val="0"/>
                <w:bCs/>
                <w:color w:val="000000"/>
                <w:sz w:val="24"/>
                <w:szCs w:val="24"/>
                <w:lang w:val="en-US" w:eastAsia="zh-CN"/>
              </w:rPr>
              <w:t>凤泉区</w:t>
            </w:r>
            <w:r>
              <w:rPr>
                <w:rFonts w:hint="default" w:ascii="Times New Roman" w:hAnsi="Times New Roman" w:cs="Times New Roman"/>
                <w:b w:val="0"/>
                <w:bCs/>
                <w:color w:val="000000"/>
                <w:sz w:val="24"/>
                <w:szCs w:val="24"/>
              </w:rPr>
              <w:t>环境管控单元生态环境准入清单</w:t>
            </w:r>
            <w:bookmarkEnd w:id="0"/>
            <w:bookmarkEnd w:id="1"/>
            <w:r>
              <w:rPr>
                <w:rFonts w:hint="eastAsia" w:ascii="Times New Roman" w:hAnsi="Times New Roman" w:cs="Times New Roman"/>
                <w:b w:val="0"/>
                <w:bCs/>
                <w:color w:val="000000"/>
                <w:sz w:val="24"/>
                <w:szCs w:val="24"/>
                <w:lang w:eastAsia="zh-CN"/>
              </w:rPr>
              <w:t>，对比分析如下：</w:t>
            </w:r>
          </w:p>
          <w:p>
            <w:pPr>
              <w:keepNext w:val="0"/>
              <w:keepLines w:val="0"/>
              <w:pageBreakBefore w:val="0"/>
              <w:widowControl w:val="0"/>
              <w:kinsoku/>
              <w:wordWrap/>
              <w:overflowPunct/>
              <w:topLinePunct w:val="0"/>
              <w:bidi w:val="0"/>
              <w:spacing w:line="520" w:lineRule="exact"/>
              <w:ind w:firstLine="482" w:firstLineChars="200"/>
              <w:jc w:val="center"/>
              <w:textAlignment w:val="auto"/>
              <w:rPr>
                <w:rFonts w:ascii="Times New Roman" w:hAnsi="Times New Roman" w:eastAsia="宋体" w:cs="Times New Roman"/>
                <w:b/>
                <w:color w:val="000000"/>
                <w:sz w:val="24"/>
                <w:szCs w:val="24"/>
              </w:rPr>
            </w:pPr>
          </w:p>
          <w:p>
            <w:pPr>
              <w:keepNext w:val="0"/>
              <w:keepLines w:val="0"/>
              <w:pageBreakBefore w:val="0"/>
              <w:widowControl w:val="0"/>
              <w:kinsoku/>
              <w:wordWrap/>
              <w:overflowPunct/>
              <w:topLinePunct w:val="0"/>
              <w:bidi w:val="0"/>
              <w:spacing w:line="520" w:lineRule="exact"/>
              <w:ind w:firstLine="482" w:firstLineChars="200"/>
              <w:jc w:val="center"/>
              <w:textAlignment w:val="auto"/>
              <w:rPr>
                <w:rFonts w:hint="eastAsia"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lang w:val="en-US" w:eastAsia="zh-CN"/>
              </w:rPr>
              <w:t>1-</w:t>
            </w:r>
            <w:r>
              <w:rPr>
                <w:rFonts w:hint="eastAsia" w:ascii="Times New Roman" w:hAnsi="Times New Roman" w:eastAsia="宋体" w:cs="Times New Roman"/>
                <w:b/>
                <w:color w:val="000000"/>
                <w:sz w:val="24"/>
                <w:szCs w:val="24"/>
              </w:rPr>
              <w:t xml:space="preserve">3    </w:t>
            </w:r>
            <w:r>
              <w:rPr>
                <w:rFonts w:hint="eastAsia" w:cs="Times New Roman"/>
                <w:b/>
                <w:color w:val="000000"/>
                <w:sz w:val="24"/>
                <w:szCs w:val="24"/>
                <w:lang w:val="en-US" w:eastAsia="zh-CN"/>
              </w:rPr>
              <w:t>与</w:t>
            </w:r>
            <w:r>
              <w:rPr>
                <w:rFonts w:hint="eastAsia" w:ascii="Times New Roman" w:hAnsi="Times New Roman" w:eastAsia="宋体" w:cs="Times New Roman"/>
                <w:b/>
                <w:color w:val="000000"/>
                <w:sz w:val="24"/>
                <w:szCs w:val="24"/>
              </w:rPr>
              <w:t>《河南省生态环境准入清单》</w:t>
            </w:r>
            <w:r>
              <w:rPr>
                <w:rFonts w:hint="eastAsia" w:cs="Times New Roman"/>
                <w:b/>
                <w:color w:val="000000"/>
                <w:sz w:val="24"/>
                <w:szCs w:val="24"/>
                <w:lang w:val="en-US" w:eastAsia="zh-CN"/>
              </w:rPr>
              <w:t>相符性分析</w:t>
            </w:r>
            <w:r>
              <w:rPr>
                <w:rFonts w:ascii="Times New Roman" w:hAnsi="Times New Roman" w:eastAsia="宋体" w:cs="Times New Roman"/>
                <w:b/>
                <w:color w:val="000000"/>
                <w:sz w:val="24"/>
                <w:szCs w:val="24"/>
              </w:rPr>
              <w:t>一览表</w:t>
            </w:r>
          </w:p>
          <w:tbl>
            <w:tblPr>
              <w:tblStyle w:val="25"/>
              <w:tblW w:w="8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57" w:type="dxa"/>
                <w:bottom w:w="85" w:type="dxa"/>
                <w:right w:w="57" w:type="dxa"/>
              </w:tblCellMar>
            </w:tblPr>
            <w:tblGrid>
              <w:gridCol w:w="590"/>
              <w:gridCol w:w="634"/>
              <w:gridCol w:w="583"/>
              <w:gridCol w:w="583"/>
              <w:gridCol w:w="672"/>
              <w:gridCol w:w="558"/>
              <w:gridCol w:w="2690"/>
              <w:gridCol w:w="1446"/>
              <w:gridCol w:w="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1309" w:hRule="atLeast"/>
                <w:jc w:val="center"/>
              </w:trPr>
              <w:tc>
                <w:tcPr>
                  <w:tcW w:w="364" w:type="pct"/>
                  <w:tcBorders>
                    <w:tl2br w:val="nil"/>
                    <w:tr2bl w:val="nil"/>
                  </w:tcBorders>
                  <w:noWrap w:val="0"/>
                  <w:tcMar>
                    <w:top w:w="28" w:type="dxa"/>
                    <w:bottom w:w="57" w:type="dxa"/>
                  </w:tcMar>
                  <w:vAlign w:val="center"/>
                </w:tcPr>
                <w:p>
                  <w:pPr>
                    <w:pStyle w:val="21"/>
                    <w:spacing w:before="0" w:beforeAutospacing="0" w:after="0" w:afterAutospacing="0"/>
                    <w:jc w:val="center"/>
                    <w:outlineLvl w:val="0"/>
                    <w:rPr>
                      <w:rFonts w:hint="eastAsia" w:ascii="Times New Roman" w:hAnsi="Times New Roman" w:eastAsia="宋体" w:cs="Times New Roman"/>
                      <w:b/>
                      <w:snapToGrid w:val="0"/>
                      <w:sz w:val="21"/>
                      <w:szCs w:val="21"/>
                      <w:lang w:val="en-US" w:eastAsia="zh-CN"/>
                    </w:rPr>
                  </w:pPr>
                  <w:r>
                    <w:rPr>
                      <w:rFonts w:hint="default" w:ascii="Times New Roman" w:hAnsi="Times New Roman" w:eastAsia="宋体" w:cs="Times New Roman"/>
                      <w:b/>
                      <w:snapToGrid w:val="0"/>
                      <w:sz w:val="21"/>
                      <w:szCs w:val="21"/>
                    </w:rPr>
                    <w:t>环境管控单元</w:t>
                  </w:r>
                  <w:r>
                    <w:rPr>
                      <w:rFonts w:hint="eastAsia" w:ascii="Times New Roman" w:hAnsi="Times New Roman" w:cs="Times New Roman"/>
                      <w:b/>
                      <w:snapToGrid w:val="0"/>
                      <w:sz w:val="21"/>
                      <w:szCs w:val="21"/>
                      <w:lang w:val="en-US" w:eastAsia="zh-CN"/>
                    </w:rPr>
                    <w:t>编码</w:t>
                  </w:r>
                </w:p>
              </w:tc>
              <w:tc>
                <w:tcPr>
                  <w:tcW w:w="391" w:type="pct"/>
                  <w:tcBorders>
                    <w:tl2br w:val="nil"/>
                    <w:tr2bl w:val="nil"/>
                  </w:tcBorders>
                  <w:noWrap w:val="0"/>
                  <w:tcMar>
                    <w:top w:w="28" w:type="dxa"/>
                    <w:bottom w:w="57" w:type="dxa"/>
                  </w:tcMar>
                  <w:vAlign w:val="center"/>
                </w:tcPr>
                <w:p>
                  <w:pPr>
                    <w:pStyle w:val="21"/>
                    <w:spacing w:before="0" w:beforeAutospacing="0" w:after="0" w:afterAutospacing="0"/>
                    <w:jc w:val="center"/>
                    <w:outlineLvl w:val="0"/>
                    <w:rPr>
                      <w:rFonts w:hint="default" w:ascii="Times New Roman" w:hAnsi="Times New Roman" w:eastAsia="宋体" w:cs="Times New Roman"/>
                      <w:b/>
                      <w:snapToGrid w:val="0"/>
                      <w:sz w:val="21"/>
                      <w:szCs w:val="21"/>
                    </w:rPr>
                  </w:pPr>
                  <w:r>
                    <w:rPr>
                      <w:rFonts w:hint="default" w:ascii="Times New Roman" w:hAnsi="Times New Roman" w:eastAsia="宋体" w:cs="Times New Roman"/>
                      <w:b/>
                      <w:snapToGrid w:val="0"/>
                      <w:sz w:val="21"/>
                      <w:szCs w:val="21"/>
                    </w:rPr>
                    <w:t>环境管控单元名称</w:t>
                  </w:r>
                </w:p>
              </w:tc>
              <w:tc>
                <w:tcPr>
                  <w:tcW w:w="360" w:type="pct"/>
                  <w:tcBorders>
                    <w:tl2br w:val="nil"/>
                    <w:tr2bl w:val="nil"/>
                  </w:tcBorders>
                  <w:noWrap w:val="0"/>
                  <w:tcMar>
                    <w:top w:w="28" w:type="dxa"/>
                    <w:bottom w:w="57" w:type="dxa"/>
                  </w:tcMar>
                  <w:vAlign w:val="center"/>
                </w:tcPr>
                <w:p>
                  <w:pPr>
                    <w:pStyle w:val="21"/>
                    <w:spacing w:before="0" w:beforeAutospacing="0" w:after="0" w:afterAutospacing="0"/>
                    <w:jc w:val="center"/>
                    <w:outlineLvl w:val="0"/>
                    <w:rPr>
                      <w:rFonts w:hint="default" w:ascii="Times New Roman" w:hAnsi="Times New Roman" w:eastAsia="宋体" w:cs="Times New Roman"/>
                      <w:b/>
                      <w:snapToGrid w:val="0"/>
                      <w:sz w:val="21"/>
                      <w:szCs w:val="21"/>
                      <w:lang w:val="en-US" w:eastAsia="zh-CN"/>
                    </w:rPr>
                  </w:pPr>
                  <w:r>
                    <w:rPr>
                      <w:rFonts w:hint="eastAsia" w:ascii="Times New Roman" w:hAnsi="Times New Roman" w:cs="Times New Roman"/>
                      <w:b/>
                      <w:snapToGrid w:val="0"/>
                      <w:sz w:val="21"/>
                      <w:szCs w:val="21"/>
                      <w:lang w:val="en-US" w:eastAsia="zh-CN"/>
                    </w:rPr>
                    <w:t>行政区域</w:t>
                  </w:r>
                </w:p>
              </w:tc>
              <w:tc>
                <w:tcPr>
                  <w:tcW w:w="360" w:type="pct"/>
                  <w:tcBorders>
                    <w:tl2br w:val="nil"/>
                    <w:tr2bl w:val="nil"/>
                  </w:tcBorders>
                  <w:noWrap w:val="0"/>
                  <w:tcMar>
                    <w:top w:w="28" w:type="dxa"/>
                    <w:bottom w:w="57" w:type="dxa"/>
                  </w:tcMar>
                  <w:vAlign w:val="center"/>
                </w:tcPr>
                <w:p>
                  <w:pPr>
                    <w:pStyle w:val="21"/>
                    <w:spacing w:before="0" w:beforeAutospacing="0" w:after="0" w:afterAutospacing="0"/>
                    <w:jc w:val="center"/>
                    <w:outlineLvl w:val="0"/>
                    <w:rPr>
                      <w:rFonts w:hint="default" w:ascii="Times New Roman" w:hAnsi="Times New Roman" w:eastAsia="宋体" w:cs="Times New Roman"/>
                      <w:b/>
                      <w:snapToGrid w:val="0"/>
                      <w:sz w:val="21"/>
                      <w:szCs w:val="21"/>
                    </w:rPr>
                  </w:pPr>
                  <w:r>
                    <w:rPr>
                      <w:rFonts w:hint="default" w:ascii="Times New Roman" w:hAnsi="Times New Roman" w:eastAsia="宋体" w:cs="Times New Roman"/>
                      <w:b/>
                      <w:snapToGrid w:val="0"/>
                      <w:sz w:val="21"/>
                      <w:szCs w:val="21"/>
                    </w:rPr>
                    <w:t>管控单元分类</w:t>
                  </w:r>
                </w:p>
              </w:tc>
              <w:tc>
                <w:tcPr>
                  <w:tcW w:w="415" w:type="pct"/>
                  <w:tcBorders>
                    <w:tl2br w:val="nil"/>
                    <w:tr2bl w:val="nil"/>
                  </w:tcBorders>
                  <w:noWrap w:val="0"/>
                  <w:tcMar>
                    <w:top w:w="28" w:type="dxa"/>
                    <w:bottom w:w="57" w:type="dxa"/>
                  </w:tcMar>
                  <w:vAlign w:val="center"/>
                </w:tcPr>
                <w:p>
                  <w:pPr>
                    <w:pStyle w:val="21"/>
                    <w:spacing w:before="0" w:beforeAutospacing="0" w:after="0" w:afterAutospacing="0"/>
                    <w:jc w:val="center"/>
                    <w:outlineLvl w:val="0"/>
                    <w:rPr>
                      <w:rFonts w:hint="default" w:ascii="Times New Roman" w:hAnsi="Times New Roman" w:eastAsia="宋体" w:cs="Times New Roman"/>
                      <w:b/>
                      <w:snapToGrid w:val="0"/>
                      <w:sz w:val="21"/>
                      <w:szCs w:val="21"/>
                    </w:rPr>
                  </w:pPr>
                  <w:r>
                    <w:rPr>
                      <w:rFonts w:hint="default" w:ascii="Times New Roman" w:hAnsi="Times New Roman" w:eastAsia="宋体" w:cs="Times New Roman"/>
                      <w:b/>
                      <w:snapToGrid w:val="0"/>
                      <w:sz w:val="21"/>
                      <w:szCs w:val="21"/>
                    </w:rPr>
                    <w:t>环境要素类别</w:t>
                  </w:r>
                </w:p>
              </w:tc>
              <w:tc>
                <w:tcPr>
                  <w:tcW w:w="2005" w:type="pct"/>
                  <w:gridSpan w:val="2"/>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管控要求</w:t>
                  </w:r>
                </w:p>
              </w:tc>
              <w:tc>
                <w:tcPr>
                  <w:tcW w:w="893"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本项目情况</w:t>
                  </w:r>
                </w:p>
              </w:tc>
              <w:tc>
                <w:tcPr>
                  <w:tcW w:w="209"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2776" w:hRule="atLeast"/>
                <w:jc w:val="center"/>
              </w:trPr>
              <w:tc>
                <w:tcPr>
                  <w:tcW w:w="364" w:type="pct"/>
                  <w:vMerge w:val="restart"/>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ZH41070420002</w:t>
                  </w:r>
                </w:p>
              </w:tc>
              <w:tc>
                <w:tcPr>
                  <w:tcW w:w="391" w:type="pct"/>
                  <w:vMerge w:val="restart"/>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凤泉区大气高排放区</w:t>
                  </w:r>
                </w:p>
              </w:tc>
              <w:tc>
                <w:tcPr>
                  <w:tcW w:w="360" w:type="pct"/>
                  <w:vMerge w:val="restart"/>
                  <w:tcBorders>
                    <w:tl2br w:val="nil"/>
                    <w:tr2bl w:val="nil"/>
                  </w:tcBorders>
                  <w:noWrap w:val="0"/>
                  <w:tcMar>
                    <w:top w:w="28" w:type="dxa"/>
                    <w:bottom w:w="57" w:type="dxa"/>
                  </w:tcMar>
                  <w:vAlign w:val="center"/>
                </w:tcPr>
                <w:p>
                  <w:pPr>
                    <w:pStyle w:val="6"/>
                    <w:adjustRightInd w:val="0"/>
                    <w:snapToGrid w:val="0"/>
                    <w:ind w:firstLine="0" w:firstLineChars="0"/>
                    <w:jc w:val="center"/>
                    <w:rPr>
                      <w:rFonts w:hint="eastAsia" w:cs="Times New Roman"/>
                      <w:sz w:val="21"/>
                      <w:szCs w:val="21"/>
                      <w:lang w:val="en-US" w:eastAsia="zh-CN"/>
                    </w:rPr>
                  </w:pPr>
                  <w:r>
                    <w:rPr>
                      <w:rFonts w:hint="eastAsia" w:cs="Times New Roman"/>
                      <w:sz w:val="21"/>
                      <w:szCs w:val="21"/>
                      <w:lang w:val="en-US" w:eastAsia="zh-CN"/>
                    </w:rPr>
                    <w:t>河南省</w:t>
                  </w:r>
                </w:p>
                <w:p>
                  <w:pPr>
                    <w:pStyle w:val="6"/>
                    <w:adjustRightInd w:val="0"/>
                    <w:snapToGrid w:val="0"/>
                    <w:ind w:firstLine="0" w:firstLineChars="0"/>
                    <w:jc w:val="center"/>
                    <w:rPr>
                      <w:rFonts w:hint="eastAsia" w:cs="Times New Roman"/>
                      <w:sz w:val="21"/>
                      <w:szCs w:val="21"/>
                      <w:lang w:val="en-US" w:eastAsia="zh-CN"/>
                    </w:rPr>
                  </w:pPr>
                  <w:r>
                    <w:rPr>
                      <w:rFonts w:hint="eastAsia" w:cs="Times New Roman"/>
                      <w:sz w:val="21"/>
                      <w:szCs w:val="21"/>
                      <w:lang w:val="en-US" w:eastAsia="zh-CN"/>
                    </w:rPr>
                    <w:t>新乡市</w:t>
                  </w:r>
                </w:p>
                <w:p>
                  <w:pPr>
                    <w:pStyle w:val="6"/>
                    <w:adjustRightInd w:val="0"/>
                    <w:snapToGrid w:val="0"/>
                    <w:ind w:firstLine="0" w:firstLineChars="0"/>
                    <w:jc w:val="center"/>
                    <w:rPr>
                      <w:rFonts w:hint="eastAsia" w:cs="Times New Roman"/>
                      <w:sz w:val="21"/>
                      <w:szCs w:val="21"/>
                      <w:lang w:val="en-US" w:eastAsia="zh-CN"/>
                    </w:rPr>
                  </w:pPr>
                  <w:r>
                    <w:rPr>
                      <w:rFonts w:hint="eastAsia" w:cs="Times New Roman"/>
                      <w:sz w:val="21"/>
                      <w:szCs w:val="21"/>
                      <w:lang w:val="en-US" w:eastAsia="zh-CN"/>
                    </w:rPr>
                    <w:t>凤泉区</w:t>
                  </w:r>
                </w:p>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大块镇</w:t>
                  </w:r>
                </w:p>
              </w:tc>
              <w:tc>
                <w:tcPr>
                  <w:tcW w:w="360" w:type="pct"/>
                  <w:vMerge w:val="restart"/>
                  <w:tcBorders>
                    <w:tl2br w:val="nil"/>
                    <w:tr2bl w:val="nil"/>
                  </w:tcBorders>
                  <w:noWrap w:val="0"/>
                  <w:tcMar>
                    <w:top w:w="28" w:type="dxa"/>
                    <w:bottom w:w="57" w:type="dxa"/>
                  </w:tcMar>
                  <w:vAlign w:val="center"/>
                </w:tcPr>
                <w:p>
                  <w:pPr>
                    <w:pStyle w:val="6"/>
                    <w:adjustRightInd w:val="0"/>
                    <w:snapToGrid w:val="0"/>
                    <w:ind w:firstLine="0" w:firstLineChars="0"/>
                    <w:jc w:val="center"/>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重点管控单元</w:t>
                  </w:r>
                  <w:r>
                    <w:rPr>
                      <w:rFonts w:hint="eastAsia" w:ascii="Times New Roman" w:hAnsi="Times New Roman" w:eastAsia="宋体" w:cs="Times New Roman"/>
                      <w:sz w:val="21"/>
                      <w:szCs w:val="21"/>
                      <w:lang w:val="en-US" w:eastAsia="zh-CN"/>
                    </w:rPr>
                    <w:t>2</w:t>
                  </w:r>
                </w:p>
              </w:tc>
              <w:tc>
                <w:tcPr>
                  <w:tcW w:w="415" w:type="pct"/>
                  <w:vMerge w:val="restart"/>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大气高排放区、大气布局敏感区、大气弱扩散区、建设用地重点管控区</w:t>
                  </w:r>
                </w:p>
              </w:tc>
              <w:tc>
                <w:tcPr>
                  <w:tcW w:w="344" w:type="pct"/>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空间布局约束</w:t>
                  </w:r>
                </w:p>
              </w:tc>
              <w:tc>
                <w:tcPr>
                  <w:tcW w:w="1661"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1、淘汰不符合国家产业政策的涉重行业企业生产工艺装备。鼓励产能严重过剩行业的涉重金属排放企业主动退出市场。</w:t>
                  </w:r>
                </w:p>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2、对列入疑似污染地块名单的地块，未经土壤污染状况调查确定为未污染地块的，不得进入用地程序，自然资源部门不得核发建设工程规划许可证。</w:t>
                  </w:r>
                </w:p>
              </w:tc>
              <w:tc>
                <w:tcPr>
                  <w:tcW w:w="893"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1、本项目</w:t>
                  </w:r>
                  <w:r>
                    <w:rPr>
                      <w:rFonts w:hint="eastAsia" w:ascii="Times New Roman" w:hAnsi="Times New Roman" w:eastAsia="宋体" w:cs="Times New Roman"/>
                      <w:sz w:val="21"/>
                      <w:szCs w:val="21"/>
                      <w:lang w:val="en-US" w:eastAsia="zh-CN"/>
                    </w:rPr>
                    <w:t>不属于涉重行业</w:t>
                  </w:r>
                  <w:r>
                    <w:rPr>
                      <w:rFonts w:hint="default" w:ascii="Times New Roman" w:hAnsi="Times New Roman" w:eastAsia="宋体" w:cs="Times New Roman"/>
                      <w:sz w:val="21"/>
                      <w:szCs w:val="21"/>
                    </w:rPr>
                    <w:t>。</w:t>
                  </w:r>
                </w:p>
                <w:p>
                  <w:pPr>
                    <w:adjustRightInd w:val="0"/>
                    <w:snapToGrid w:val="0"/>
                    <w:spacing w:line="240" w:lineRule="exact"/>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2、本项目</w:t>
                  </w:r>
                  <w:r>
                    <w:rPr>
                      <w:rFonts w:hint="eastAsia" w:ascii="Times New Roman" w:hAnsi="Times New Roman" w:eastAsia="宋体" w:cs="Times New Roman"/>
                      <w:sz w:val="21"/>
                      <w:szCs w:val="21"/>
                      <w:lang w:val="en-US" w:eastAsia="zh-CN"/>
                    </w:rPr>
                    <w:t>不在疑似污染地块名单。</w:t>
                  </w:r>
                </w:p>
              </w:tc>
              <w:tc>
                <w:tcPr>
                  <w:tcW w:w="209" w:type="pct"/>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3911" w:hRule="atLeast"/>
                <w:jc w:val="center"/>
              </w:trPr>
              <w:tc>
                <w:tcPr>
                  <w:tcW w:w="364" w:type="pct"/>
                  <w:vMerge w:val="continue"/>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rPr>
                  </w:pPr>
                </w:p>
              </w:tc>
              <w:tc>
                <w:tcPr>
                  <w:tcW w:w="391" w:type="pct"/>
                  <w:vMerge w:val="continue"/>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rPr>
                  </w:pPr>
                </w:p>
              </w:tc>
              <w:tc>
                <w:tcPr>
                  <w:tcW w:w="360" w:type="pct"/>
                  <w:vMerge w:val="continue"/>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rPr>
                  </w:pPr>
                </w:p>
              </w:tc>
              <w:tc>
                <w:tcPr>
                  <w:tcW w:w="360"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415"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344" w:type="pct"/>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污染物排放管控</w:t>
                  </w:r>
                </w:p>
              </w:tc>
              <w:tc>
                <w:tcPr>
                  <w:tcW w:w="1661"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1、严格控制新建、扩建钢铁冶炼、水泥、有色金属冶炼、平板玻璃、化工、建筑陶瓷等行业的高排放、高污染项目。</w:t>
                  </w:r>
                </w:p>
                <w:p>
                  <w:pPr>
                    <w:pStyle w:val="6"/>
                    <w:adjustRightInd w:val="0"/>
                    <w:snapToGrid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2、造纸等重点行业二氧化硫、氮氧化物、颗粒物、VOCs全面执行大气污染物特别排放限值。</w:t>
                  </w:r>
                </w:p>
                <w:p>
                  <w:pPr>
                    <w:pStyle w:val="6"/>
                    <w:adjustRightInd w:val="0"/>
                    <w:snapToGrid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3、加强柴油车车NOx排放监管，严格实施非道路移动机械排放标准，推进重点场所清洁能源机械替代。</w:t>
                  </w:r>
                </w:p>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4、禁止含重金属废水进入城市生活污水处理厂。</w:t>
                  </w:r>
                </w:p>
              </w:tc>
              <w:tc>
                <w:tcPr>
                  <w:tcW w:w="893"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1、本项目</w:t>
                  </w:r>
                  <w:r>
                    <w:rPr>
                      <w:rFonts w:hint="eastAsia" w:ascii="Times New Roman" w:hAnsi="Times New Roman" w:eastAsia="宋体" w:cs="Times New Roman"/>
                      <w:kern w:val="0"/>
                      <w:sz w:val="21"/>
                      <w:szCs w:val="21"/>
                      <w:lang w:val="en-US" w:eastAsia="zh-CN"/>
                    </w:rPr>
                    <w:t>不属于高排放、高污染项目</w:t>
                  </w:r>
                  <w:r>
                    <w:rPr>
                      <w:rFonts w:hint="default" w:ascii="Times New Roman" w:hAnsi="Times New Roman" w:eastAsia="宋体" w:cs="Times New Roman"/>
                      <w:kern w:val="0"/>
                      <w:sz w:val="21"/>
                      <w:szCs w:val="21"/>
                    </w:rPr>
                    <w:t>。</w:t>
                  </w:r>
                </w:p>
                <w:p>
                  <w:pPr>
                    <w:pStyle w:val="6"/>
                    <w:adjustRightInd w:val="0"/>
                    <w:snapToGrid w:val="0"/>
                    <w:ind w:firstLine="0" w:firstLineChars="0"/>
                    <w:jc w:val="center"/>
                    <w:rPr>
                      <w:rFonts w:hint="eastAsia"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2、本项目</w:t>
                  </w:r>
                  <w:r>
                    <w:rPr>
                      <w:rFonts w:hint="eastAsia" w:ascii="Times New Roman" w:hAnsi="Times New Roman" w:eastAsia="宋体" w:cs="Times New Roman"/>
                      <w:kern w:val="0"/>
                      <w:sz w:val="21"/>
                      <w:szCs w:val="21"/>
                      <w:lang w:val="en-US" w:eastAsia="zh-CN"/>
                    </w:rPr>
                    <w:t>VOCs排放排执行大气污染物特别排放限值；</w:t>
                  </w:r>
                </w:p>
                <w:p>
                  <w:pPr>
                    <w:pStyle w:val="6"/>
                    <w:adjustRightInd w:val="0"/>
                    <w:snapToGrid w:val="0"/>
                    <w:ind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3、项目非道路移动车辆达到国III标准。</w:t>
                  </w:r>
                </w:p>
                <w:p>
                  <w:pPr>
                    <w:pStyle w:val="6"/>
                    <w:adjustRightInd w:val="0"/>
                    <w:snapToGrid w:val="0"/>
                    <w:ind w:firstLine="0" w:firstLineChars="0"/>
                    <w:jc w:val="center"/>
                    <w:rPr>
                      <w:rFonts w:hint="default" w:ascii="Times New Roman" w:hAnsi="Times New Roman" w:eastAsia="宋体" w:cs="Times New Roman"/>
                      <w:kern w:val="0"/>
                      <w:sz w:val="21"/>
                      <w:szCs w:val="21"/>
                    </w:rPr>
                  </w:pPr>
                  <w:r>
                    <w:rPr>
                      <w:rFonts w:hint="eastAsia" w:ascii="Times New Roman" w:hAnsi="Times New Roman" w:eastAsia="宋体" w:cs="Times New Roman"/>
                      <w:kern w:val="0"/>
                      <w:sz w:val="21"/>
                      <w:szCs w:val="21"/>
                      <w:lang w:val="en-US" w:eastAsia="zh-CN"/>
                    </w:rPr>
                    <w:t>4、项目仅排放生活污水，不涉及重金属</w:t>
                  </w:r>
                  <w:r>
                    <w:rPr>
                      <w:rFonts w:hint="default" w:ascii="Times New Roman" w:hAnsi="Times New Roman" w:eastAsia="宋体" w:cs="Times New Roman"/>
                      <w:sz w:val="21"/>
                      <w:szCs w:val="21"/>
                    </w:rPr>
                    <w:t>。</w:t>
                  </w:r>
                </w:p>
              </w:tc>
              <w:tc>
                <w:tcPr>
                  <w:tcW w:w="209"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1970" w:hRule="atLeast"/>
                <w:jc w:val="center"/>
              </w:trPr>
              <w:tc>
                <w:tcPr>
                  <w:tcW w:w="364"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391"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360"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360"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415"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344" w:type="pct"/>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环境风险防控</w:t>
                  </w:r>
                </w:p>
              </w:tc>
              <w:tc>
                <w:tcPr>
                  <w:tcW w:w="1661"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1、规范产业集聚区建设，对涉重行业企业加强管理，建立土壤和地下水污染隐患排查治理制度、风险防控体系和长效监管机制。</w:t>
                  </w:r>
                </w:p>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2、高关注地块划分污染风险等级，纳入优先管控名录。</w:t>
                  </w:r>
                </w:p>
              </w:tc>
              <w:tc>
                <w:tcPr>
                  <w:tcW w:w="893"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项目</w:t>
                  </w:r>
                  <w:r>
                    <w:rPr>
                      <w:rFonts w:hint="eastAsia" w:ascii="Times New Roman" w:hAnsi="Times New Roman" w:eastAsia="宋体" w:cs="Times New Roman"/>
                      <w:kern w:val="0"/>
                      <w:sz w:val="21"/>
                      <w:szCs w:val="21"/>
                      <w:lang w:val="en-US" w:eastAsia="zh-CN"/>
                    </w:rPr>
                    <w:t>不涉及重金属</w:t>
                  </w:r>
                  <w:r>
                    <w:rPr>
                      <w:rFonts w:hint="default" w:ascii="Times New Roman" w:hAnsi="Times New Roman" w:eastAsia="宋体" w:cs="Times New Roman"/>
                      <w:kern w:val="0"/>
                      <w:sz w:val="21"/>
                      <w:szCs w:val="21"/>
                    </w:rPr>
                    <w:t>，</w:t>
                  </w:r>
                  <w:r>
                    <w:rPr>
                      <w:rFonts w:hint="eastAsia" w:ascii="Times New Roman" w:hAnsi="Times New Roman" w:eastAsia="宋体" w:cs="Times New Roman"/>
                      <w:kern w:val="0"/>
                      <w:sz w:val="21"/>
                      <w:szCs w:val="21"/>
                      <w:lang w:val="en-US" w:eastAsia="zh-CN"/>
                    </w:rPr>
                    <w:t>且采用严格的防渗措施</w:t>
                  </w:r>
                  <w:r>
                    <w:rPr>
                      <w:rFonts w:hint="default"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可</w:t>
                  </w:r>
                  <w:r>
                    <w:rPr>
                      <w:rFonts w:hint="default" w:ascii="Times New Roman" w:hAnsi="Times New Roman" w:eastAsia="宋体" w:cs="Times New Roman"/>
                      <w:sz w:val="21"/>
                      <w:szCs w:val="21"/>
                    </w:rPr>
                    <w:t>杜绝发生</w:t>
                  </w:r>
                  <w:r>
                    <w:rPr>
                      <w:rFonts w:hint="eastAsia" w:ascii="Times New Roman" w:hAnsi="Times New Roman" w:eastAsia="宋体" w:cs="Times New Roman"/>
                      <w:sz w:val="21"/>
                      <w:szCs w:val="21"/>
                      <w:lang w:val="en-US" w:eastAsia="zh-CN"/>
                    </w:rPr>
                    <w:t>土壤及地下水</w:t>
                  </w:r>
                  <w:r>
                    <w:rPr>
                      <w:rFonts w:hint="default" w:ascii="Times New Roman" w:hAnsi="Times New Roman" w:eastAsia="宋体" w:cs="Times New Roman"/>
                      <w:sz w:val="21"/>
                      <w:szCs w:val="21"/>
                    </w:rPr>
                    <w:t>污染事故。</w:t>
                  </w:r>
                </w:p>
              </w:tc>
              <w:tc>
                <w:tcPr>
                  <w:tcW w:w="209"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57" w:type="dxa"/>
                  <w:bottom w:w="85" w:type="dxa"/>
                  <w:right w:w="57" w:type="dxa"/>
                </w:tblCellMar>
              </w:tblPrEx>
              <w:trPr>
                <w:trHeight w:val="1599" w:hRule="atLeast"/>
                <w:jc w:val="center"/>
              </w:trPr>
              <w:tc>
                <w:tcPr>
                  <w:tcW w:w="364"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391"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360"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360"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415" w:type="pct"/>
                  <w:vMerge w:val="continue"/>
                  <w:tcBorders>
                    <w:tl2br w:val="nil"/>
                    <w:tr2bl w:val="nil"/>
                  </w:tcBorders>
                  <w:noWrap w:val="0"/>
                  <w:tcMar>
                    <w:top w:w="28" w:type="dxa"/>
                    <w:bottom w:w="57" w:type="dxa"/>
                  </w:tcMar>
                  <w:vAlign w:val="center"/>
                </w:tcPr>
                <w:p>
                  <w:pPr>
                    <w:pStyle w:val="6"/>
                    <w:adjustRightInd w:val="0"/>
                    <w:snapToGrid w:val="0"/>
                    <w:ind w:firstLine="422"/>
                    <w:jc w:val="center"/>
                    <w:rPr>
                      <w:rFonts w:hint="default" w:ascii="Times New Roman" w:hAnsi="Times New Roman" w:eastAsia="宋体" w:cs="Times New Roman"/>
                      <w:b/>
                      <w:sz w:val="21"/>
                      <w:szCs w:val="21"/>
                      <w:u w:val="single"/>
                    </w:rPr>
                  </w:pPr>
                </w:p>
              </w:tc>
              <w:tc>
                <w:tcPr>
                  <w:tcW w:w="344" w:type="pct"/>
                  <w:tcBorders>
                    <w:tl2br w:val="nil"/>
                    <w:tr2bl w:val="nil"/>
                  </w:tcBorders>
                  <w:noWrap w:val="0"/>
                  <w:tcMar>
                    <w:top w:w="28" w:type="dxa"/>
                    <w:bottom w:w="57" w:type="dxa"/>
                  </w:tcMar>
                  <w:vAlign w:val="center"/>
                </w:tcPr>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资源利用效率要求</w:t>
                  </w:r>
                </w:p>
              </w:tc>
              <w:tc>
                <w:tcPr>
                  <w:tcW w:w="1661"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w:t>
                  </w:r>
                </w:p>
              </w:tc>
              <w:tc>
                <w:tcPr>
                  <w:tcW w:w="893" w:type="pct"/>
                  <w:tcBorders>
                    <w:tl2br w:val="nil"/>
                    <w:tr2bl w:val="nil"/>
                  </w:tcBorders>
                  <w:noWrap w:val="0"/>
                  <w:vAlign w:val="center"/>
                </w:tcPr>
                <w:p>
                  <w:pPr>
                    <w:pStyle w:val="6"/>
                    <w:adjustRightInd w:val="0"/>
                    <w:snapToGrid w:val="0"/>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09" w:type="pct"/>
                  <w:tcBorders>
                    <w:tl2br w:val="nil"/>
                    <w:tr2bl w:val="nil"/>
                  </w:tcBorders>
                  <w:noWrap w:val="0"/>
                  <w:vAlign w:val="center"/>
                </w:tcPr>
                <w:p>
                  <w:pPr>
                    <w:pStyle w:val="6"/>
                    <w:adjustRightInd w:val="0"/>
                    <w:snapToGrid w:val="0"/>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r>
          </w:tbl>
          <w:p>
            <w:pPr>
              <w:keepNext w:val="0"/>
              <w:keepLines w:val="0"/>
              <w:pageBreakBefore w:val="0"/>
              <w:kinsoku/>
              <w:wordWrap/>
              <w:overflowPunct/>
              <w:topLinePunct w:val="0"/>
              <w:autoSpaceDE/>
              <w:autoSpaceDN/>
              <w:bidi w:val="0"/>
              <w:adjustRightInd/>
              <w:snapToGrid w:val="0"/>
              <w:spacing w:line="520" w:lineRule="exact"/>
              <w:ind w:firstLine="480" w:firstLineChars="200"/>
              <w:textAlignment w:val="auto"/>
              <w:rPr>
                <w:rFonts w:hint="eastAsia" w:ascii="Times New Roman" w:eastAsia="宋体"/>
                <w:color w:val="000000"/>
                <w:sz w:val="24"/>
                <w:szCs w:val="32"/>
                <w:lang w:eastAsia="zh-CN"/>
              </w:rPr>
            </w:pPr>
            <w:r>
              <w:rPr>
                <w:rFonts w:ascii="Times New Roman"/>
                <w:snapToGrid w:val="0"/>
                <w:color w:val="000000"/>
                <w:sz w:val="24"/>
                <w:szCs w:val="32"/>
                <w:lang w:val="en-US" w:eastAsia="zh-CN"/>
              </w:rPr>
              <w:t>由上表可知，项目符合</w:t>
            </w:r>
            <w:r>
              <w:rPr>
                <w:rFonts w:hint="default" w:ascii="Times New Roman" w:hAnsi="Times New Roman" w:cs="Times New Roman"/>
                <w:b w:val="0"/>
                <w:bCs/>
                <w:color w:val="000000"/>
                <w:sz w:val="24"/>
                <w:szCs w:val="24"/>
              </w:rPr>
              <w:t>《河南省生态环境准入清单》</w:t>
            </w:r>
            <w:r>
              <w:rPr>
                <w:rFonts w:hint="eastAsia" w:ascii="Times New Roman" w:hAnsi="Times New Roman" w:cs="Times New Roman"/>
                <w:b w:val="0"/>
                <w:bCs/>
                <w:color w:val="000000"/>
                <w:sz w:val="24"/>
                <w:szCs w:val="24"/>
                <w:lang w:eastAsia="zh-CN"/>
              </w:rPr>
              <w:t>（</w:t>
            </w:r>
            <w:r>
              <w:rPr>
                <w:rFonts w:hint="eastAsia" w:ascii="Times New Roman" w:hAnsi="Times New Roman" w:cs="Times New Roman"/>
                <w:b w:val="0"/>
                <w:bCs/>
                <w:color w:val="000000"/>
                <w:sz w:val="24"/>
                <w:szCs w:val="24"/>
                <w:lang w:val="en-US" w:eastAsia="zh-CN"/>
              </w:rPr>
              <w:t>2020年12月</w:t>
            </w:r>
            <w:r>
              <w:rPr>
                <w:rFonts w:hint="eastAsia" w:ascii="Times New Roman" w:hAnsi="Times New Roman" w:cs="Times New Roman"/>
                <w:b w:val="0"/>
                <w:bCs/>
                <w:color w:val="000000"/>
                <w:sz w:val="24"/>
                <w:szCs w:val="24"/>
                <w:lang w:eastAsia="zh-CN"/>
              </w:rPr>
              <w:t>）</w:t>
            </w:r>
            <w:r>
              <w:rPr>
                <w:rFonts w:hint="eastAsia" w:cs="Times New Roman"/>
                <w:b w:val="0"/>
                <w:bCs/>
                <w:color w:val="000000"/>
                <w:sz w:val="24"/>
                <w:szCs w:val="24"/>
                <w:lang w:val="en-US" w:eastAsia="zh-CN"/>
              </w:rPr>
              <w:t>中</w:t>
            </w:r>
            <w:r>
              <w:rPr>
                <w:rFonts w:hint="eastAsia"/>
                <w:snapToGrid w:val="0"/>
                <w:color w:val="000000"/>
                <w:sz w:val="24"/>
                <w:szCs w:val="32"/>
                <w:lang w:val="en-US" w:eastAsia="zh-CN"/>
              </w:rPr>
              <w:t>新乡市凤泉区</w:t>
            </w:r>
            <w:r>
              <w:rPr>
                <w:rFonts w:hint="eastAsia" w:ascii="Times New Roman"/>
                <w:sz w:val="24"/>
                <w:szCs w:val="32"/>
              </w:rPr>
              <w:t>环境管控单元</w:t>
            </w:r>
            <w:r>
              <w:rPr>
                <w:rFonts w:ascii="Times New Roman"/>
                <w:color w:val="000000"/>
                <w:sz w:val="24"/>
                <w:szCs w:val="32"/>
              </w:rPr>
              <w:t>生态环境准入</w:t>
            </w:r>
            <w:r>
              <w:rPr>
                <w:rFonts w:hint="eastAsia"/>
                <w:color w:val="000000"/>
                <w:sz w:val="24"/>
                <w:szCs w:val="32"/>
                <w:lang w:val="en-US" w:eastAsia="zh-CN"/>
              </w:rPr>
              <w:t>要求</w:t>
            </w:r>
            <w:r>
              <w:rPr>
                <w:rFonts w:hint="eastAsia" w:ascii="Times New Roman"/>
                <w:color w:val="000000"/>
                <w:sz w:val="24"/>
                <w:szCs w:val="32"/>
                <w:lang w:eastAsia="zh-CN"/>
              </w:rPr>
              <w:t>。</w:t>
            </w:r>
          </w:p>
          <w:p>
            <w:pPr>
              <w:keepNext w:val="0"/>
              <w:keepLines w:val="0"/>
              <w:pageBreakBefore w:val="0"/>
              <w:kinsoku/>
              <w:wordWrap/>
              <w:overflowPunct/>
              <w:topLinePunct w:val="0"/>
              <w:autoSpaceDE/>
              <w:autoSpaceDN/>
              <w:bidi w:val="0"/>
              <w:adjustRightInd/>
              <w:snapToGrid w:val="0"/>
              <w:spacing w:line="520" w:lineRule="exact"/>
              <w:ind w:firstLine="482" w:firstLineChars="200"/>
              <w:jc w:val="left"/>
              <w:textAlignment w:val="auto"/>
              <w:rPr>
                <w:rFonts w:hint="default" w:ascii="Times New Roman" w:hAnsi="Times New Roman" w:cs="Times New Roman"/>
                <w:b/>
                <w:color w:val="000000"/>
                <w:sz w:val="24"/>
                <w:szCs w:val="24"/>
              </w:rPr>
            </w:pPr>
            <w:r>
              <w:rPr>
                <w:rFonts w:hint="eastAsia" w:ascii="Times New Roman" w:hAnsi="Times New Roman" w:cs="Times New Roman"/>
                <w:b/>
                <w:sz w:val="24"/>
                <w:szCs w:val="24"/>
                <w:lang w:val="en-US" w:eastAsia="zh-CN"/>
              </w:rPr>
              <w:t>4、</w:t>
            </w:r>
            <w:r>
              <w:rPr>
                <w:rFonts w:hint="default" w:ascii="Times New Roman" w:hAnsi="Times New Roman" w:cs="Times New Roman"/>
                <w:b/>
                <w:color w:val="000000"/>
                <w:sz w:val="24"/>
                <w:szCs w:val="24"/>
              </w:rPr>
              <w:t>与《</w:t>
            </w:r>
            <w:r>
              <w:rPr>
                <w:rFonts w:hint="eastAsia" w:ascii="Times New Roman" w:hAnsi="Times New Roman" w:cs="Times New Roman"/>
                <w:b/>
                <w:color w:val="000000"/>
                <w:sz w:val="24"/>
                <w:szCs w:val="24"/>
                <w:lang w:val="en-US" w:eastAsia="zh-CN"/>
              </w:rPr>
              <w:t>河南省</w:t>
            </w:r>
            <w:r>
              <w:rPr>
                <w:rFonts w:hint="default" w:ascii="Times New Roman" w:hAnsi="Times New Roman" w:cs="Times New Roman"/>
                <w:b/>
                <w:color w:val="000000"/>
                <w:sz w:val="24"/>
                <w:szCs w:val="24"/>
              </w:rPr>
              <w:t>环境污染防治攻坚指挥部办公室关于印发新乡市202</w:t>
            </w:r>
            <w:r>
              <w:rPr>
                <w:rFonts w:hint="eastAsia" w:ascii="Times New Roman" w:hAnsi="Times New Roman" w:cs="Times New Roman"/>
                <w:b/>
                <w:color w:val="000000"/>
                <w:sz w:val="24"/>
                <w:szCs w:val="24"/>
                <w:lang w:val="en-US" w:eastAsia="zh-CN"/>
              </w:rPr>
              <w:t>1</w:t>
            </w:r>
            <w:r>
              <w:rPr>
                <w:rFonts w:hint="default" w:ascii="Times New Roman" w:hAnsi="Times New Roman" w:cs="Times New Roman"/>
                <w:b/>
                <w:color w:val="000000"/>
                <w:sz w:val="24"/>
                <w:szCs w:val="24"/>
              </w:rPr>
              <w:t>年大气、水、土壤污染防治攻坚战实施方案的通知》（</w:t>
            </w:r>
            <w:r>
              <w:rPr>
                <w:rFonts w:hint="eastAsia" w:ascii="Times New Roman" w:hAnsi="Times New Roman" w:cs="Times New Roman"/>
                <w:b/>
                <w:color w:val="000000"/>
                <w:sz w:val="24"/>
                <w:szCs w:val="24"/>
                <w:lang w:val="en-US" w:eastAsia="zh-CN"/>
              </w:rPr>
              <w:t>豫</w:t>
            </w:r>
            <w:r>
              <w:rPr>
                <w:rFonts w:hint="default" w:ascii="Times New Roman" w:hAnsi="Times New Roman" w:cs="Times New Roman"/>
                <w:b/>
                <w:color w:val="000000"/>
                <w:sz w:val="24"/>
                <w:szCs w:val="24"/>
              </w:rPr>
              <w:t>环攻坚办〔202</w:t>
            </w:r>
            <w:r>
              <w:rPr>
                <w:rFonts w:hint="eastAsia" w:ascii="Times New Roman" w:hAnsi="Times New Roman" w:cs="Times New Roman"/>
                <w:b/>
                <w:color w:val="000000"/>
                <w:sz w:val="24"/>
                <w:szCs w:val="24"/>
                <w:lang w:val="en-US" w:eastAsia="zh-CN"/>
              </w:rPr>
              <w:t>1</w:t>
            </w:r>
            <w:r>
              <w:rPr>
                <w:rFonts w:hint="default" w:ascii="Times New Roman" w:hAnsi="Times New Roman" w:cs="Times New Roman"/>
                <w:b/>
                <w:color w:val="000000"/>
                <w:sz w:val="24"/>
                <w:szCs w:val="24"/>
              </w:rPr>
              <w:t>〕</w:t>
            </w:r>
            <w:r>
              <w:rPr>
                <w:rFonts w:hint="eastAsia" w:ascii="Times New Roman" w:hAnsi="Times New Roman" w:cs="Times New Roman"/>
                <w:b/>
                <w:color w:val="000000"/>
                <w:sz w:val="24"/>
                <w:szCs w:val="24"/>
                <w:lang w:val="en-US" w:eastAsia="zh-CN"/>
              </w:rPr>
              <w:t>2</w:t>
            </w:r>
            <w:r>
              <w:rPr>
                <w:rFonts w:hint="default" w:ascii="Times New Roman" w:hAnsi="Times New Roman" w:cs="Times New Roman"/>
                <w:b/>
                <w:color w:val="000000"/>
                <w:sz w:val="24"/>
                <w:szCs w:val="24"/>
              </w:rPr>
              <w:t>0号）（以下简称《实施方案》）的对比分析</w:t>
            </w:r>
          </w:p>
          <w:p>
            <w:pPr>
              <w:keepNext w:val="0"/>
              <w:keepLines w:val="0"/>
              <w:pageBreakBefore w:val="0"/>
              <w:widowControl w:val="0"/>
              <w:kinsoku/>
              <w:wordWrap/>
              <w:overflowPunct/>
              <w:topLinePunct w:val="0"/>
              <w:bidi w:val="0"/>
              <w:spacing w:line="520" w:lineRule="exact"/>
              <w:ind w:firstLine="482" w:firstLineChars="200"/>
              <w:jc w:val="center"/>
              <w:textAlignment w:val="auto"/>
              <w:rPr>
                <w:rFonts w:hint="default" w:ascii="Times New Roman" w:hAnsi="Times New Roman" w:eastAsia="宋体" w:cs="Times New Roman"/>
                <w:b/>
                <w:color w:val="000000"/>
                <w:sz w:val="24"/>
                <w:szCs w:val="24"/>
                <w:lang w:val="en-US" w:eastAsia="zh-CN"/>
              </w:rPr>
            </w:pPr>
            <w:r>
              <w:rPr>
                <w:rFonts w:hint="default" w:ascii="Times New Roman" w:hAnsi="Times New Roman" w:eastAsia="宋体" w:cs="Times New Roman"/>
                <w:b/>
                <w:color w:val="000000"/>
                <w:sz w:val="24"/>
                <w:szCs w:val="24"/>
                <w:lang w:val="pt-BR" w:eastAsia="zh-CN"/>
              </w:rPr>
              <w:t>表</w:t>
            </w:r>
            <w:r>
              <w:rPr>
                <w:rFonts w:hint="default" w:ascii="Times New Roman" w:hAnsi="Times New Roman" w:eastAsia="宋体" w:cs="Times New Roman"/>
                <w:b/>
                <w:color w:val="000000"/>
                <w:sz w:val="24"/>
                <w:szCs w:val="24"/>
                <w:lang w:val="en-US" w:eastAsia="zh-CN"/>
              </w:rPr>
              <w:t>1-</w:t>
            </w:r>
            <w:r>
              <w:rPr>
                <w:rFonts w:hint="eastAsia" w:ascii="Times New Roman" w:hAnsi="Times New Roman" w:eastAsia="宋体" w:cs="Times New Roman"/>
                <w:b/>
                <w:color w:val="000000"/>
                <w:sz w:val="24"/>
                <w:szCs w:val="24"/>
                <w:lang w:val="en-US" w:eastAsia="zh-CN"/>
              </w:rPr>
              <w:t>4</w:t>
            </w:r>
            <w:r>
              <w:rPr>
                <w:rFonts w:hint="default" w:ascii="Times New Roman" w:hAnsi="Times New Roman" w:eastAsia="宋体" w:cs="Times New Roman"/>
                <w:b/>
                <w:color w:val="000000"/>
                <w:sz w:val="24"/>
                <w:szCs w:val="24"/>
                <w:lang w:val="pt-BR" w:eastAsia="zh-CN"/>
              </w:rPr>
              <w:t xml:space="preserve">   本项目与《实施方案》对比分析一览表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627"/>
              <w:gridCol w:w="1785"/>
              <w:gridCol w:w="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7" w:type="dxa"/>
                  <w:gridSpan w:val="2"/>
                  <w:tcBorders>
                    <w:tl2br w:val="nil"/>
                    <w:tr2bl w:val="nil"/>
                  </w:tcBorders>
                  <w:noWrap w:val="0"/>
                  <w:vAlign w:val="center"/>
                </w:tcPr>
                <w:p>
                  <w:pPr>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《实施方案》中与本项目有关的内容</w:t>
                  </w:r>
                </w:p>
              </w:tc>
              <w:tc>
                <w:tcPr>
                  <w:tcW w:w="1747" w:type="dxa"/>
                  <w:tcBorders>
                    <w:tl2br w:val="nil"/>
                    <w:tr2bl w:val="nil"/>
                  </w:tcBorders>
                  <w:noWrap w:val="0"/>
                  <w:vAlign w:val="center"/>
                </w:tcPr>
                <w:p>
                  <w:pPr>
                    <w:jc w:val="center"/>
                    <w:rPr>
                      <w:rFonts w:hint="default" w:ascii="Times New Roman" w:hAnsi="Times New Roman" w:cs="Times New Roman"/>
                      <w:b/>
                      <w:bCs w:val="0"/>
                      <w:color w:val="000000"/>
                      <w:sz w:val="21"/>
                      <w:szCs w:val="21"/>
                    </w:rPr>
                  </w:pPr>
                  <w:r>
                    <w:rPr>
                      <w:rFonts w:hint="default" w:ascii="Times New Roman" w:hAnsi="Times New Roman" w:cs="Times New Roman"/>
                      <w:b/>
                      <w:bCs w:val="0"/>
                      <w:color w:val="000000"/>
                      <w:sz w:val="21"/>
                      <w:szCs w:val="21"/>
                    </w:rPr>
                    <w:t>本项目情况</w:t>
                  </w:r>
                </w:p>
              </w:tc>
              <w:tc>
                <w:tcPr>
                  <w:tcW w:w="675" w:type="dxa"/>
                  <w:tcBorders>
                    <w:tl2br w:val="nil"/>
                    <w:tr2bl w:val="nil"/>
                  </w:tcBorders>
                  <w:noWrap w:val="0"/>
                  <w:vAlign w:val="center"/>
                </w:tcPr>
                <w:p>
                  <w:pPr>
                    <w:jc w:val="center"/>
                    <w:rPr>
                      <w:rFonts w:hint="default" w:ascii="Times New Roman" w:hAnsi="Times New Roman" w:eastAsia="宋体" w:cs="Times New Roman"/>
                      <w:b/>
                      <w:bCs w:val="0"/>
                      <w:color w:val="000000"/>
                      <w:sz w:val="21"/>
                      <w:szCs w:val="21"/>
                      <w:lang w:val="en-US" w:eastAsia="zh-CN"/>
                    </w:rPr>
                  </w:pPr>
                  <w:r>
                    <w:rPr>
                      <w:rFonts w:hint="eastAsia" w:ascii="Times New Roman" w:hAnsi="Times New Roman" w:cs="Times New Roman"/>
                      <w:b/>
                      <w:bCs w:val="0"/>
                      <w:color w:val="000000"/>
                      <w:sz w:val="21"/>
                      <w:szCs w:val="21"/>
                      <w:lang w:val="en-US" w:eastAsia="zh-CN"/>
                    </w:rPr>
                    <w:t>相符性分析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9" w:type="dxa"/>
                  <w:gridSpan w:val="4"/>
                  <w:tcBorders>
                    <w:tl2br w:val="nil"/>
                    <w:tr2bl w:val="nil"/>
                  </w:tcBorders>
                  <w:noWrap w:val="0"/>
                  <w:vAlign w:val="center"/>
                </w:tcPr>
                <w:p>
                  <w:pPr>
                    <w:jc w:val="center"/>
                    <w:rPr>
                      <w:rFonts w:hint="default" w:ascii="Times New Roman" w:hAnsi="Times New Roman" w:cs="Times New Roman"/>
                      <w:b w:val="0"/>
                      <w:bCs/>
                      <w:color w:val="000000"/>
                      <w:sz w:val="21"/>
                      <w:szCs w:val="21"/>
                    </w:rPr>
                  </w:pPr>
                  <w:r>
                    <w:rPr>
                      <w:rFonts w:hint="default" w:ascii="Times New Roman" w:hAnsi="Times New Roman" w:cs="Times New Roman"/>
                      <w:b w:val="0"/>
                      <w:bCs/>
                      <w:color w:val="000000"/>
                      <w:sz w:val="21"/>
                      <w:szCs w:val="21"/>
                    </w:rPr>
                    <w:t>《</w:t>
                  </w:r>
                  <w:r>
                    <w:rPr>
                      <w:rFonts w:hint="eastAsia" w:ascii="Times New Roman" w:hAnsi="Times New Roman" w:cs="Times New Roman"/>
                      <w:b w:val="0"/>
                      <w:bCs/>
                      <w:color w:val="000000"/>
                      <w:sz w:val="21"/>
                      <w:szCs w:val="21"/>
                      <w:lang w:val="en-US" w:eastAsia="zh-CN"/>
                    </w:rPr>
                    <w:t>河南省</w:t>
                  </w:r>
                  <w:r>
                    <w:rPr>
                      <w:rFonts w:hint="default" w:ascii="Times New Roman" w:hAnsi="Times New Roman" w:cs="Times New Roman"/>
                      <w:b w:val="0"/>
                      <w:bCs/>
                      <w:color w:val="000000"/>
                      <w:sz w:val="21"/>
                      <w:szCs w:val="21"/>
                    </w:rPr>
                    <w:t>202</w:t>
                  </w:r>
                  <w:r>
                    <w:rPr>
                      <w:rFonts w:hint="eastAsia" w:ascii="Times New Roman" w:hAnsi="Times New Roman" w:cs="Times New Roman"/>
                      <w:b w:val="0"/>
                      <w:bCs/>
                      <w:color w:val="000000"/>
                      <w:sz w:val="21"/>
                      <w:szCs w:val="21"/>
                      <w:lang w:val="en-US" w:eastAsia="zh-CN"/>
                    </w:rPr>
                    <w:t>1</w:t>
                  </w:r>
                  <w:r>
                    <w:rPr>
                      <w:rFonts w:hint="default" w:ascii="Times New Roman" w:hAnsi="Times New Roman" w:cs="Times New Roman"/>
                      <w:b w:val="0"/>
                      <w:bCs/>
                      <w:color w:val="000000"/>
                      <w:sz w:val="21"/>
                      <w:szCs w:val="21"/>
                    </w:rPr>
                    <w:t>年大气污染防治攻坚战实施方案》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8" w:type="dxa"/>
                  <w:tcBorders>
                    <w:tl2br w:val="nil"/>
                    <w:tr2bl w:val="nil"/>
                  </w:tcBorders>
                  <w:noWrap w:val="0"/>
                  <w:vAlign w:val="center"/>
                </w:tcPr>
                <w:p>
                  <w:pPr>
                    <w:pStyle w:val="43"/>
                    <w:tabs>
                      <w:tab w:val="left" w:pos="791"/>
                      <w:tab w:val="left" w:pos="792"/>
                    </w:tabs>
                    <w:ind w:firstLine="0" w:firstLineChars="0"/>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.严格新建项目准入管理</w:t>
                  </w:r>
                </w:p>
              </w:tc>
              <w:tc>
                <w:tcPr>
                  <w:tcW w:w="4529" w:type="dxa"/>
                  <w:tcBorders>
                    <w:tl2br w:val="nil"/>
                    <w:tr2bl w:val="nil"/>
                  </w:tcBorders>
                  <w:noWrap w:val="0"/>
                  <w:vAlign w:val="center"/>
                </w:tcPr>
                <w:p>
                  <w:pPr>
                    <w:pStyle w:val="43"/>
                    <w:tabs>
                      <w:tab w:val="left" w:pos="791"/>
                      <w:tab w:val="left" w:pos="792"/>
                    </w:tabs>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落实</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三线一单</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生态保护红线、环境质量底线、资源利用上线和生态环境准入清单）生态环境分区管控要求，从严从紧从实控制高耗能、高排放项目建设，全省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三同时</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管理，国家、省绩效分级重点行业的新建、改建、扩建项目达到B级以上要求。</w:t>
                  </w:r>
                </w:p>
              </w:tc>
              <w:tc>
                <w:tcPr>
                  <w:tcW w:w="1747" w:type="dxa"/>
                  <w:tcBorders>
                    <w:tl2br w:val="nil"/>
                    <w:tr2bl w:val="nil"/>
                  </w:tcBorders>
                  <w:noWrap w:val="0"/>
                  <w:vAlign w:val="center"/>
                </w:tcPr>
                <w:p>
                  <w:pPr>
                    <w:pStyle w:val="43"/>
                    <w:ind w:firstLine="0" w:firstLineChars="0"/>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本项目</w:t>
                  </w:r>
                  <w:r>
                    <w:rPr>
                      <w:rFonts w:hint="eastAsia" w:ascii="Times New Roman" w:hAnsi="Times New Roman" w:cs="Times New Roman"/>
                      <w:color w:val="000000"/>
                      <w:sz w:val="21"/>
                      <w:szCs w:val="21"/>
                      <w:lang w:val="en-US" w:eastAsia="zh-CN"/>
                    </w:rPr>
                    <w:t>选址符合</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三线一单</w:t>
                  </w:r>
                  <w:r>
                    <w:rPr>
                      <w:rFonts w:hint="eastAsia" w:ascii="Times New Roman" w:hAnsi="Times New Roman" w:cs="Times New Roman"/>
                      <w:color w:val="000000"/>
                      <w:sz w:val="21"/>
                      <w:szCs w:val="21"/>
                      <w:lang w:eastAsia="zh-CN"/>
                    </w:rPr>
                    <w:t>”</w:t>
                  </w:r>
                  <w:r>
                    <w:rPr>
                      <w:rFonts w:hint="eastAsia" w:ascii="Times New Roman" w:hAnsi="Times New Roman" w:cs="Times New Roman"/>
                      <w:color w:val="000000"/>
                      <w:sz w:val="21"/>
                      <w:szCs w:val="21"/>
                      <w:lang w:val="en-US" w:eastAsia="zh-CN"/>
                    </w:rPr>
                    <w:t>要求</w:t>
                  </w:r>
                  <w:r>
                    <w:rPr>
                      <w:rFonts w:hint="default" w:ascii="Times New Roman" w:hAnsi="Times New Roman" w:cs="Times New Roman"/>
                      <w:color w:val="000000"/>
                      <w:sz w:val="21"/>
                      <w:szCs w:val="21"/>
                      <w:lang w:eastAsia="zh-CN"/>
                    </w:rPr>
                    <w:t>。</w:t>
                  </w:r>
                </w:p>
              </w:tc>
              <w:tc>
                <w:tcPr>
                  <w:tcW w:w="675"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8" w:type="dxa"/>
                  <w:tcBorders>
                    <w:tl2br w:val="nil"/>
                    <w:tr2bl w:val="nil"/>
                  </w:tcBorders>
                  <w:noWrap w:val="0"/>
                  <w:vAlign w:val="center"/>
                </w:tcPr>
                <w:p>
                  <w:pPr>
                    <w:pStyle w:val="43"/>
                    <w:tabs>
                      <w:tab w:val="left" w:pos="791"/>
                      <w:tab w:val="left" w:pos="792"/>
                    </w:tabs>
                    <w:ind w:firstLine="0" w:firstLineChars="0"/>
                    <w:rPr>
                      <w:rFonts w:hint="default" w:ascii="Times New Roman" w:hAnsi="Times New Roman" w:eastAsia="宋体" w:cs="Times New Roman"/>
                      <w:color w:val="000000"/>
                      <w:sz w:val="21"/>
                      <w:szCs w:val="21"/>
                      <w:lang w:val="en-US" w:eastAsia="zh-CN"/>
                    </w:rPr>
                  </w:pPr>
                  <w:r>
                    <w:rPr>
                      <w:rFonts w:hint="eastAsia" w:ascii="Times New Roman" w:hAnsi="Times New Roman" w:cs="Times New Roman"/>
                      <w:color w:val="000000"/>
                      <w:sz w:val="21"/>
                      <w:szCs w:val="21"/>
                      <w:lang w:val="en-US" w:eastAsia="zh-CN"/>
                    </w:rPr>
                    <w:t>29</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lang w:val="en-US" w:eastAsia="zh-CN"/>
                    </w:rPr>
                    <w:t>大力推进源头替代</w:t>
                  </w:r>
                </w:p>
              </w:tc>
              <w:tc>
                <w:tcPr>
                  <w:tcW w:w="4529" w:type="dxa"/>
                  <w:tcBorders>
                    <w:tl2br w:val="nil"/>
                    <w:tr2bl w:val="nil"/>
                  </w:tcBorders>
                  <w:noWrap w:val="0"/>
                  <w:vAlign w:val="center"/>
                </w:tcPr>
                <w:p>
                  <w:pPr>
                    <w:pStyle w:val="43"/>
                    <w:tabs>
                      <w:tab w:val="left" w:pos="791"/>
                      <w:tab w:val="left" w:pos="792"/>
                    </w:tabs>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加强对全省低VOCs含量涂料、油墨、胶粘剂、清洗剂等产品生产销售环节监管，严厉打击劣质不合格产品。全省家具制造、制鞋、汽车整车制造、工程机械整机制造、包装印刷及含涂装工序企业，2021年5月底前原辅材料达到重点行业绩效分级B级及以上或绩效引领指标要求，达不到要求的企业纳入包括夏季在内的错峰生产调控。</w:t>
                  </w:r>
                </w:p>
              </w:tc>
              <w:tc>
                <w:tcPr>
                  <w:tcW w:w="1747" w:type="dxa"/>
                  <w:tcBorders>
                    <w:tl2br w:val="nil"/>
                    <w:tr2bl w:val="nil"/>
                  </w:tcBorders>
                  <w:noWrap w:val="0"/>
                  <w:vAlign w:val="center"/>
                </w:tcPr>
                <w:p>
                  <w:pPr>
                    <w:pStyle w:val="43"/>
                    <w:ind w:firstLine="0" w:firstLineChars="0"/>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本项目不涉及</w:t>
                  </w:r>
                  <w:r>
                    <w:rPr>
                      <w:rFonts w:hint="default" w:ascii="Times New Roman" w:hAnsi="Times New Roman" w:cs="Times New Roman"/>
                      <w:color w:val="000000"/>
                      <w:sz w:val="21"/>
                      <w:szCs w:val="21"/>
                    </w:rPr>
                    <w:t>VOCs</w:t>
                  </w:r>
                  <w:r>
                    <w:rPr>
                      <w:rFonts w:hint="eastAsia" w:ascii="Times New Roman" w:hAnsi="Times New Roman" w:cs="Times New Roman"/>
                      <w:color w:val="000000"/>
                      <w:sz w:val="21"/>
                      <w:szCs w:val="21"/>
                      <w:lang w:val="en-US" w:eastAsia="zh-CN"/>
                    </w:rPr>
                    <w:t>物料使用。</w:t>
                  </w:r>
                </w:p>
              </w:tc>
              <w:tc>
                <w:tcPr>
                  <w:tcW w:w="675"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8" w:type="dxa"/>
                  <w:tcBorders>
                    <w:tl2br w:val="nil"/>
                    <w:tr2bl w:val="nil"/>
                  </w:tcBorders>
                  <w:noWrap w:val="0"/>
                  <w:vAlign w:val="center"/>
                </w:tcPr>
                <w:p>
                  <w:pPr>
                    <w:pStyle w:val="43"/>
                    <w:tabs>
                      <w:tab w:val="left" w:pos="791"/>
                      <w:tab w:val="left" w:pos="792"/>
                    </w:tabs>
                    <w:ind w:firstLine="0" w:firstLineChars="0"/>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30.加强工业企业VOCs全过程运行管理</w:t>
                  </w:r>
                </w:p>
              </w:tc>
              <w:tc>
                <w:tcPr>
                  <w:tcW w:w="4529" w:type="dxa"/>
                  <w:tcBorders>
                    <w:tl2br w:val="nil"/>
                    <w:tr2bl w:val="nil"/>
                  </w:tcBorders>
                  <w:noWrap w:val="0"/>
                  <w:vAlign w:val="center"/>
                </w:tcPr>
                <w:p>
                  <w:pPr>
                    <w:pStyle w:val="43"/>
                    <w:tabs>
                      <w:tab w:val="left" w:pos="791"/>
                      <w:tab w:val="left" w:pos="792"/>
                    </w:tabs>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巩固VOCs综合治理成效，聚焦提升企业废气收集率、治理设施同步运行率和去除率，鼓励企业采用高于现行标准要求的治理措施，取消废气排放系统旁路设置，因安全生产等原因必须保留的，应将旁路保留清单报省辖市生态环境部门备案并加强日常监管。强化VOCs无组织排放收集，在保证安全的前提下，实施含VOCs物料全方位、全链条、全环节密闭管理，实现厂房由敞开变密闭、由常压变负压、由逸散变聚合、空气由污浊变清新的</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四由四变</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目标。</w:t>
                  </w:r>
                </w:p>
              </w:tc>
              <w:tc>
                <w:tcPr>
                  <w:tcW w:w="1747" w:type="dxa"/>
                  <w:tcBorders>
                    <w:tl2br w:val="nil"/>
                    <w:tr2bl w:val="nil"/>
                  </w:tcBorders>
                  <w:noWrap w:val="0"/>
                  <w:vAlign w:val="center"/>
                </w:tcPr>
                <w:p>
                  <w:pPr>
                    <w:pStyle w:val="43"/>
                    <w:ind w:firstLine="0" w:firstLineChars="0"/>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eastAsia="zh-CN"/>
                    </w:rPr>
                    <w:t>本项目</w:t>
                  </w:r>
                  <w:r>
                    <w:rPr>
                      <w:rFonts w:hint="eastAsia" w:ascii="Times New Roman" w:hAnsi="Times New Roman" w:cs="Times New Roman"/>
                      <w:color w:val="000000"/>
                      <w:sz w:val="21"/>
                      <w:szCs w:val="21"/>
                      <w:lang w:val="en-US" w:eastAsia="zh-CN"/>
                    </w:rPr>
                    <w:t>仓库密闭</w:t>
                  </w:r>
                  <w:r>
                    <w:rPr>
                      <w:rFonts w:hint="eastAsia" w:cs="Times New Roman"/>
                      <w:color w:val="000000"/>
                      <w:sz w:val="21"/>
                      <w:szCs w:val="21"/>
                      <w:lang w:val="en-US" w:eastAsia="zh-CN"/>
                    </w:rPr>
                    <w:t>，并通过</w:t>
                  </w:r>
                  <w:r>
                    <w:rPr>
                      <w:rFonts w:hint="eastAsia" w:ascii="Times New Roman" w:hAnsi="Times New Roman" w:cs="Times New Roman"/>
                      <w:color w:val="000000"/>
                      <w:sz w:val="21"/>
                      <w:szCs w:val="21"/>
                      <w:lang w:val="en-US" w:eastAsia="zh-CN"/>
                    </w:rPr>
                    <w:t>负压抽吸的方式对废气进行收集，</w:t>
                  </w:r>
                  <w:r>
                    <w:rPr>
                      <w:rFonts w:hint="eastAsia" w:cs="Times New Roman"/>
                      <w:color w:val="000000"/>
                      <w:sz w:val="21"/>
                      <w:szCs w:val="21"/>
                      <w:lang w:val="en-US" w:eastAsia="zh-CN"/>
                    </w:rPr>
                    <w:t>送碱喷淋+除雾除湿+</w:t>
                  </w:r>
                  <w:r>
                    <w:rPr>
                      <w:rFonts w:hint="eastAsia" w:ascii="Times New Roman" w:hAnsi="Times New Roman" w:cs="Times New Roman"/>
                      <w:color w:val="000000"/>
                      <w:sz w:val="21"/>
                      <w:szCs w:val="21"/>
                      <w:lang w:val="en-US" w:eastAsia="zh-CN"/>
                    </w:rPr>
                    <w:t>活性炭吸附装置处理后通过15m排气筒排放</w:t>
                  </w:r>
                  <w:r>
                    <w:rPr>
                      <w:rFonts w:hint="default" w:ascii="Times New Roman" w:hAnsi="Times New Roman" w:cs="Times New Roman"/>
                      <w:color w:val="000000"/>
                      <w:sz w:val="21"/>
                      <w:szCs w:val="21"/>
                      <w:lang w:eastAsia="zh-CN"/>
                    </w:rPr>
                    <w:t>。</w:t>
                  </w:r>
                </w:p>
              </w:tc>
              <w:tc>
                <w:tcPr>
                  <w:tcW w:w="675"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9" w:type="dxa"/>
                  <w:gridSpan w:val="4"/>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b w:val="0"/>
                      <w:bCs/>
                      <w:color w:val="000000"/>
                      <w:sz w:val="21"/>
                      <w:szCs w:val="21"/>
                    </w:rPr>
                    <w:t>《</w:t>
                  </w:r>
                  <w:r>
                    <w:rPr>
                      <w:rFonts w:hint="eastAsia" w:ascii="Times New Roman" w:hAnsi="Times New Roman" w:cs="Times New Roman"/>
                      <w:b w:val="0"/>
                      <w:bCs/>
                      <w:color w:val="000000"/>
                      <w:sz w:val="21"/>
                      <w:szCs w:val="21"/>
                      <w:lang w:val="en-US" w:eastAsia="zh-CN"/>
                    </w:rPr>
                    <w:t>河南省</w:t>
                  </w:r>
                  <w:r>
                    <w:rPr>
                      <w:rFonts w:hint="default" w:ascii="Times New Roman" w:hAnsi="Times New Roman" w:cs="Times New Roman"/>
                      <w:b w:val="0"/>
                      <w:bCs/>
                      <w:color w:val="000000"/>
                      <w:sz w:val="21"/>
                      <w:szCs w:val="21"/>
                    </w:rPr>
                    <w:t>202</w:t>
                  </w:r>
                  <w:r>
                    <w:rPr>
                      <w:rFonts w:hint="eastAsia" w:ascii="Times New Roman" w:hAnsi="Times New Roman" w:cs="Times New Roman"/>
                      <w:b w:val="0"/>
                      <w:bCs/>
                      <w:color w:val="000000"/>
                      <w:sz w:val="21"/>
                      <w:szCs w:val="21"/>
                      <w:lang w:val="en-US" w:eastAsia="zh-CN"/>
                    </w:rPr>
                    <w:t>1</w:t>
                  </w:r>
                  <w:r>
                    <w:rPr>
                      <w:rFonts w:hint="default" w:ascii="Times New Roman" w:hAnsi="Times New Roman" w:cs="Times New Roman"/>
                      <w:b w:val="0"/>
                      <w:bCs/>
                      <w:color w:val="000000"/>
                      <w:sz w:val="21"/>
                      <w:szCs w:val="21"/>
                    </w:rPr>
                    <w:t>年水污染防治攻坚战实施方案》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38" w:type="dxa"/>
                  <w:tcBorders>
                    <w:tl2br w:val="nil"/>
                    <w:tr2bl w:val="nil"/>
                  </w:tcBorders>
                  <w:noWrap w:val="0"/>
                  <w:vAlign w:val="center"/>
                </w:tcPr>
                <w:p>
                  <w:pPr>
                    <w:pStyle w:val="43"/>
                    <w:tabs>
                      <w:tab w:val="left" w:pos="791"/>
                      <w:tab w:val="left" w:pos="792"/>
                    </w:tabs>
                    <w:ind w:firstLine="0" w:firstLineChars="0"/>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（三）</w:t>
                  </w:r>
                  <w:r>
                    <w:rPr>
                      <w:rFonts w:hint="eastAsia" w:ascii="Times New Roman" w:hAnsi="Times New Roman" w:cs="Times New Roman"/>
                      <w:color w:val="000000"/>
                      <w:sz w:val="21"/>
                      <w:szCs w:val="21"/>
                      <w:lang w:val="en-US" w:eastAsia="zh-CN"/>
                    </w:rPr>
                    <w:t>主要任务</w:t>
                  </w:r>
                </w:p>
              </w:tc>
              <w:tc>
                <w:tcPr>
                  <w:tcW w:w="4529" w:type="dxa"/>
                  <w:tcBorders>
                    <w:tl2br w:val="nil"/>
                    <w:tr2bl w:val="nil"/>
                  </w:tcBorders>
                  <w:noWrap w:val="0"/>
                  <w:vAlign w:val="center"/>
                </w:tcPr>
                <w:p>
                  <w:pPr>
                    <w:pStyle w:val="43"/>
                    <w:tabs>
                      <w:tab w:val="left" w:pos="791"/>
                      <w:tab w:val="left" w:pos="792"/>
                    </w:tabs>
                    <w:ind w:firstLine="0" w:firstLineChars="0"/>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17.</w:t>
                  </w:r>
                  <w:r>
                    <w:rPr>
                      <w:rFonts w:hint="default" w:ascii="Times New Roman" w:hAnsi="Times New Roman" w:cs="Times New Roman"/>
                      <w:color w:val="000000"/>
                      <w:sz w:val="21"/>
                      <w:szCs w:val="21"/>
                    </w:rPr>
                    <w:t>持续推动产业结构转型升级。持续做好钢铁、石化、化工、有色、纺织印染、造纸、皮革、农副食品加工等行业绿色化改造。对重点行业企业依法实施强制性清洁生产审核。制定并实施年度落后产能淘汰方案。按计划推进城市建成区内污染较重企业的搬迁改造或依法关闭工作。持续开展涉水</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散乱污</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rPr>
                    <w:t>企业排查整治，促进产业结构转型升级。</w:t>
                  </w:r>
                </w:p>
              </w:tc>
              <w:tc>
                <w:tcPr>
                  <w:tcW w:w="1747" w:type="dxa"/>
                  <w:tcBorders>
                    <w:tl2br w:val="nil"/>
                    <w:tr2bl w:val="nil"/>
                  </w:tcBorders>
                  <w:noWrap w:val="0"/>
                  <w:vAlign w:val="center"/>
                </w:tcPr>
                <w:p>
                  <w:pPr>
                    <w:pStyle w:val="43"/>
                    <w:ind w:firstLine="0" w:firstLineChars="0"/>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rPr>
                    <w:t>本项目</w:t>
                  </w:r>
                  <w:r>
                    <w:rPr>
                      <w:rFonts w:hint="eastAsia" w:ascii="Times New Roman" w:hAnsi="Times New Roman" w:cs="Times New Roman"/>
                      <w:color w:val="000000"/>
                      <w:kern w:val="0"/>
                      <w:sz w:val="21"/>
                      <w:szCs w:val="21"/>
                      <w:lang w:val="en-US" w:eastAsia="zh-CN"/>
                    </w:rPr>
                    <w:t>无生产废水排放</w:t>
                  </w:r>
                  <w:r>
                    <w:rPr>
                      <w:rFonts w:hint="default" w:ascii="Times New Roman" w:hAnsi="Times New Roman" w:cs="Times New Roman"/>
                      <w:color w:val="000000"/>
                      <w:sz w:val="21"/>
                      <w:szCs w:val="21"/>
                    </w:rPr>
                    <w:t>。</w:t>
                  </w:r>
                </w:p>
              </w:tc>
              <w:tc>
                <w:tcPr>
                  <w:tcW w:w="675"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9" w:type="dxa"/>
                  <w:gridSpan w:val="4"/>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b w:val="0"/>
                      <w:bCs/>
                      <w:color w:val="000000"/>
                      <w:sz w:val="21"/>
                      <w:szCs w:val="21"/>
                    </w:rPr>
                    <w:t>《</w:t>
                  </w:r>
                  <w:r>
                    <w:rPr>
                      <w:rFonts w:hint="eastAsia" w:ascii="Times New Roman" w:hAnsi="Times New Roman" w:cs="Times New Roman"/>
                      <w:b w:val="0"/>
                      <w:bCs/>
                      <w:color w:val="000000"/>
                      <w:sz w:val="21"/>
                      <w:szCs w:val="21"/>
                      <w:lang w:val="en-US" w:eastAsia="zh-CN"/>
                    </w:rPr>
                    <w:t>河南省</w:t>
                  </w:r>
                  <w:r>
                    <w:rPr>
                      <w:rFonts w:hint="default" w:ascii="Times New Roman" w:hAnsi="Times New Roman" w:cs="Times New Roman"/>
                      <w:b w:val="0"/>
                      <w:bCs/>
                      <w:color w:val="000000"/>
                      <w:sz w:val="21"/>
                      <w:szCs w:val="21"/>
                    </w:rPr>
                    <w:t>202</w:t>
                  </w:r>
                  <w:r>
                    <w:rPr>
                      <w:rFonts w:hint="eastAsia" w:ascii="Times New Roman" w:hAnsi="Times New Roman" w:cs="Times New Roman"/>
                      <w:b w:val="0"/>
                      <w:bCs/>
                      <w:color w:val="000000"/>
                      <w:sz w:val="21"/>
                      <w:szCs w:val="21"/>
                      <w:lang w:val="en-US" w:eastAsia="zh-CN"/>
                    </w:rPr>
                    <w:t>1</w:t>
                  </w:r>
                  <w:r>
                    <w:rPr>
                      <w:rFonts w:hint="default" w:ascii="Times New Roman" w:hAnsi="Times New Roman" w:cs="Times New Roman"/>
                      <w:b w:val="0"/>
                      <w:bCs/>
                      <w:color w:val="000000"/>
                      <w:sz w:val="21"/>
                      <w:szCs w:val="21"/>
                    </w:rPr>
                    <w:t>年土壤污染防治攻坚战实施方案》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38" w:type="dxa"/>
                  <w:tcBorders>
                    <w:tl2br w:val="nil"/>
                    <w:tr2bl w:val="nil"/>
                  </w:tcBorders>
                  <w:noWrap w:val="0"/>
                  <w:vAlign w:val="center"/>
                </w:tcPr>
                <w:p>
                  <w:pPr>
                    <w:pStyle w:val="43"/>
                    <w:tabs>
                      <w:tab w:val="left" w:pos="791"/>
                      <w:tab w:val="left" w:pos="792"/>
                    </w:tabs>
                    <w:ind w:firstLine="0" w:firstLineChars="0"/>
                    <w:rPr>
                      <w:rFonts w:hint="default" w:ascii="Times New Roman" w:hAnsi="Times New Roman" w:cs="Times New Roman"/>
                      <w:color w:val="000000"/>
                      <w:sz w:val="21"/>
                      <w:szCs w:val="21"/>
                    </w:rPr>
                  </w:pPr>
                  <w:r>
                    <w:rPr>
                      <w:rFonts w:hint="eastAsia" w:ascii="Times New Roman" w:hAnsi="Times New Roman" w:cs="Times New Roman"/>
                      <w:bCs/>
                      <w:color w:val="000000"/>
                      <w:sz w:val="21"/>
                      <w:szCs w:val="21"/>
                      <w:lang w:val="en-US" w:eastAsia="zh-CN"/>
                    </w:rPr>
                    <w:t>3</w:t>
                  </w:r>
                  <w:r>
                    <w:rPr>
                      <w:rFonts w:hint="default" w:ascii="Times New Roman" w:hAnsi="Times New Roman" w:cs="Times New Roman"/>
                      <w:bCs/>
                      <w:color w:val="000000"/>
                      <w:sz w:val="21"/>
                      <w:szCs w:val="21"/>
                    </w:rPr>
                    <w:t>.</w:t>
                  </w:r>
                  <w:r>
                    <w:rPr>
                      <w:rFonts w:hint="default" w:ascii="Times New Roman" w:hAnsi="Times New Roman" w:cs="Times New Roman"/>
                      <w:color w:val="000000"/>
                      <w:sz w:val="21"/>
                      <w:szCs w:val="21"/>
                    </w:rPr>
                    <w:t>严格控制涉重金属企业污染物排放</w:t>
                  </w:r>
                </w:p>
              </w:tc>
              <w:tc>
                <w:tcPr>
                  <w:tcW w:w="4529" w:type="dxa"/>
                  <w:tcBorders>
                    <w:tl2br w:val="nil"/>
                    <w:tr2bl w:val="nil"/>
                  </w:tcBorders>
                  <w:noWrap w:val="0"/>
                  <w:vAlign w:val="center"/>
                </w:tcPr>
                <w:p>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聚焦重有色金属采选、冶炼等重点行业，开展企业绿色提标改造，全面执行颗粒物污染物特别排放限值，进一步严格颗粒物排放控制要求。逐步推进涉镉等重金属行业企业纳入大气、水污染物重点排污单位名录，按照相关规定安装水、大气污染物排放自动监测设备，对大气颗粒物排放、废水中镉等重金属排放实行自动监测，并与生态环境部门的数据平台联网；按照排污许可要求，核算颗粒物、重金属等实际排放量，定期填报并提交执行报告，在全国排污许可证管理信息平台公开。持续开展涉镉等重金属行业企业排查整治活动，坚持边排查边整治，2021年年底前更新排查清单和整治清单，2022年年底前完成整治任务。</w:t>
                  </w:r>
                </w:p>
              </w:tc>
              <w:tc>
                <w:tcPr>
                  <w:tcW w:w="1747" w:type="dxa"/>
                  <w:tcBorders>
                    <w:tl2br w:val="nil"/>
                    <w:tr2bl w:val="nil"/>
                  </w:tcBorders>
                  <w:noWrap w:val="0"/>
                  <w:vAlign w:val="center"/>
                </w:tcPr>
                <w:p>
                  <w:pP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本项目</w:t>
                  </w:r>
                  <w:r>
                    <w:rPr>
                      <w:rFonts w:hint="eastAsia" w:ascii="Times New Roman" w:hAnsi="Times New Roman" w:cs="Times New Roman"/>
                      <w:color w:val="000000"/>
                      <w:sz w:val="21"/>
                      <w:szCs w:val="21"/>
                      <w:lang w:val="en-US" w:eastAsia="zh-CN"/>
                    </w:rPr>
                    <w:t>不涉及重金属污染物排放</w:t>
                  </w:r>
                  <w:r>
                    <w:rPr>
                      <w:rFonts w:hint="default" w:ascii="Times New Roman" w:hAnsi="Times New Roman" w:cs="Times New Roman"/>
                      <w:color w:val="000000"/>
                      <w:sz w:val="21"/>
                      <w:szCs w:val="21"/>
                    </w:rPr>
                    <w:t>。</w:t>
                  </w:r>
                </w:p>
              </w:tc>
              <w:tc>
                <w:tcPr>
                  <w:tcW w:w="675" w:type="dxa"/>
                  <w:tcBorders>
                    <w:tl2br w:val="nil"/>
                    <w:tr2bl w:val="nil"/>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520" w:lineRule="exact"/>
              <w:ind w:firstLine="480" w:firstLineChars="200"/>
              <w:textAlignment w:val="auto"/>
              <w:rPr>
                <w:sz w:val="24"/>
                <w:szCs w:val="24"/>
              </w:rPr>
            </w:pPr>
            <w:r>
              <w:rPr>
                <w:rFonts w:hint="default" w:ascii="Times New Roman" w:hAnsi="Times New Roman" w:cs="Times New Roman"/>
                <w:color w:val="000000"/>
                <w:sz w:val="24"/>
                <w:szCs w:val="24"/>
              </w:rPr>
              <w:t>由上表可知，本项目符合《实施方案》中相关要求。</w:t>
            </w:r>
          </w:p>
          <w:p>
            <w:pPr>
              <w:pStyle w:val="53"/>
              <w:keepNext w:val="0"/>
              <w:keepLines w:val="0"/>
              <w:pageBreakBefore w:val="0"/>
              <w:widowControl w:val="0"/>
              <w:kinsoku/>
              <w:wordWrap/>
              <w:overflowPunct/>
              <w:topLinePunct w:val="0"/>
              <w:autoSpaceDE/>
              <w:autoSpaceDN/>
              <w:bidi w:val="0"/>
              <w:adjustRightInd/>
              <w:snapToGrid/>
              <w:spacing w:line="520" w:lineRule="exact"/>
              <w:ind w:right="0" w:firstLine="482" w:firstLineChars="200"/>
              <w:textAlignment w:val="auto"/>
              <w:rPr>
                <w:rFonts w:hint="default" w:ascii="Times New Roman" w:hAnsi="Times New Roman" w:eastAsia="宋体" w:cs="Times New Roman"/>
                <w:b/>
                <w:sz w:val="24"/>
              </w:rPr>
            </w:pP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与《危险废物污染防治技术政策》（环发[2001]199号）相符性分析</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本项目选址符合《危险废物污染防治技术政策》（环发[2001]199号）中的选址要求，符合性分析见下表所示。</w:t>
            </w:r>
          </w:p>
          <w:p>
            <w:pPr>
              <w:pStyle w:val="121"/>
              <w:keepNext w:val="0"/>
              <w:keepLines w:val="0"/>
              <w:pageBreakBefore w:val="0"/>
              <w:widowControl w:val="0"/>
              <w:numPr>
                <w:ilvl w:val="0"/>
                <w:numId w:val="0"/>
              </w:numPr>
              <w:kinsoku/>
              <w:wordWrap/>
              <w:overflowPunct/>
              <w:topLinePunct w:val="0"/>
              <w:autoSpaceDE/>
              <w:autoSpaceDN/>
              <w:bidi w:val="0"/>
              <w:adjustRightInd/>
              <w:ind w:leftChars="0"/>
              <w:jc w:val="center"/>
              <w:textAlignment w:val="auto"/>
              <w:rPr>
                <w:rFonts w:hint="default"/>
                <w:lang w:eastAsia="zh-CN"/>
              </w:rPr>
            </w:pPr>
            <w:r>
              <w:rPr>
                <w:rFonts w:hint="eastAsia"/>
                <w:lang w:val="en-US" w:eastAsia="zh-CN"/>
              </w:rPr>
              <w:t>表1-5     本项目</w:t>
            </w:r>
            <w:r>
              <w:rPr>
                <w:rFonts w:hint="default"/>
              </w:rPr>
              <w:t>与环发[2001]199号相符性分析</w:t>
            </w:r>
          </w:p>
          <w:tbl>
            <w:tblPr>
              <w:tblStyle w:val="25"/>
              <w:tblW w:w="79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5"/>
              <w:gridCol w:w="3254"/>
              <w:gridCol w:w="3033"/>
              <w:gridCol w:w="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类别</w:t>
                  </w: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危险废物污染防治技术政策</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本项目情况</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是否符合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危险废物收集与运输</w:t>
                  </w: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危险废物要根据其成分，用符合国家标准的专门容器分类收集</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项目根据危险废物的成分，采用符合国家标准专用收集桶、罐、袋等</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在常温常压下不水解、不挥发的固体废弃物可在贮存设施内分别堆放</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项目根据危险废物的成分及特性，分区贮存</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危险废 物转移</w:t>
                  </w: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危险废物的越境转移应遵从《控制危险废物越境转移及其处置的巴塞尔公约》的要求，危险废物的国内转移应遵从《危险废物转移联单管理办法》及其它有关规定的要求</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项目收集的危险废物不越境转移，在转移过程中严格按《危险废物转移联单管理办法》及其它有关规定执行</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危险废物的贮存</w:t>
                  </w: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贮存危险废物的单位需拥有相应许可证。禁止将危险废物以任何形式转移给无许可证的单位，或转移到非危险废物贮存设施中</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项目办理环评手续后按正</w:t>
                  </w:r>
                  <w:r>
                    <w:rPr>
                      <w:rFonts w:hint="eastAsia" w:cs="Times New Roman"/>
                      <w:b w:val="0"/>
                      <w:bCs w:val="0"/>
                      <w:color w:val="auto"/>
                      <w:sz w:val="21"/>
                      <w:szCs w:val="21"/>
                      <w:u w:val="none"/>
                      <w:lang w:val="en-US" w:eastAsia="zh-CN"/>
                    </w:rPr>
                    <w:t>规</w:t>
                  </w:r>
                  <w:r>
                    <w:rPr>
                      <w:rFonts w:hint="default" w:ascii="Times New Roman" w:hAnsi="Times New Roman" w:eastAsia="宋体" w:cs="Times New Roman"/>
                      <w:b w:val="0"/>
                      <w:bCs w:val="0"/>
                      <w:color w:val="auto"/>
                      <w:sz w:val="21"/>
                      <w:szCs w:val="21"/>
                      <w:u w:val="none"/>
                    </w:rPr>
                    <w:t>程序办理经营许可证，办理许可证后按许可证经营范围收集、贮存危险废物</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应建有堵截泄漏的裙脚，地面与裙脚要用坚固防渗的材料建造。应有隔离设施、报警装置和防风、防晒、防雨设施</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项目围堰、地面、管道、地沟、应急池等进行防渗处理。贮存场所安装火灾报警系统；危险废物贮存于密闭储罐，能防风、防晒、防雨</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基础防渗层为粘土层的，其厚度应在1m以上，渗透系数应小于1.0×10</w:t>
                  </w:r>
                  <w:r>
                    <w:rPr>
                      <w:rFonts w:hint="default" w:ascii="Times New Roman" w:hAnsi="Times New Roman" w:eastAsia="宋体" w:cs="Times New Roman"/>
                      <w:b w:val="0"/>
                      <w:bCs w:val="0"/>
                      <w:color w:val="auto"/>
                      <w:sz w:val="21"/>
                      <w:szCs w:val="21"/>
                      <w:u w:val="none"/>
                      <w:vertAlign w:val="superscript"/>
                    </w:rPr>
                    <w:t>-7</w:t>
                  </w:r>
                  <w:r>
                    <w:rPr>
                      <w:rFonts w:hint="default" w:ascii="Times New Roman" w:hAnsi="Times New Roman" w:eastAsia="宋体" w:cs="Times New Roman"/>
                      <w:b w:val="0"/>
                      <w:bCs w:val="0"/>
                      <w:color w:val="auto"/>
                      <w:sz w:val="21"/>
                      <w:szCs w:val="21"/>
                      <w:u w:val="none"/>
                    </w:rPr>
                    <w:t>cm/s；基础防渗层也可用厚度在2毫米以上的高密度聚乙烯或其他人工防渗材料组成，渗透系数应小于1.0×10</w:t>
                  </w:r>
                  <w:r>
                    <w:rPr>
                      <w:rFonts w:hint="default" w:ascii="Times New Roman" w:hAnsi="Times New Roman" w:eastAsia="宋体" w:cs="Times New Roman"/>
                      <w:b w:val="0"/>
                      <w:bCs w:val="0"/>
                      <w:color w:val="auto"/>
                      <w:sz w:val="21"/>
                      <w:szCs w:val="21"/>
                      <w:u w:val="none"/>
                      <w:vertAlign w:val="superscript"/>
                    </w:rPr>
                    <w:t>-10</w:t>
                  </w:r>
                  <w:r>
                    <w:rPr>
                      <w:rFonts w:hint="default" w:ascii="Times New Roman" w:hAnsi="Times New Roman" w:eastAsia="宋体" w:cs="Times New Roman"/>
                      <w:b w:val="0"/>
                      <w:bCs w:val="0"/>
                      <w:color w:val="auto"/>
                      <w:sz w:val="21"/>
                      <w:szCs w:val="21"/>
                      <w:u w:val="none"/>
                    </w:rPr>
                    <w:t>cm/s</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贮存设施地面基础采取防渗措施，防渗层采取防渗混凝土层，渗透系数＜1.0×10</w:t>
                  </w:r>
                  <w:r>
                    <w:rPr>
                      <w:rFonts w:hint="default" w:ascii="Times New Roman" w:hAnsi="Times New Roman" w:eastAsia="宋体" w:cs="Times New Roman"/>
                      <w:b w:val="0"/>
                      <w:bCs w:val="0"/>
                      <w:color w:val="auto"/>
                      <w:sz w:val="21"/>
                      <w:szCs w:val="21"/>
                      <w:u w:val="none"/>
                      <w:vertAlign w:val="superscript"/>
                    </w:rPr>
                    <w:t>-10</w:t>
                  </w:r>
                  <w:r>
                    <w:rPr>
                      <w:rFonts w:hint="default" w:ascii="Times New Roman" w:hAnsi="Times New Roman" w:eastAsia="宋体" w:cs="Times New Roman"/>
                      <w:b w:val="0"/>
                      <w:bCs w:val="0"/>
                      <w:color w:val="auto"/>
                      <w:sz w:val="21"/>
                      <w:szCs w:val="21"/>
                      <w:u w:val="none"/>
                    </w:rPr>
                    <w:t>cm/s</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用于存放液体、半固体危险废物的地方，还须有耐腐蚀的硬化地面，地面无裂隙</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贮存仓库地面采用耐腐蚀的硬化地面，地面无裂隙</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衬层上需建有渗滤液收集清除系统、径流疏导系统、雨水收集池</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在贮存区内建有防渗处理的围堰，四周设有导流沟等</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贮存易燃易爆的危险废物的场所应配备消防设备</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配备有消防栓、灭火器等消防设备</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655"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p>
              </w:tc>
              <w:tc>
                <w:tcPr>
                  <w:tcW w:w="3254"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危险废物贮存设施的选址与设计、运行与管理、安全防护、环境监测及应急措施、以及关闭等须遵循《危险废物贮存污染控制标准》的规定</w:t>
                  </w:r>
                </w:p>
              </w:tc>
              <w:tc>
                <w:tcPr>
                  <w:tcW w:w="3033"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项目的选址与设计、运行与管理、安全防护、环境监测及应急措施、以及关闭严格按照《危险废物贮存污染控制标准》的规定实施</w:t>
                  </w:r>
                </w:p>
              </w:tc>
              <w:tc>
                <w:tcPr>
                  <w:tcW w:w="976" w:type="dxa"/>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ind w:left="0" w:firstLine="0" w:firstLineChars="0"/>
                    <w:jc w:val="center"/>
                    <w:textAlignment w:val="auto"/>
                    <w:rPr>
                      <w:rFonts w:hint="default" w:ascii="Times New Roman" w:hAnsi="Times New Roman" w:eastAsia="宋体" w:cs="Times New Roman"/>
                      <w:b w:val="0"/>
                      <w:bCs w:val="0"/>
                      <w:color w:val="auto"/>
                      <w:sz w:val="21"/>
                      <w:szCs w:val="21"/>
                      <w:u w:val="none"/>
                    </w:rPr>
                  </w:pPr>
                  <w:r>
                    <w:rPr>
                      <w:rFonts w:hint="default" w:ascii="Times New Roman" w:hAnsi="Times New Roman" w:eastAsia="宋体" w:cs="Times New Roman"/>
                      <w:b w:val="0"/>
                      <w:bCs w:val="0"/>
                      <w:color w:val="auto"/>
                      <w:sz w:val="21"/>
                      <w:szCs w:val="21"/>
                      <w:u w:val="none"/>
                    </w:rPr>
                    <w:t>符合</w:t>
                  </w:r>
                </w:p>
              </w:tc>
            </w:tr>
          </w:tbl>
          <w:p>
            <w:pPr>
              <w:pStyle w:val="53"/>
              <w:keepNext w:val="0"/>
              <w:keepLines w:val="0"/>
              <w:pageBreakBefore w:val="0"/>
              <w:widowControl w:val="0"/>
              <w:numPr>
                <w:ilvl w:val="0"/>
                <w:numId w:val="0"/>
              </w:numPr>
              <w:tabs>
                <w:tab w:val="left" w:pos="948"/>
              </w:tabs>
              <w:kinsoku/>
              <w:wordWrap/>
              <w:overflowPunct/>
              <w:topLinePunct w:val="0"/>
              <w:autoSpaceDE/>
              <w:autoSpaceDN/>
              <w:bidi w:val="0"/>
              <w:adjustRightInd/>
              <w:snapToGrid/>
              <w:spacing w:after="0" w:line="520" w:lineRule="exact"/>
              <w:ind w:leftChars="0" w:right="0" w:rightChars="0" w:firstLine="482" w:firstLineChars="200"/>
              <w:jc w:val="left"/>
              <w:textAlignment w:val="auto"/>
              <w:rPr>
                <w:rFonts w:hint="default" w:ascii="Times New Roman" w:hAnsi="Times New Roman" w:eastAsia="宋体" w:cs="Times New Roman"/>
                <w:sz w:val="24"/>
              </w:rPr>
            </w:pPr>
            <w:r>
              <w:rPr>
                <w:rFonts w:hint="eastAsia" w:ascii="Times New Roman" w:hAnsi="Times New Roman" w:cs="Times New Roman"/>
                <w:b/>
                <w:sz w:val="24"/>
                <w:lang w:val="en-US" w:eastAsia="zh-CN"/>
              </w:rPr>
              <w:t>6、</w:t>
            </w:r>
            <w:r>
              <w:rPr>
                <w:rFonts w:hint="default" w:ascii="Times New Roman" w:hAnsi="Times New Roman" w:eastAsia="宋体" w:cs="Times New Roman"/>
                <w:b/>
                <w:sz w:val="24"/>
              </w:rPr>
              <w:t>与</w:t>
            </w:r>
            <w:r>
              <w:rPr>
                <w:rFonts w:hint="default" w:ascii="Times New Roman" w:hAnsi="Times New Roman" w:eastAsia="宋体" w:cs="Times New Roman"/>
                <w:b/>
                <w:sz w:val="24"/>
                <w:highlight w:val="none"/>
              </w:rPr>
              <w:t>《危险废物收集、贮存、运输技术规范》（HJ2025-2012）</w:t>
            </w:r>
            <w:r>
              <w:rPr>
                <w:rFonts w:hint="default" w:ascii="Times New Roman" w:hAnsi="Times New Roman" w:eastAsia="宋体" w:cs="Times New Roman"/>
                <w:b/>
                <w:sz w:val="24"/>
              </w:rPr>
              <w:t>的相符性分析</w:t>
            </w:r>
          </w:p>
          <w:p>
            <w:pPr>
              <w:pStyle w:val="53"/>
              <w:keepNext w:val="0"/>
              <w:keepLines w:val="0"/>
              <w:pageBreakBefore w:val="0"/>
              <w:widowControl w:val="0"/>
              <w:numPr>
                <w:ilvl w:val="0"/>
                <w:numId w:val="0"/>
              </w:numPr>
              <w:tabs>
                <w:tab w:val="left" w:pos="948"/>
              </w:tabs>
              <w:kinsoku/>
              <w:wordWrap/>
              <w:overflowPunct/>
              <w:topLinePunct w:val="0"/>
              <w:autoSpaceDE/>
              <w:autoSpaceDN/>
              <w:bidi w:val="0"/>
              <w:adjustRightInd/>
              <w:snapToGrid/>
              <w:spacing w:after="0" w:line="520" w:lineRule="exact"/>
              <w:ind w:left="0" w:leftChars="0" w:right="0" w:rightChars="0" w:firstLine="464"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pacing w:val="-4"/>
                <w:sz w:val="24"/>
              </w:rPr>
              <w:t>本项目选址符合《危险废物收集、贮存、运输技术规范》</w:t>
            </w:r>
            <w:r>
              <w:rPr>
                <w:rFonts w:hint="default" w:ascii="Times New Roman" w:hAnsi="Times New Roman" w:eastAsia="宋体" w:cs="Times New Roman"/>
                <w:sz w:val="24"/>
              </w:rPr>
              <w:t>（HJ2025-2012）</w:t>
            </w:r>
            <w:r>
              <w:rPr>
                <w:rFonts w:hint="default" w:ascii="Times New Roman" w:hAnsi="Times New Roman" w:eastAsia="宋体" w:cs="Times New Roman"/>
                <w:spacing w:val="-5"/>
                <w:sz w:val="24"/>
              </w:rPr>
              <w:t>中的选</w:t>
            </w:r>
            <w:r>
              <w:rPr>
                <w:rFonts w:hint="default" w:ascii="Times New Roman" w:hAnsi="Times New Roman" w:eastAsia="宋体" w:cs="Times New Roman"/>
                <w:sz w:val="24"/>
              </w:rPr>
              <w:t>址要求，符合性分析见下表所示。</w:t>
            </w:r>
          </w:p>
          <w:p>
            <w:pPr>
              <w:pStyle w:val="121"/>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rPr>
            </w:pPr>
            <w:r>
              <w:rPr>
                <w:rFonts w:hint="eastAsia"/>
                <w:lang w:val="en-US" w:eastAsia="zh-CN"/>
              </w:rPr>
              <w:t xml:space="preserve">表1-6    </w:t>
            </w:r>
            <w:r>
              <w:rPr>
                <w:rFonts w:hint="default"/>
              </w:rPr>
              <w:t>《危险废物收集、贮存、运输技术规范》的相符性分析</w:t>
            </w:r>
          </w:p>
          <w:tbl>
            <w:tblPr>
              <w:tblStyle w:val="26"/>
              <w:tblW w:w="7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060"/>
              <w:gridCol w:w="2986"/>
              <w:gridCol w:w="1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7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kern w:val="2"/>
                      <w:sz w:val="21"/>
                      <w:szCs w:val="22"/>
                      <w:lang w:val="zh-CN" w:eastAsia="zh-CN" w:bidi="zh-CN"/>
                    </w:rPr>
                  </w:pPr>
                  <w:r>
                    <w:rPr>
                      <w:rFonts w:hint="default" w:ascii="Times New Roman" w:hAnsi="Times New Roman" w:eastAsia="宋体" w:cs="Times New Roman"/>
                      <w:b/>
                      <w:sz w:val="21"/>
                    </w:rPr>
                    <w:t>序号</w:t>
                  </w:r>
                </w:p>
              </w:tc>
              <w:tc>
                <w:tcPr>
                  <w:tcW w:w="3060"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kern w:val="2"/>
                      <w:sz w:val="21"/>
                      <w:szCs w:val="22"/>
                      <w:lang w:val="zh-CN" w:eastAsia="zh-CN" w:bidi="zh-CN"/>
                    </w:rPr>
                  </w:pPr>
                  <w:r>
                    <w:rPr>
                      <w:rFonts w:hint="default" w:ascii="Times New Roman" w:hAnsi="Times New Roman" w:eastAsia="宋体" w:cs="Times New Roman"/>
                      <w:b/>
                      <w:sz w:val="21"/>
                    </w:rPr>
                    <w:t>要求</w:t>
                  </w:r>
                </w:p>
              </w:tc>
              <w:tc>
                <w:tcPr>
                  <w:tcW w:w="2986"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kern w:val="2"/>
                      <w:sz w:val="21"/>
                      <w:szCs w:val="22"/>
                      <w:lang w:val="zh-CN" w:eastAsia="zh-CN" w:bidi="zh-CN"/>
                    </w:rPr>
                  </w:pPr>
                  <w:r>
                    <w:rPr>
                      <w:rFonts w:hint="default" w:ascii="Times New Roman" w:hAnsi="Times New Roman" w:eastAsia="宋体" w:cs="Times New Roman"/>
                      <w:b/>
                      <w:sz w:val="21"/>
                    </w:rPr>
                    <w:t>本项目情况</w:t>
                  </w:r>
                </w:p>
              </w:tc>
              <w:tc>
                <w:tcPr>
                  <w:tcW w:w="1154"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
                      <w:kern w:val="2"/>
                      <w:sz w:val="21"/>
                      <w:szCs w:val="22"/>
                      <w:lang w:val="zh-CN" w:eastAsia="zh-CN" w:bidi="zh-CN"/>
                    </w:rPr>
                  </w:pPr>
                  <w:r>
                    <w:rPr>
                      <w:rFonts w:hint="default" w:ascii="Times New Roman" w:hAnsi="Times New Roman" w:eastAsia="宋体" w:cs="Times New Roman"/>
                      <w:b/>
                      <w:sz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w w:val="99"/>
                      <w:sz w:val="21"/>
                    </w:rPr>
                    <w:t>1</w:t>
                  </w:r>
                </w:p>
              </w:tc>
              <w:tc>
                <w:tcPr>
                  <w:tcW w:w="3060"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both"/>
                    <w:textAlignment w:val="auto"/>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危险废物贮存设施应配备通讯设备、照明设备和消防设施。</w:t>
                  </w:r>
                </w:p>
              </w:tc>
              <w:tc>
                <w:tcPr>
                  <w:tcW w:w="2986"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both"/>
                    <w:textAlignment w:val="auto"/>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项目危险废物仓库内设计配备有通讯设备、照明设备</w:t>
                  </w:r>
                  <w:r>
                    <w:rPr>
                      <w:rFonts w:hint="eastAsia" w:ascii="Times New Roman" w:hAnsi="Times New Roman" w:cs="Times New Roman"/>
                      <w:sz w:val="21"/>
                      <w:lang w:eastAsia="zh-CN"/>
                    </w:rPr>
                    <w:t>，室外配有消防栓</w:t>
                  </w:r>
                  <w:r>
                    <w:rPr>
                      <w:rFonts w:hint="default" w:ascii="Times New Roman" w:hAnsi="Times New Roman" w:eastAsia="宋体" w:cs="Times New Roman"/>
                      <w:sz w:val="21"/>
                    </w:rPr>
                    <w:t>。</w:t>
                  </w:r>
                </w:p>
              </w:tc>
              <w:tc>
                <w:tcPr>
                  <w:tcW w:w="1154"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8" w:hRule="atLeast"/>
                <w:jc w:val="center"/>
              </w:trPr>
              <w:tc>
                <w:tcPr>
                  <w:tcW w:w="7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w w:val="99"/>
                      <w:sz w:val="21"/>
                    </w:rPr>
                    <w:t>2</w:t>
                  </w:r>
                </w:p>
              </w:tc>
              <w:tc>
                <w:tcPr>
                  <w:tcW w:w="3060"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both"/>
                    <w:textAlignment w:val="auto"/>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贮存危险废物时应按照危险废物的种类和特性进行分区贮存，每个贮存区域之间宜设置挡墙间隔，并应设置防雨、防火、防雷、防扬尘装置。</w:t>
                  </w:r>
                </w:p>
              </w:tc>
              <w:tc>
                <w:tcPr>
                  <w:tcW w:w="2986"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both"/>
                    <w:textAlignment w:val="auto"/>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项目涉及的危险废物贮存时按照种类和特性进行分区贮存，每个贮存区域之间</w:t>
                  </w:r>
                  <w:r>
                    <w:rPr>
                      <w:rFonts w:hint="eastAsia" w:ascii="Times New Roman" w:hAnsi="Times New Roman" w:cs="Times New Roman"/>
                      <w:sz w:val="21"/>
                      <w:lang w:eastAsia="zh-CN"/>
                    </w:rPr>
                    <w:t>有围堰和过道间隔</w:t>
                  </w:r>
                  <w:r>
                    <w:rPr>
                      <w:rFonts w:hint="default" w:ascii="Times New Roman" w:hAnsi="Times New Roman" w:eastAsia="宋体" w:cs="Times New Roman"/>
                      <w:sz w:val="21"/>
                    </w:rPr>
                    <w:t>，并</w:t>
                  </w:r>
                  <w:r>
                    <w:rPr>
                      <w:rFonts w:hint="eastAsia" w:ascii="Times New Roman" w:hAnsi="Times New Roman" w:cs="Times New Roman"/>
                      <w:sz w:val="21"/>
                      <w:lang w:eastAsia="zh-CN"/>
                    </w:rPr>
                    <w:t>根据需要设有防雨、</w:t>
                  </w:r>
                  <w:r>
                    <w:rPr>
                      <w:rFonts w:hint="default" w:ascii="Times New Roman" w:hAnsi="Times New Roman" w:eastAsia="宋体" w:cs="Times New Roman"/>
                      <w:sz w:val="21"/>
                    </w:rPr>
                    <w:t>防火、防雷</w:t>
                  </w:r>
                  <w:r>
                    <w:rPr>
                      <w:rFonts w:hint="eastAsia" w:ascii="Times New Roman" w:hAnsi="Times New Roman" w:cs="Times New Roman"/>
                      <w:sz w:val="21"/>
                      <w:lang w:eastAsia="zh-CN"/>
                    </w:rPr>
                    <w:t>、防扬尘措施</w:t>
                  </w:r>
                  <w:r>
                    <w:rPr>
                      <w:rFonts w:hint="default" w:ascii="Times New Roman" w:hAnsi="Times New Roman" w:eastAsia="宋体" w:cs="Times New Roman"/>
                      <w:sz w:val="21"/>
                    </w:rPr>
                    <w:t>。</w:t>
                  </w:r>
                </w:p>
              </w:tc>
              <w:tc>
                <w:tcPr>
                  <w:tcW w:w="1154"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sz w:val="21"/>
                      <w:lang w:val="zh-CN" w:eastAsia="zh-CN"/>
                    </w:rPr>
                  </w:pPr>
                  <w:r>
                    <w:rPr>
                      <w:rFonts w:hint="default" w:ascii="Times New Roman" w:hAnsi="Times New Roman" w:eastAsia="宋体" w:cs="Times New Roman"/>
                      <w:sz w:val="21"/>
                    </w:rPr>
                    <w:t>符合</w:t>
                  </w:r>
                </w:p>
              </w:tc>
            </w:tr>
          </w:tbl>
          <w:p>
            <w:pPr>
              <w:pStyle w:val="53"/>
              <w:keepNext w:val="0"/>
              <w:keepLines w:val="0"/>
              <w:pageBreakBefore w:val="0"/>
              <w:widowControl w:val="0"/>
              <w:numPr>
                <w:ilvl w:val="0"/>
                <w:numId w:val="0"/>
              </w:numPr>
              <w:tabs>
                <w:tab w:val="left" w:pos="948"/>
              </w:tabs>
              <w:kinsoku/>
              <w:wordWrap/>
              <w:overflowPunct/>
              <w:topLinePunct w:val="0"/>
              <w:autoSpaceDE/>
              <w:autoSpaceDN/>
              <w:bidi w:val="0"/>
              <w:adjustRightInd/>
              <w:snapToGrid/>
              <w:spacing w:before="0" w:after="0" w:line="520" w:lineRule="exact"/>
              <w:ind w:left="0" w:right="0" w:rightChars="0" w:firstLine="478" w:firstLineChars="200"/>
              <w:jc w:val="left"/>
              <w:textAlignment w:val="auto"/>
              <w:rPr>
                <w:rFonts w:hint="default" w:ascii="Times New Roman" w:hAnsi="Times New Roman" w:eastAsia="宋体" w:cs="Times New Roman"/>
                <w:b/>
                <w:sz w:val="24"/>
              </w:rPr>
            </w:pPr>
            <w:r>
              <w:rPr>
                <w:rFonts w:hint="eastAsia" w:ascii="Times New Roman" w:hAnsi="Times New Roman" w:cs="Times New Roman"/>
                <w:b/>
                <w:spacing w:val="-1"/>
                <w:sz w:val="24"/>
                <w:lang w:val="en-US" w:eastAsia="zh-CN"/>
              </w:rPr>
              <w:t>7、</w:t>
            </w:r>
            <w:r>
              <w:rPr>
                <w:rFonts w:hint="default" w:ascii="Times New Roman" w:hAnsi="Times New Roman" w:eastAsia="宋体" w:cs="Times New Roman"/>
                <w:b/>
                <w:spacing w:val="-1"/>
                <w:sz w:val="24"/>
              </w:rPr>
              <w:t>与《危险废物贮存污染控制标准》</w:t>
            </w:r>
            <w:r>
              <w:rPr>
                <w:rFonts w:hint="default" w:ascii="Times New Roman" w:hAnsi="Times New Roman" w:eastAsia="宋体" w:cs="Times New Roman"/>
                <w:b/>
                <w:sz w:val="24"/>
              </w:rPr>
              <w:t>（GB18597-2001）</w:t>
            </w:r>
            <w:r>
              <w:rPr>
                <w:rFonts w:hint="default" w:ascii="Times New Roman" w:hAnsi="Times New Roman" w:eastAsia="宋体" w:cs="Times New Roman"/>
                <w:b/>
                <w:spacing w:val="-29"/>
                <w:sz w:val="24"/>
              </w:rPr>
              <w:t>及</w:t>
            </w:r>
            <w:r>
              <w:rPr>
                <w:rFonts w:hint="default" w:ascii="Times New Roman" w:hAnsi="Times New Roman" w:eastAsia="宋体" w:cs="Times New Roman"/>
                <w:b/>
                <w:sz w:val="24"/>
              </w:rPr>
              <w:t>2013年修改单中的相关规定的相符性分析</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452"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pacing w:val="-7"/>
                <w:sz w:val="24"/>
              </w:rPr>
              <w:t>本项目选址符合《危险废物贮存污染控制标准》</w:t>
            </w:r>
            <w:r>
              <w:rPr>
                <w:rFonts w:hint="default" w:ascii="Times New Roman" w:hAnsi="Times New Roman" w:eastAsia="宋体" w:cs="Times New Roman"/>
                <w:sz w:val="24"/>
              </w:rPr>
              <w:t>（GB18597-2001）</w:t>
            </w:r>
            <w:r>
              <w:rPr>
                <w:rFonts w:hint="default" w:ascii="Times New Roman" w:hAnsi="Times New Roman" w:eastAsia="宋体" w:cs="Times New Roman"/>
                <w:spacing w:val="-24"/>
                <w:sz w:val="24"/>
              </w:rPr>
              <w:t>及其</w:t>
            </w:r>
            <w:r>
              <w:rPr>
                <w:rFonts w:hint="default" w:ascii="Times New Roman" w:hAnsi="Times New Roman" w:eastAsia="宋体" w:cs="Times New Roman"/>
                <w:sz w:val="24"/>
              </w:rPr>
              <w:t>2013</w:t>
            </w:r>
            <w:r>
              <w:rPr>
                <w:rFonts w:hint="default" w:ascii="Times New Roman" w:hAnsi="Times New Roman" w:eastAsia="宋体" w:cs="Times New Roman"/>
                <w:spacing w:val="-8"/>
                <w:sz w:val="24"/>
              </w:rPr>
              <w:t>年修</w:t>
            </w:r>
            <w:r>
              <w:rPr>
                <w:rFonts w:hint="default" w:ascii="Times New Roman" w:hAnsi="Times New Roman" w:eastAsia="宋体" w:cs="Times New Roman"/>
                <w:sz w:val="24"/>
              </w:rPr>
              <w:t>改单中的选址要求，符合性分析见下表所示。</w:t>
            </w:r>
          </w:p>
          <w:p>
            <w:pPr>
              <w:pStyle w:val="121"/>
              <w:numPr>
                <w:ilvl w:val="0"/>
                <w:numId w:val="0"/>
              </w:numPr>
              <w:bidi w:val="0"/>
              <w:ind w:leftChars="0"/>
              <w:jc w:val="center"/>
              <w:rPr>
                <w:rFonts w:hint="default"/>
                <w:lang w:eastAsia="zh-CN"/>
              </w:rPr>
            </w:pPr>
            <w:r>
              <w:rPr>
                <w:rFonts w:hint="eastAsia"/>
                <w:lang w:val="en-US" w:eastAsia="zh-CN"/>
              </w:rPr>
              <w:t xml:space="preserve">表1-7   </w:t>
            </w:r>
            <w:r>
              <w:rPr>
                <w:rFonts w:hint="default"/>
              </w:rPr>
              <w:t>《危险废物贮存污染控制标准》及修改单的相符性分析</w:t>
            </w:r>
          </w:p>
          <w:tbl>
            <w:tblPr>
              <w:tblStyle w:val="26"/>
              <w:tblW w:w="79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3109"/>
              <w:gridCol w:w="2821"/>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序号</w:t>
                  </w:r>
                </w:p>
              </w:tc>
              <w:tc>
                <w:tcPr>
                  <w:tcW w:w="310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选址原则</w:t>
                  </w:r>
                </w:p>
              </w:tc>
              <w:tc>
                <w:tcPr>
                  <w:tcW w:w="28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本项目情况</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8" w:type="dxa"/>
                  <w:gridSpan w:val="4"/>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一、选址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地质结构稳定，地震烈度不超过7度的区域内。</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项目区地质结构稳定，地震烈度不超过7度。</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2</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设施底部必须高于地下水最高水位。</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项目设施均放置于地面以上，底部均高于地下水最高水位。</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3</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应依据环境影响评价结论确定危险废物集中贮存设施的位置及其与周围人群的距离，并经具有审批权的环境保护行政主管部门批准，并可作为规划控制</w:t>
                  </w:r>
                </w:p>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的依据。</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项目新乡市动力电池专业园区西区陈堡村南700米路西，对周围居民影响不大。</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4</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应避免建在溶洞区或易遭受严重自然灾害如洪水、滑坡，泥石流、潮汐等影响的地区。</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项目所在地未见溶洞，不易遭受洪水、滑坡，泥石流、潮汐等自然灾害的影响。</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5</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应建在易燃、易爆等危险品仓库、高压输电线路防护区域以外。</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周边现状无易燃、易爆等危险品仓库，厂房在高压输电线路防护区域以外。</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6</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应位于居民中心区常年最大风频的下风向</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项目</w:t>
                  </w:r>
                  <w:r>
                    <w:rPr>
                      <w:rFonts w:hint="default" w:ascii="Times New Roman" w:hAnsi="Times New Roman" w:eastAsia="宋体" w:cs="Times New Roman"/>
                      <w:bCs/>
                      <w:snapToGrid w:val="0"/>
                      <w:color w:val="auto"/>
                      <w:kern w:val="0"/>
                      <w:sz w:val="21"/>
                      <w:szCs w:val="21"/>
                      <w:lang w:val="en-US" w:eastAsia="zh-CN"/>
                    </w:rPr>
                    <w:t>区域全年最大风频风向为</w:t>
                  </w:r>
                  <w:r>
                    <w:rPr>
                      <w:rFonts w:hint="eastAsia" w:cs="Times New Roman"/>
                      <w:bCs/>
                      <w:snapToGrid w:val="0"/>
                      <w:color w:val="auto"/>
                      <w:kern w:val="0"/>
                      <w:sz w:val="21"/>
                      <w:szCs w:val="21"/>
                      <w:lang w:val="en-US" w:eastAsia="zh-CN"/>
                    </w:rPr>
                    <w:t>东北</w:t>
                  </w:r>
                  <w:r>
                    <w:rPr>
                      <w:rFonts w:hint="default" w:ascii="Times New Roman" w:hAnsi="Times New Roman" w:eastAsia="宋体" w:cs="Times New Roman"/>
                      <w:bCs/>
                      <w:snapToGrid w:val="0"/>
                      <w:color w:val="auto"/>
                      <w:kern w:val="0"/>
                      <w:sz w:val="21"/>
                      <w:szCs w:val="21"/>
                      <w:lang w:val="en-US" w:eastAsia="zh-CN"/>
                    </w:rPr>
                    <w:t>，</w:t>
                  </w:r>
                  <w:r>
                    <w:rPr>
                      <w:rFonts w:hint="eastAsia" w:cs="Times New Roman"/>
                      <w:bCs/>
                      <w:snapToGrid w:val="0"/>
                      <w:color w:val="auto"/>
                      <w:kern w:val="0"/>
                      <w:sz w:val="21"/>
                      <w:szCs w:val="21"/>
                      <w:lang w:val="en-US" w:eastAsia="zh-CN"/>
                    </w:rPr>
                    <w:t>下风向评价范围内无居民中心区</w:t>
                  </w:r>
                  <w:r>
                    <w:rPr>
                      <w:rFonts w:hint="default" w:ascii="Times New Roman" w:hAnsi="Times New Roman" w:eastAsia="宋体" w:cs="Times New Roman"/>
                      <w:bCs/>
                      <w:snapToGrid w:val="0"/>
                      <w:color w:val="auto"/>
                      <w:kern w:val="0"/>
                      <w:sz w:val="21"/>
                      <w:szCs w:val="21"/>
                      <w:lang w:val="en-US" w:eastAsia="zh-CN"/>
                    </w:rPr>
                    <w:t>。</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zh-CN" w:eastAsia="zh-CN"/>
                    </w:rPr>
                  </w:pPr>
                  <w:r>
                    <w:rPr>
                      <w:rFonts w:hint="default" w:ascii="Times New Roman" w:hAnsi="Times New Roman" w:eastAsia="宋体" w:cs="Times New Roman"/>
                      <w:bCs/>
                      <w:snapToGrid w:val="0"/>
                      <w:color w:val="auto"/>
                      <w:kern w:val="0"/>
                      <w:sz w:val="21"/>
                      <w:szCs w:val="21"/>
                      <w:lang w:val="en-US" w:eastAsia="zh-CN"/>
                    </w:rPr>
                    <w:t>7</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zh-CN" w:eastAsia="zh-CN"/>
                    </w:rPr>
                  </w:pPr>
                  <w:r>
                    <w:rPr>
                      <w:rFonts w:hint="default" w:ascii="Times New Roman" w:hAnsi="Times New Roman" w:eastAsia="宋体" w:cs="Times New Roman"/>
                      <w:bCs/>
                      <w:snapToGrid w:val="0"/>
                      <w:color w:val="auto"/>
                      <w:kern w:val="0"/>
                      <w:sz w:val="21"/>
                      <w:szCs w:val="21"/>
                      <w:lang w:val="en-US" w:eastAsia="zh-CN"/>
                    </w:rPr>
                    <w:t>基础必须防渗，防渗层为至少1m厚粘土层（渗透系数≤10</w:t>
                  </w:r>
                  <w:r>
                    <w:rPr>
                      <w:rFonts w:hint="default" w:ascii="Times New Roman" w:hAnsi="Times New Roman" w:eastAsia="宋体" w:cs="Times New Roman"/>
                      <w:bCs/>
                      <w:snapToGrid w:val="0"/>
                      <w:color w:val="auto"/>
                      <w:kern w:val="0"/>
                      <w:sz w:val="21"/>
                      <w:szCs w:val="21"/>
                      <w:vertAlign w:val="superscript"/>
                      <w:lang w:val="en-US" w:eastAsia="zh-CN"/>
                    </w:rPr>
                    <w:t>-7</w:t>
                  </w:r>
                  <w:r>
                    <w:rPr>
                      <w:rFonts w:hint="default" w:ascii="Times New Roman" w:hAnsi="Times New Roman" w:eastAsia="宋体" w:cs="Times New Roman"/>
                      <w:bCs/>
                      <w:snapToGrid w:val="0"/>
                      <w:color w:val="auto"/>
                      <w:kern w:val="0"/>
                      <w:sz w:val="21"/>
                      <w:szCs w:val="21"/>
                      <w:lang w:val="en-US" w:eastAsia="zh-CN"/>
                    </w:rPr>
                    <w:t>cm/s），或2mm厚高密度聚乙烯，或至少2mm厚的其它人工材料，渗透系数≤10</w:t>
                  </w:r>
                  <w:r>
                    <w:rPr>
                      <w:rFonts w:hint="default" w:ascii="Times New Roman" w:hAnsi="Times New Roman" w:eastAsia="宋体" w:cs="Times New Roman"/>
                      <w:bCs/>
                      <w:snapToGrid w:val="0"/>
                      <w:color w:val="auto"/>
                      <w:kern w:val="0"/>
                      <w:sz w:val="21"/>
                      <w:szCs w:val="21"/>
                      <w:vertAlign w:val="superscript"/>
                      <w:lang w:val="en-US" w:eastAsia="zh-CN"/>
                    </w:rPr>
                    <w:t>-10</w:t>
                  </w:r>
                  <w:r>
                    <w:rPr>
                      <w:rFonts w:hint="default" w:ascii="Times New Roman" w:hAnsi="Times New Roman" w:eastAsia="宋体" w:cs="Times New Roman"/>
                      <w:bCs/>
                      <w:snapToGrid w:val="0"/>
                      <w:color w:val="auto"/>
                      <w:kern w:val="0"/>
                      <w:sz w:val="21"/>
                      <w:szCs w:val="21"/>
                      <w:lang w:val="en-US" w:eastAsia="zh-CN"/>
                    </w:rPr>
                    <w:t>cm/s。</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zh-CN" w:eastAsia="zh-CN"/>
                    </w:rPr>
                  </w:pPr>
                  <w:r>
                    <w:rPr>
                      <w:rFonts w:hint="default" w:ascii="Times New Roman" w:hAnsi="Times New Roman" w:eastAsia="宋体" w:cs="Times New Roman"/>
                      <w:bCs/>
                      <w:snapToGrid w:val="0"/>
                      <w:color w:val="auto"/>
                      <w:kern w:val="0"/>
                      <w:sz w:val="21"/>
                      <w:szCs w:val="21"/>
                      <w:lang w:val="en-US" w:eastAsia="zh-CN"/>
                    </w:rPr>
                    <w:t>基础防渗，防渗层为至少1m厚粘土层（渗透系数≤10</w:t>
                  </w:r>
                  <w:r>
                    <w:rPr>
                      <w:rFonts w:hint="default" w:ascii="Times New Roman" w:hAnsi="Times New Roman" w:eastAsia="宋体" w:cs="Times New Roman"/>
                      <w:bCs/>
                      <w:snapToGrid w:val="0"/>
                      <w:color w:val="auto"/>
                      <w:kern w:val="0"/>
                      <w:sz w:val="21"/>
                      <w:szCs w:val="21"/>
                      <w:vertAlign w:val="superscript"/>
                      <w:lang w:val="en-US" w:eastAsia="zh-CN"/>
                    </w:rPr>
                    <w:t>-7</w:t>
                  </w:r>
                  <w:r>
                    <w:rPr>
                      <w:rFonts w:hint="default" w:ascii="Times New Roman" w:hAnsi="Times New Roman" w:eastAsia="宋体" w:cs="Times New Roman"/>
                      <w:bCs/>
                      <w:snapToGrid w:val="0"/>
                      <w:color w:val="auto"/>
                      <w:kern w:val="0"/>
                      <w:sz w:val="21"/>
                      <w:szCs w:val="21"/>
                      <w:lang w:val="en-US" w:eastAsia="zh-CN"/>
                    </w:rPr>
                    <w:t>cm/s），或2mm厚高密度聚乙烯，或至少2mm厚的其它人工材料，渗透系数≤10</w:t>
                  </w:r>
                  <w:r>
                    <w:rPr>
                      <w:rFonts w:hint="default" w:ascii="Times New Roman" w:hAnsi="Times New Roman" w:eastAsia="宋体" w:cs="Times New Roman"/>
                      <w:bCs/>
                      <w:snapToGrid w:val="0"/>
                      <w:color w:val="auto"/>
                      <w:kern w:val="0"/>
                      <w:sz w:val="21"/>
                      <w:szCs w:val="21"/>
                      <w:vertAlign w:val="superscript"/>
                      <w:lang w:val="en-US" w:eastAsia="zh-CN"/>
                    </w:rPr>
                    <w:t>-10</w:t>
                  </w:r>
                  <w:r>
                    <w:rPr>
                      <w:rFonts w:hint="default" w:ascii="Times New Roman" w:hAnsi="Times New Roman" w:eastAsia="宋体" w:cs="Times New Roman"/>
                      <w:bCs/>
                      <w:snapToGrid w:val="0"/>
                      <w:color w:val="auto"/>
                      <w:kern w:val="0"/>
                      <w:sz w:val="21"/>
                      <w:szCs w:val="21"/>
                      <w:lang w:val="en-US" w:eastAsia="zh-CN"/>
                    </w:rPr>
                    <w:t>cm/s。</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zh-CN"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958" w:type="dxa"/>
                  <w:gridSpan w:val="4"/>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二、危废贮存设施设计原则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地面与裙脚要用坚固、防渗的材料建造，建筑材料必须与危险废物相容。</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项目围堰、地面、管道、地沟、应急池等进行防渗处理。</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2</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必须有泄漏液体收集装置、气体导出口及气体净化装置。</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仓库内设置有围堰、事故收集池、应急罐等风险防范措施，同时配备废气治理措施。</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3</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设施内要有安全照明设施和观察窗口。</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危险废物贮存仓库内安装有安全照明设施和观察窗口。</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4</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用以存放装载液体、半固体危险废物容器的地方，必须有耐腐蚀的硬化地面，且表面无裂痕。</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贮存仓库地面采用耐腐蚀的硬化地面，地面无裂隙</w:t>
                  </w:r>
                  <w:r>
                    <w:rPr>
                      <w:rFonts w:hint="eastAsia" w:ascii="Times New Roman" w:hAnsi="Times New Roman" w:eastAsia="宋体" w:cs="Times New Roman"/>
                      <w:bCs/>
                      <w:snapToGrid w:val="0"/>
                      <w:color w:val="auto"/>
                      <w:kern w:val="0"/>
                      <w:sz w:val="21"/>
                      <w:szCs w:val="21"/>
                      <w:lang w:val="en-US" w:eastAsia="zh-CN"/>
                    </w:rPr>
                    <w:t>。</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5</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应设计堵截泄漏的裙脚，地面与裙脚所围建的容积不低于堵截最大容器的最大储量或总储量的1/5。</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项目设计有堵截泄漏的裙脚，地面与裙脚所围建的容积大于堵截最大容器的最大储量及总储量的1/5。</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6</w:t>
                  </w:r>
                </w:p>
              </w:tc>
              <w:tc>
                <w:tcPr>
                  <w:tcW w:w="3109"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不相容的危险废物必须分开存放，并设有隔离间隔断。</w:t>
                  </w:r>
                </w:p>
              </w:tc>
              <w:tc>
                <w:tcPr>
                  <w:tcW w:w="2821" w:type="dxa"/>
                  <w:tcBorders>
                    <w:tl2br w:val="nil"/>
                    <w:tr2bl w:val="nil"/>
                  </w:tcBorders>
                  <w:noWrap w:val="0"/>
                  <w:vAlign w:val="center"/>
                </w:tcPr>
                <w:p>
                  <w:pPr>
                    <w:adjustRightInd w:val="0"/>
                    <w:snapToGrid w:val="0"/>
                    <w:jc w:val="left"/>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项目涉及的危险废物贮存时按照种类和特性进行分区贮存，每个贮存区域之间宜设置挡墙间隔。</w:t>
                  </w:r>
                </w:p>
              </w:tc>
              <w:tc>
                <w:tcPr>
                  <w:tcW w:w="120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符合</w:t>
                  </w:r>
                </w:p>
              </w:tc>
            </w:tr>
          </w:tbl>
          <w:p>
            <w:pPr>
              <w:tabs>
                <w:tab w:val="left" w:pos="940"/>
              </w:tabs>
              <w:adjustRightInd w:val="0"/>
              <w:snapToGrid w:val="0"/>
              <w:spacing w:line="440" w:lineRule="exact"/>
              <w:ind w:firstLine="482" w:firstLineChars="200"/>
              <w:rPr>
                <w:b/>
                <w:sz w:val="24"/>
                <w:szCs w:val="24"/>
              </w:rPr>
            </w:pPr>
            <w:r>
              <w:rPr>
                <w:rFonts w:hint="eastAsia"/>
                <w:b/>
                <w:sz w:val="24"/>
                <w:szCs w:val="24"/>
                <w:lang w:val="pt-BR"/>
              </w:rPr>
              <w:t>8、</w:t>
            </w:r>
            <w:r>
              <w:rPr>
                <w:b/>
                <w:sz w:val="24"/>
                <w:szCs w:val="24"/>
              </w:rPr>
              <w:t>与《</w:t>
            </w:r>
            <w:r>
              <w:rPr>
                <w:rFonts w:hint="eastAsia"/>
                <w:b/>
                <w:sz w:val="24"/>
                <w:szCs w:val="24"/>
              </w:rPr>
              <w:t>新乡市</w:t>
            </w:r>
            <w:r>
              <w:rPr>
                <w:b/>
                <w:sz w:val="24"/>
                <w:szCs w:val="24"/>
              </w:rPr>
              <w:t>生态环境局关于部署安装工业企业用电量监控系统的通知》</w:t>
            </w:r>
            <w:r>
              <w:rPr>
                <w:rFonts w:hint="eastAsia"/>
                <w:b/>
                <w:sz w:val="24"/>
                <w:szCs w:val="24"/>
              </w:rPr>
              <w:t>新</w:t>
            </w:r>
            <w:r>
              <w:rPr>
                <w:b/>
                <w:sz w:val="24"/>
                <w:szCs w:val="24"/>
              </w:rPr>
              <w:t>环[2019]</w:t>
            </w:r>
            <w:r>
              <w:rPr>
                <w:rFonts w:hint="eastAsia"/>
                <w:b/>
                <w:sz w:val="24"/>
                <w:szCs w:val="24"/>
              </w:rPr>
              <w:t>154</w:t>
            </w:r>
            <w:r>
              <w:rPr>
                <w:b/>
                <w:sz w:val="24"/>
                <w:szCs w:val="24"/>
              </w:rPr>
              <w:t>号文的对照分析</w:t>
            </w:r>
          </w:p>
          <w:p>
            <w:pPr>
              <w:pStyle w:val="121"/>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rPr>
            </w:pPr>
            <w:r>
              <w:rPr>
                <w:rFonts w:hint="default" w:ascii="Times New Roman" w:hAnsi="Times New Roman" w:eastAsia="宋体" w:cs="Times New Roman"/>
              </w:rPr>
              <w:t>表</w:t>
            </w:r>
            <w:r>
              <w:rPr>
                <w:rFonts w:hint="eastAsia" w:ascii="Times New Roman" w:hAnsi="Times New Roman" w:eastAsia="宋体" w:cs="Times New Roman"/>
                <w:lang w:val="en-US" w:eastAsia="zh-CN"/>
              </w:rPr>
              <w:t>1-</w:t>
            </w:r>
            <w:r>
              <w:rPr>
                <w:rFonts w:hint="eastAsia" w:ascii="Times New Roman" w:hAnsi="Times New Roman" w:eastAsia="宋体" w:cs="Times New Roman"/>
              </w:rPr>
              <w:t>8</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与新环[2019]154号文的对照分析</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145"/>
              <w:gridCol w:w="2381"/>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46" w:type="dxa"/>
                  <w:tcBorders>
                    <w:tl2br w:val="nil"/>
                    <w:tr2bl w:val="nil"/>
                  </w:tcBorders>
                  <w:vAlign w:val="center"/>
                </w:tcPr>
                <w:p>
                  <w:pPr>
                    <w:tabs>
                      <w:tab w:val="left" w:pos="940"/>
                    </w:tabs>
                    <w:adjustRightInd w:val="0"/>
                    <w:snapToGrid w:val="0"/>
                    <w:jc w:val="center"/>
                    <w:rPr>
                      <w:rFonts w:eastAsiaTheme="minorEastAsia"/>
                      <w:b/>
                      <w:sz w:val="21"/>
                      <w:szCs w:val="21"/>
                    </w:rPr>
                  </w:pPr>
                  <w:r>
                    <w:rPr>
                      <w:rFonts w:hAnsiTheme="minorEastAsia" w:eastAsiaTheme="minorEastAsia"/>
                      <w:b/>
                      <w:sz w:val="21"/>
                      <w:szCs w:val="21"/>
                    </w:rPr>
                    <w:t>条目</w:t>
                  </w:r>
                </w:p>
              </w:tc>
              <w:tc>
                <w:tcPr>
                  <w:tcW w:w="4481" w:type="dxa"/>
                  <w:tcBorders>
                    <w:tl2br w:val="nil"/>
                    <w:tr2bl w:val="nil"/>
                  </w:tcBorders>
                  <w:vAlign w:val="center"/>
                </w:tcPr>
                <w:p>
                  <w:pPr>
                    <w:tabs>
                      <w:tab w:val="left" w:pos="940"/>
                    </w:tabs>
                    <w:adjustRightInd w:val="0"/>
                    <w:snapToGrid w:val="0"/>
                    <w:jc w:val="center"/>
                    <w:rPr>
                      <w:rFonts w:eastAsiaTheme="minorEastAsia"/>
                      <w:b/>
                      <w:sz w:val="21"/>
                      <w:szCs w:val="21"/>
                    </w:rPr>
                  </w:pPr>
                  <w:r>
                    <w:rPr>
                      <w:rFonts w:hAnsiTheme="minorEastAsia" w:eastAsiaTheme="minorEastAsia"/>
                      <w:b/>
                      <w:sz w:val="21"/>
                      <w:szCs w:val="21"/>
                    </w:rPr>
                    <w:t>与本项目相关条文</w:t>
                  </w:r>
                </w:p>
              </w:tc>
              <w:tc>
                <w:tcPr>
                  <w:tcW w:w="2560" w:type="dxa"/>
                  <w:tcBorders>
                    <w:tl2br w:val="nil"/>
                    <w:tr2bl w:val="nil"/>
                  </w:tcBorders>
                  <w:vAlign w:val="center"/>
                </w:tcPr>
                <w:p>
                  <w:pPr>
                    <w:tabs>
                      <w:tab w:val="left" w:pos="940"/>
                    </w:tabs>
                    <w:adjustRightInd w:val="0"/>
                    <w:snapToGrid w:val="0"/>
                    <w:jc w:val="center"/>
                    <w:rPr>
                      <w:rFonts w:eastAsiaTheme="minorEastAsia"/>
                      <w:b/>
                      <w:sz w:val="21"/>
                      <w:szCs w:val="21"/>
                    </w:rPr>
                  </w:pPr>
                  <w:r>
                    <w:rPr>
                      <w:rFonts w:hAnsiTheme="minorEastAsia" w:eastAsiaTheme="minorEastAsia"/>
                      <w:b/>
                      <w:sz w:val="21"/>
                      <w:szCs w:val="21"/>
                    </w:rPr>
                    <w:t>本项目情况</w:t>
                  </w:r>
                </w:p>
              </w:tc>
              <w:tc>
                <w:tcPr>
                  <w:tcW w:w="854" w:type="dxa"/>
                  <w:tcBorders>
                    <w:tl2br w:val="nil"/>
                    <w:tr2bl w:val="nil"/>
                  </w:tcBorders>
                  <w:vAlign w:val="center"/>
                </w:tcPr>
                <w:p>
                  <w:pPr>
                    <w:tabs>
                      <w:tab w:val="left" w:pos="940"/>
                    </w:tabs>
                    <w:adjustRightInd w:val="0"/>
                    <w:snapToGrid w:val="0"/>
                    <w:jc w:val="center"/>
                    <w:rPr>
                      <w:rFonts w:eastAsiaTheme="minorEastAsia"/>
                      <w:b/>
                      <w:sz w:val="21"/>
                      <w:szCs w:val="21"/>
                    </w:rPr>
                  </w:pPr>
                  <w:r>
                    <w:rPr>
                      <w:rFonts w:hAnsiTheme="minorEastAsia" w:eastAsiaTheme="minorEastAsia"/>
                      <w:b/>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46" w:type="dxa"/>
                  <w:vMerge w:val="restart"/>
                  <w:tcBorders>
                    <w:tl2br w:val="nil"/>
                    <w:tr2bl w:val="nil"/>
                  </w:tcBorders>
                  <w:vAlign w:val="center"/>
                </w:tcPr>
                <w:p>
                  <w:pPr>
                    <w:tabs>
                      <w:tab w:val="left" w:pos="940"/>
                    </w:tabs>
                    <w:adjustRightInd w:val="0"/>
                    <w:snapToGrid w:val="0"/>
                    <w:jc w:val="center"/>
                    <w:rPr>
                      <w:rFonts w:eastAsiaTheme="minorEastAsia"/>
                      <w:sz w:val="21"/>
                      <w:szCs w:val="21"/>
                    </w:rPr>
                  </w:pPr>
                  <w:r>
                    <w:rPr>
                      <w:rFonts w:hAnsiTheme="minorEastAsia" w:eastAsiaTheme="minorEastAsia"/>
                      <w:sz w:val="21"/>
                      <w:szCs w:val="21"/>
                    </w:rPr>
                    <w:t>安装范围</w:t>
                  </w:r>
                </w:p>
              </w:tc>
              <w:tc>
                <w:tcPr>
                  <w:tcW w:w="4481" w:type="dxa"/>
                  <w:tcBorders>
                    <w:tl2br w:val="nil"/>
                    <w:tr2bl w:val="nil"/>
                  </w:tcBorders>
                  <w:vAlign w:val="center"/>
                </w:tcPr>
                <w:p>
                  <w:pPr>
                    <w:tabs>
                      <w:tab w:val="left" w:pos="940"/>
                    </w:tabs>
                    <w:adjustRightInd w:val="0"/>
                    <w:snapToGrid w:val="0"/>
                    <w:jc w:val="center"/>
                    <w:rPr>
                      <w:rFonts w:eastAsiaTheme="minorEastAsia"/>
                      <w:sz w:val="21"/>
                      <w:szCs w:val="21"/>
                    </w:rPr>
                  </w:pPr>
                  <w:r>
                    <w:rPr>
                      <w:rFonts w:hAnsiTheme="minorEastAsia" w:eastAsiaTheme="minorEastAsia"/>
                      <w:sz w:val="21"/>
                      <w:szCs w:val="21"/>
                    </w:rPr>
                    <w:t>第一批安装部署用电量监控系统的企业为新乡市辖区内国控、省控、市控重点监控企业、涉及</w:t>
                  </w:r>
                  <w:r>
                    <w:rPr>
                      <w:rFonts w:eastAsiaTheme="minorEastAsia"/>
                      <w:sz w:val="21"/>
                      <w:szCs w:val="21"/>
                    </w:rPr>
                    <w:t>VOC</w:t>
                  </w:r>
                  <w:r>
                    <w:rPr>
                      <w:rFonts w:eastAsiaTheme="minorEastAsia"/>
                      <w:sz w:val="21"/>
                      <w:szCs w:val="21"/>
                      <w:vertAlign w:val="subscript"/>
                    </w:rPr>
                    <w:t>s</w:t>
                  </w:r>
                  <w:r>
                    <w:rPr>
                      <w:rFonts w:hAnsiTheme="minorEastAsia" w:eastAsiaTheme="minorEastAsia"/>
                      <w:sz w:val="21"/>
                      <w:szCs w:val="21"/>
                    </w:rPr>
                    <w:t>污染排放的企业、铸造行业、建材行业，然后逐步扩展至新乡市辖区内所有排污企业。</w:t>
                  </w:r>
                </w:p>
              </w:tc>
              <w:tc>
                <w:tcPr>
                  <w:tcW w:w="2560" w:type="dxa"/>
                  <w:tcBorders>
                    <w:tl2br w:val="nil"/>
                    <w:tr2bl w:val="nil"/>
                  </w:tcBorders>
                  <w:vAlign w:val="center"/>
                </w:tcPr>
                <w:p>
                  <w:pPr>
                    <w:tabs>
                      <w:tab w:val="left" w:pos="940"/>
                    </w:tabs>
                    <w:adjustRightInd w:val="0"/>
                    <w:snapToGrid w:val="0"/>
                    <w:jc w:val="center"/>
                    <w:rPr>
                      <w:rFonts w:eastAsiaTheme="minorEastAsia"/>
                      <w:sz w:val="21"/>
                      <w:szCs w:val="21"/>
                    </w:rPr>
                  </w:pPr>
                  <w:r>
                    <w:rPr>
                      <w:rFonts w:hAnsiTheme="minorEastAsia" w:eastAsiaTheme="minorEastAsia"/>
                      <w:sz w:val="21"/>
                      <w:szCs w:val="21"/>
                    </w:rPr>
                    <w:t>本项目属于涉</w:t>
                  </w:r>
                  <w:r>
                    <w:rPr>
                      <w:rFonts w:eastAsiaTheme="minorEastAsia"/>
                      <w:sz w:val="21"/>
                      <w:szCs w:val="21"/>
                    </w:rPr>
                    <w:t>VOC</w:t>
                  </w:r>
                  <w:r>
                    <w:rPr>
                      <w:rFonts w:eastAsiaTheme="minorEastAsia"/>
                      <w:sz w:val="21"/>
                      <w:szCs w:val="21"/>
                      <w:vertAlign w:val="subscript"/>
                    </w:rPr>
                    <w:t>s</w:t>
                  </w:r>
                  <w:r>
                    <w:rPr>
                      <w:rFonts w:hAnsiTheme="minorEastAsia" w:eastAsiaTheme="minorEastAsia"/>
                      <w:sz w:val="21"/>
                      <w:szCs w:val="21"/>
                    </w:rPr>
                    <w:t>排污企业，属于安装范围内的企业。</w:t>
                  </w:r>
                </w:p>
              </w:tc>
              <w:tc>
                <w:tcPr>
                  <w:tcW w:w="854" w:type="dxa"/>
                  <w:tcBorders>
                    <w:tl2br w:val="nil"/>
                    <w:tr2bl w:val="nil"/>
                  </w:tcBorders>
                  <w:vAlign w:val="center"/>
                </w:tcPr>
                <w:p>
                  <w:pPr>
                    <w:tabs>
                      <w:tab w:val="left" w:pos="940"/>
                    </w:tabs>
                    <w:adjustRightInd w:val="0"/>
                    <w:snapToGrid w:val="0"/>
                    <w:jc w:val="center"/>
                    <w:rPr>
                      <w:rFonts w:eastAsiaTheme="minorEastAsia"/>
                      <w:sz w:val="21"/>
                      <w:szCs w:val="21"/>
                    </w:rPr>
                  </w:pPr>
                  <w:r>
                    <w:rPr>
                      <w:rFonts w:hAnsiTheme="minorEastAsia" w:eastAsiaTheme="minorEastAsia"/>
                      <w:sz w:val="21"/>
                      <w:szCs w:val="21"/>
                    </w:rPr>
                    <w:t>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46" w:type="dxa"/>
                  <w:vMerge w:val="continue"/>
                  <w:tcBorders>
                    <w:tl2br w:val="nil"/>
                    <w:tr2bl w:val="nil"/>
                  </w:tcBorders>
                  <w:vAlign w:val="center"/>
                </w:tcPr>
                <w:p>
                  <w:pPr>
                    <w:tabs>
                      <w:tab w:val="left" w:pos="940"/>
                    </w:tabs>
                    <w:adjustRightInd w:val="0"/>
                    <w:snapToGrid w:val="0"/>
                    <w:jc w:val="center"/>
                    <w:rPr>
                      <w:rFonts w:eastAsiaTheme="minorEastAsia"/>
                      <w:sz w:val="21"/>
                      <w:szCs w:val="21"/>
                    </w:rPr>
                  </w:pPr>
                </w:p>
              </w:tc>
              <w:tc>
                <w:tcPr>
                  <w:tcW w:w="4481" w:type="dxa"/>
                  <w:tcBorders>
                    <w:tl2br w:val="nil"/>
                    <w:tr2bl w:val="nil"/>
                  </w:tcBorders>
                  <w:vAlign w:val="center"/>
                </w:tcPr>
                <w:p>
                  <w:pPr>
                    <w:tabs>
                      <w:tab w:val="left" w:pos="940"/>
                    </w:tabs>
                    <w:adjustRightInd w:val="0"/>
                    <w:snapToGrid w:val="0"/>
                    <w:jc w:val="center"/>
                    <w:rPr>
                      <w:rFonts w:eastAsiaTheme="minorEastAsia"/>
                      <w:sz w:val="21"/>
                      <w:szCs w:val="21"/>
                    </w:rPr>
                  </w:pPr>
                  <w:r>
                    <w:rPr>
                      <w:rFonts w:hAnsiTheme="minorEastAsia" w:eastAsiaTheme="minorEastAsia"/>
                      <w:sz w:val="21"/>
                      <w:szCs w:val="21"/>
                    </w:rPr>
                    <w:t>所有排污企业的总用电控制位置、主要生产设施和污染治理设施必须安装用电量监控系统终端。</w:t>
                  </w:r>
                </w:p>
              </w:tc>
              <w:tc>
                <w:tcPr>
                  <w:tcW w:w="2560" w:type="dxa"/>
                  <w:tcBorders>
                    <w:tl2br w:val="nil"/>
                    <w:tr2bl w:val="nil"/>
                  </w:tcBorders>
                  <w:vAlign w:val="center"/>
                </w:tcPr>
                <w:p>
                  <w:pPr>
                    <w:tabs>
                      <w:tab w:val="left" w:pos="940"/>
                    </w:tabs>
                    <w:adjustRightInd w:val="0"/>
                    <w:snapToGrid w:val="0"/>
                    <w:jc w:val="center"/>
                    <w:rPr>
                      <w:rFonts w:eastAsiaTheme="minorEastAsia"/>
                      <w:sz w:val="21"/>
                      <w:szCs w:val="21"/>
                    </w:rPr>
                  </w:pPr>
                  <w:r>
                    <w:rPr>
                      <w:rFonts w:hAnsiTheme="minorEastAsia" w:eastAsiaTheme="minorEastAsia"/>
                      <w:sz w:val="21"/>
                      <w:szCs w:val="21"/>
                    </w:rPr>
                    <w:t>本项目严格按照要求安装用电量监控系统终端。</w:t>
                  </w:r>
                </w:p>
              </w:tc>
              <w:tc>
                <w:tcPr>
                  <w:tcW w:w="854" w:type="dxa"/>
                  <w:tcBorders>
                    <w:tl2br w:val="nil"/>
                    <w:tr2bl w:val="nil"/>
                  </w:tcBorders>
                  <w:vAlign w:val="center"/>
                </w:tcPr>
                <w:p>
                  <w:pPr>
                    <w:tabs>
                      <w:tab w:val="left" w:pos="940"/>
                    </w:tabs>
                    <w:adjustRightInd w:val="0"/>
                    <w:snapToGrid w:val="0"/>
                    <w:jc w:val="center"/>
                    <w:rPr>
                      <w:rFonts w:eastAsiaTheme="minorEastAsia"/>
                      <w:sz w:val="21"/>
                      <w:szCs w:val="21"/>
                    </w:rPr>
                  </w:pPr>
                  <w:r>
                    <w:rPr>
                      <w:rFonts w:hAnsiTheme="minorEastAsia" w:eastAsiaTheme="minorEastAsia"/>
                      <w:sz w:val="21"/>
                      <w:szCs w:val="21"/>
                    </w:rPr>
                    <w:t>满足</w:t>
                  </w:r>
                </w:p>
              </w:tc>
            </w:tr>
          </w:tbl>
          <w:p>
            <w:pPr>
              <w:tabs>
                <w:tab w:val="left" w:pos="940"/>
              </w:tabs>
              <w:adjustRightInd w:val="0"/>
              <w:snapToGrid w:val="0"/>
              <w:spacing w:line="440" w:lineRule="exact"/>
              <w:ind w:firstLine="480" w:firstLineChars="200"/>
              <w:rPr>
                <w:bCs/>
                <w:sz w:val="24"/>
                <w:szCs w:val="24"/>
              </w:rPr>
            </w:pPr>
            <w:r>
              <w:rPr>
                <w:sz w:val="24"/>
                <w:szCs w:val="24"/>
              </w:rPr>
              <w:t>由上表可知，本项目满足《</w:t>
            </w:r>
            <w:r>
              <w:rPr>
                <w:rFonts w:hint="eastAsia"/>
                <w:sz w:val="24"/>
                <w:szCs w:val="24"/>
              </w:rPr>
              <w:t>新乡市</w:t>
            </w:r>
            <w:r>
              <w:rPr>
                <w:sz w:val="24"/>
                <w:szCs w:val="24"/>
              </w:rPr>
              <w:t>生态环境局关于部署安装工业企业用电量监控系统的通知》</w:t>
            </w:r>
            <w:r>
              <w:rPr>
                <w:rFonts w:hint="eastAsia"/>
                <w:sz w:val="24"/>
                <w:szCs w:val="24"/>
              </w:rPr>
              <w:t>新</w:t>
            </w:r>
            <w:r>
              <w:rPr>
                <w:sz w:val="24"/>
                <w:szCs w:val="24"/>
              </w:rPr>
              <w:t>环[2019]</w:t>
            </w:r>
            <w:r>
              <w:rPr>
                <w:rFonts w:hint="eastAsia"/>
                <w:sz w:val="24"/>
                <w:szCs w:val="24"/>
              </w:rPr>
              <w:t>154</w:t>
            </w:r>
            <w:r>
              <w:rPr>
                <w:sz w:val="24"/>
                <w:szCs w:val="24"/>
              </w:rPr>
              <w:t>号文</w:t>
            </w:r>
            <w:r>
              <w:rPr>
                <w:bCs/>
                <w:sz w:val="24"/>
                <w:szCs w:val="24"/>
              </w:rPr>
              <w:t>的相关要求。</w:t>
            </w:r>
          </w:p>
          <w:p>
            <w:pPr>
              <w:spacing w:line="440" w:lineRule="exact"/>
              <w:ind w:firstLine="482" w:firstLineChars="200"/>
              <w:rPr>
                <w:b/>
                <w:sz w:val="24"/>
                <w:szCs w:val="24"/>
              </w:rPr>
            </w:pPr>
            <w:r>
              <w:rPr>
                <w:rFonts w:hint="eastAsia"/>
                <w:b/>
                <w:sz w:val="24"/>
                <w:szCs w:val="24"/>
                <w:lang w:val="pt-BR"/>
              </w:rPr>
              <w:t>9、</w:t>
            </w:r>
            <w:r>
              <w:rPr>
                <w:b/>
                <w:sz w:val="24"/>
                <w:szCs w:val="24"/>
              </w:rPr>
              <w:t>本项目与《新乡市环境污染防治攻坚指挥部办公室关于加快推进秋冬季期间运输管控工作的通知》（以下简称《通知》）的对比分析</w:t>
            </w:r>
          </w:p>
          <w:p>
            <w:pPr>
              <w:pStyle w:val="121"/>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ascii="Times New Roman" w:hAnsi="Times New Roman" w:eastAsia="宋体" w:cs="Times New Roman"/>
              </w:rPr>
            </w:pPr>
            <w:r>
              <w:rPr>
                <w:rFonts w:hint="default" w:ascii="Times New Roman" w:hAnsi="Times New Roman" w:eastAsia="宋体" w:cs="Times New Roman"/>
              </w:rPr>
              <w:t>表</w:t>
            </w:r>
            <w:r>
              <w:rPr>
                <w:rFonts w:hint="eastAsia" w:ascii="Times New Roman" w:hAnsi="Times New Roman" w:eastAsia="宋体" w:cs="Times New Roman"/>
                <w:lang w:val="en-US" w:eastAsia="zh-CN"/>
              </w:rPr>
              <w:t>1-</w:t>
            </w:r>
            <w:r>
              <w:rPr>
                <w:rFonts w:hint="eastAsia" w:ascii="Times New Roman" w:hAnsi="Times New Roman" w:eastAsia="宋体" w:cs="Times New Roman"/>
              </w:rPr>
              <w:t>9</w:t>
            </w:r>
            <w:r>
              <w:rPr>
                <w:rFonts w:hint="eastAsia" w:ascii="Times New Roman" w:hAnsi="Times New Roman" w:eastAsia="宋体" w:cs="Times New Roman"/>
                <w:lang w:val="en-US" w:eastAsia="zh-CN"/>
              </w:rPr>
              <w:t xml:space="preserve">    </w:t>
            </w:r>
            <w:r>
              <w:rPr>
                <w:rFonts w:hint="default" w:ascii="Times New Roman" w:hAnsi="Times New Roman" w:eastAsia="宋体" w:cs="Times New Roman"/>
              </w:rPr>
              <w:t>与《</w:t>
            </w:r>
            <w:r>
              <w:rPr>
                <w:rFonts w:hint="eastAsia" w:ascii="Times New Roman" w:hAnsi="Times New Roman" w:eastAsia="宋体" w:cs="Times New Roman"/>
              </w:rPr>
              <w:t>通知</w:t>
            </w:r>
            <w:r>
              <w:rPr>
                <w:rFonts w:hint="default" w:ascii="Times New Roman" w:hAnsi="Times New Roman" w:eastAsia="宋体" w:cs="Times New Roman"/>
              </w:rPr>
              <w:t>》的对比分析一览表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4268"/>
              <w:gridCol w:w="1798"/>
              <w:gridCol w:w="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95" w:type="dxa"/>
                  <w:gridSpan w:val="2"/>
                  <w:tcBorders>
                    <w:tl2br w:val="nil"/>
                    <w:tr2bl w:val="nil"/>
                  </w:tcBorders>
                  <w:vAlign w:val="center"/>
                </w:tcPr>
                <w:p>
                  <w:pPr>
                    <w:adjustRightInd w:val="0"/>
                    <w:snapToGrid w:val="0"/>
                    <w:jc w:val="center"/>
                    <w:rPr>
                      <w:b/>
                      <w:sz w:val="21"/>
                      <w:szCs w:val="21"/>
                    </w:rPr>
                  </w:pPr>
                  <w:r>
                    <w:rPr>
                      <w:b/>
                      <w:sz w:val="21"/>
                      <w:szCs w:val="21"/>
                    </w:rPr>
                    <w:t>《通知》中与本项目有关的内容</w:t>
                  </w:r>
                </w:p>
              </w:tc>
              <w:tc>
                <w:tcPr>
                  <w:tcW w:w="1701" w:type="dxa"/>
                  <w:tcBorders>
                    <w:tl2br w:val="nil"/>
                    <w:tr2bl w:val="nil"/>
                  </w:tcBorders>
                  <w:vAlign w:val="center"/>
                </w:tcPr>
                <w:p>
                  <w:pPr>
                    <w:adjustRightInd w:val="0"/>
                    <w:snapToGrid w:val="0"/>
                    <w:jc w:val="center"/>
                    <w:rPr>
                      <w:b/>
                      <w:sz w:val="21"/>
                      <w:szCs w:val="21"/>
                    </w:rPr>
                  </w:pPr>
                  <w:r>
                    <w:rPr>
                      <w:b/>
                      <w:sz w:val="21"/>
                      <w:szCs w:val="21"/>
                    </w:rPr>
                    <w:t>本项目情况</w:t>
                  </w:r>
                </w:p>
              </w:tc>
              <w:tc>
                <w:tcPr>
                  <w:tcW w:w="932" w:type="dxa"/>
                  <w:tcBorders>
                    <w:tl2br w:val="nil"/>
                    <w:tr2bl w:val="nil"/>
                  </w:tcBorders>
                  <w:vAlign w:val="center"/>
                </w:tcPr>
                <w:p>
                  <w:pPr>
                    <w:adjustRightInd w:val="0"/>
                    <w:snapToGrid w:val="0"/>
                    <w:jc w:val="center"/>
                    <w:rPr>
                      <w:b/>
                      <w:sz w:val="21"/>
                      <w:szCs w:val="21"/>
                    </w:rPr>
                  </w:pPr>
                  <w:r>
                    <w:rPr>
                      <w:b/>
                      <w:sz w:val="21"/>
                      <w:szCs w:val="21"/>
                    </w:rPr>
                    <w:t>是否符</w:t>
                  </w:r>
                </w:p>
                <w:p>
                  <w:pPr>
                    <w:adjustRightInd w:val="0"/>
                    <w:snapToGrid w:val="0"/>
                    <w:jc w:val="center"/>
                    <w:rPr>
                      <w:b/>
                      <w:sz w:val="21"/>
                      <w:szCs w:val="21"/>
                    </w:rPr>
                  </w:pPr>
                  <w:r>
                    <w:rPr>
                      <w:b/>
                      <w:sz w:val="21"/>
                      <w:szCs w:val="21"/>
                    </w:rPr>
                    <w:t>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55" w:type="dxa"/>
                  <w:tcBorders>
                    <w:tl2br w:val="nil"/>
                    <w:tr2bl w:val="nil"/>
                  </w:tcBorders>
                  <w:vAlign w:val="center"/>
                </w:tcPr>
                <w:p>
                  <w:pPr>
                    <w:tabs>
                      <w:tab w:val="left" w:pos="791"/>
                      <w:tab w:val="left" w:pos="792"/>
                    </w:tabs>
                    <w:adjustRightInd w:val="0"/>
                    <w:snapToGrid w:val="0"/>
                    <w:rPr>
                      <w:sz w:val="21"/>
                      <w:szCs w:val="21"/>
                    </w:rPr>
                  </w:pPr>
                  <w:r>
                    <w:rPr>
                      <w:sz w:val="21"/>
                      <w:szCs w:val="21"/>
                    </w:rPr>
                    <w:t>三、逐步扩大门禁监控系统安装范围</w:t>
                  </w:r>
                </w:p>
              </w:tc>
              <w:tc>
                <w:tcPr>
                  <w:tcW w:w="4040" w:type="dxa"/>
                  <w:tcBorders>
                    <w:tl2br w:val="nil"/>
                    <w:tr2bl w:val="nil"/>
                  </w:tcBorders>
                  <w:vAlign w:val="center"/>
                </w:tcPr>
                <w:p>
                  <w:pPr>
                    <w:tabs>
                      <w:tab w:val="left" w:pos="791"/>
                      <w:tab w:val="left" w:pos="792"/>
                    </w:tabs>
                    <w:adjustRightInd w:val="0"/>
                    <w:snapToGrid w:val="0"/>
                    <w:rPr>
                      <w:sz w:val="21"/>
                      <w:szCs w:val="21"/>
                    </w:rPr>
                  </w:pPr>
                  <w:r>
                    <w:rPr>
                      <w:sz w:val="21"/>
                      <w:szCs w:val="21"/>
                    </w:rPr>
                    <w:t>各县（市、区）结合实际，在《新乡市重点用车企业清单》基础上，对其他日进出车辆10辆次以上的大宗物料运输类企业，特别是仓储运输、化学原料制造、矿山（含煤矿）、洗煤厂、城市物流配送企业、邮政等单位，或者其所属车辆需要长时间在城市建成区内频繁行驶的重点行业企业进行认真梳理排查，确定需要补充安装监控门禁系统企业，2019年12月10日前，完成上述行业企业筛查并补充完善《新乡市重点用车企业清单》，2019年12月30日前，完成筛查补充企业门禁系统安装任务。</w:t>
                  </w:r>
                </w:p>
              </w:tc>
              <w:tc>
                <w:tcPr>
                  <w:tcW w:w="1701" w:type="dxa"/>
                  <w:tcBorders>
                    <w:tl2br w:val="nil"/>
                    <w:tr2bl w:val="nil"/>
                  </w:tcBorders>
                  <w:vAlign w:val="center"/>
                </w:tcPr>
                <w:p>
                  <w:pPr>
                    <w:adjustRightInd w:val="0"/>
                    <w:snapToGrid w:val="0"/>
                    <w:rPr>
                      <w:sz w:val="21"/>
                      <w:szCs w:val="21"/>
                    </w:rPr>
                  </w:pPr>
                  <w:r>
                    <w:rPr>
                      <w:rFonts w:hint="eastAsia"/>
                      <w:sz w:val="21"/>
                      <w:szCs w:val="21"/>
                    </w:rPr>
                    <w:t>本日均进出货物约35吨，低于10辆次</w:t>
                  </w:r>
                  <w:r>
                    <w:rPr>
                      <w:sz w:val="21"/>
                      <w:szCs w:val="21"/>
                    </w:rPr>
                    <w:t>，</w:t>
                  </w:r>
                  <w:r>
                    <w:rPr>
                      <w:rFonts w:hint="eastAsia"/>
                      <w:sz w:val="21"/>
                      <w:szCs w:val="21"/>
                      <w:lang w:val="en-US" w:eastAsia="zh-CN"/>
                    </w:rPr>
                    <w:t>不</w:t>
                  </w:r>
                  <w:r>
                    <w:rPr>
                      <w:sz w:val="21"/>
                      <w:szCs w:val="21"/>
                    </w:rPr>
                    <w:t>需要安装企业门禁系统</w:t>
                  </w:r>
                </w:p>
              </w:tc>
              <w:tc>
                <w:tcPr>
                  <w:tcW w:w="932" w:type="dxa"/>
                  <w:tcBorders>
                    <w:tl2br w:val="nil"/>
                    <w:tr2bl w:val="nil"/>
                  </w:tcBorders>
                  <w:vAlign w:val="center"/>
                </w:tcPr>
                <w:p>
                  <w:pPr>
                    <w:adjustRightInd w:val="0"/>
                    <w:snapToGrid w:val="0"/>
                    <w:jc w:val="center"/>
                    <w:rPr>
                      <w:sz w:val="21"/>
                      <w:szCs w:val="21"/>
                    </w:rPr>
                  </w:pPr>
                  <w:r>
                    <w:rPr>
                      <w:rFonts w:hint="eastAsia"/>
                      <w:sz w:val="21"/>
                      <w:szCs w:val="21"/>
                      <w:lang w:val="en-US" w:eastAsia="zh-CN"/>
                    </w:rPr>
                    <w:t>不</w:t>
                  </w:r>
                  <w:r>
                    <w:rPr>
                      <w:rFonts w:hint="eastAsia"/>
                      <w:sz w:val="21"/>
                      <w:szCs w:val="21"/>
                    </w:rPr>
                    <w:t>需要安装</w:t>
                  </w:r>
                </w:p>
              </w:tc>
            </w:tr>
          </w:tbl>
          <w:p>
            <w:pPr>
              <w:spacing w:line="440" w:lineRule="exact"/>
              <w:ind w:firstLine="480" w:firstLineChars="200"/>
              <w:jc w:val="left"/>
              <w:rPr>
                <w:bCs/>
                <w:sz w:val="24"/>
                <w:szCs w:val="24"/>
              </w:rPr>
            </w:pPr>
            <w:r>
              <w:rPr>
                <w:sz w:val="24"/>
                <w:szCs w:val="24"/>
              </w:rPr>
              <w:t>由上表可知，本项目满足《新乡市环境污染防治攻坚指挥部办公室关于加快推进秋冬季期间运输管控工作的通知》</w:t>
            </w:r>
            <w:r>
              <w:rPr>
                <w:bCs/>
                <w:sz w:val="24"/>
                <w:szCs w:val="24"/>
              </w:rPr>
              <w:t>的相关要求。</w:t>
            </w:r>
          </w:p>
        </w:tc>
      </w:tr>
    </w:tbl>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黑体" w:hAnsi="黑体" w:eastAsia="黑体" w:cs="黑体"/>
          <w:b w:val="0"/>
          <w:bCs/>
          <w:color w:val="000000"/>
          <w:sz w:val="30"/>
          <w:szCs w:val="30"/>
        </w:rPr>
      </w:pPr>
      <w:r>
        <w:rPr>
          <w:rFonts w:hint="eastAsia" w:ascii="黑体" w:hAnsi="黑体" w:eastAsia="黑体" w:cs="黑体"/>
          <w:b w:val="0"/>
          <w:bCs/>
          <w:color w:val="000000"/>
          <w:sz w:val="30"/>
          <w:szCs w:val="30"/>
        </w:rPr>
        <w:t>二、建设项目工程分析</w:t>
      </w:r>
    </w:p>
    <w:tbl>
      <w:tblPr>
        <w:tblStyle w:val="26"/>
        <w:tblW w:w="9063"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456"/>
        <w:gridCol w:w="8607"/>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2970" w:hRule="atLeast"/>
          <w:jc w:val="center"/>
        </w:trPr>
        <w:tc>
          <w:tcPr>
            <w:tcW w:w="456" w:type="dxa"/>
            <w:tcBorders>
              <w:bottom w:val="single" w:color="auto" w:sz="4" w:space="0"/>
              <w:right w:val="single" w:color="auto" w:sz="4" w:space="0"/>
            </w:tcBorders>
            <w:vAlign w:val="center"/>
          </w:tcPr>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4"/>
                <w:szCs w:val="24"/>
              </w:rPr>
            </w:pPr>
            <w:r>
              <w:rPr>
                <w:rFonts w:hint="eastAsia"/>
                <w:color w:val="000000"/>
                <w:sz w:val="24"/>
                <w:szCs w:val="24"/>
              </w:rPr>
              <w:t>建</w:t>
            </w:r>
          </w:p>
          <w:p>
            <w:pPr>
              <w:jc w:val="center"/>
              <w:rPr>
                <w:color w:val="000000"/>
                <w:sz w:val="24"/>
                <w:szCs w:val="24"/>
              </w:rPr>
            </w:pPr>
            <w:r>
              <w:rPr>
                <w:rFonts w:hint="eastAsia"/>
                <w:color w:val="000000"/>
                <w:sz w:val="24"/>
                <w:szCs w:val="24"/>
              </w:rPr>
              <w:t>设</w:t>
            </w:r>
          </w:p>
          <w:p>
            <w:pPr>
              <w:jc w:val="center"/>
              <w:rPr>
                <w:color w:val="000000"/>
                <w:sz w:val="24"/>
                <w:szCs w:val="24"/>
              </w:rPr>
            </w:pPr>
            <w:r>
              <w:rPr>
                <w:rFonts w:hint="eastAsia"/>
                <w:color w:val="000000"/>
                <w:sz w:val="24"/>
                <w:szCs w:val="24"/>
              </w:rPr>
              <w:t>内</w:t>
            </w:r>
          </w:p>
          <w:p>
            <w:pPr>
              <w:jc w:val="center"/>
              <w:rPr>
                <w:color w:val="000000"/>
                <w:sz w:val="21"/>
                <w:szCs w:val="21"/>
              </w:rPr>
            </w:pPr>
            <w:r>
              <w:rPr>
                <w:rFonts w:hint="eastAsia"/>
                <w:color w:val="000000"/>
                <w:sz w:val="24"/>
                <w:szCs w:val="24"/>
              </w:rPr>
              <w:t>容</w:t>
            </w:r>
          </w:p>
        </w:tc>
        <w:tc>
          <w:tcPr>
            <w:tcW w:w="8607" w:type="dxa"/>
            <w:tcBorders>
              <w:top w:val="single" w:color="auto" w:sz="8"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eastAsiaTheme="minorEastAsia"/>
                <w:b/>
                <w:color w:val="000000"/>
                <w:sz w:val="24"/>
                <w:szCs w:val="24"/>
              </w:rPr>
            </w:pPr>
            <w:r>
              <w:rPr>
                <w:rFonts w:hAnsiTheme="minorEastAsia" w:eastAsiaTheme="minorEastAsia"/>
                <w:b/>
                <w:color w:val="000000"/>
                <w:sz w:val="24"/>
                <w:szCs w:val="24"/>
              </w:rPr>
              <w:t>一、项目由来</w:t>
            </w:r>
          </w:p>
          <w:p>
            <w:pPr>
              <w:keepNext w:val="0"/>
              <w:keepLines w:val="0"/>
              <w:pageBreakBefore w:val="0"/>
              <w:widowControl w:val="0"/>
              <w:kinsoku/>
              <w:wordWrap/>
              <w:overflowPunct/>
              <w:topLinePunct w:val="0"/>
              <w:autoSpaceDE/>
              <w:autoSpaceDN/>
              <w:bidi w:val="0"/>
              <w:adjustRightInd/>
              <w:snapToGrid/>
              <w:spacing w:line="520" w:lineRule="exact"/>
              <w:ind w:firstLine="482"/>
              <w:jc w:val="left"/>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随着我国工业化进程的推进，各工业企业的发展取得较大的进步，同时，也产生了大量的危险废物。危险废物产生的单位点多面广，量小分散，危险废物处置单位直接回收较为困难，已成为威胁环境质量的高风险源</w:t>
            </w:r>
            <w:r>
              <w:rPr>
                <w:rFonts w:hint="eastAsia" w:ascii="Times New Roman" w:hAnsi="Times New Roman" w:eastAsia="宋体" w:cs="Times New Roman"/>
                <w:color w:val="auto"/>
                <w:sz w:val="24"/>
                <w:szCs w:val="24"/>
                <w:lang w:eastAsia="zh-CN"/>
              </w:rPr>
              <w:t>。</w:t>
            </w:r>
            <w:r>
              <w:rPr>
                <w:rFonts w:hint="eastAsia" w:hAnsi="宋体"/>
                <w:color w:val="000000"/>
                <w:sz w:val="24"/>
                <w:szCs w:val="24"/>
                <w:lang w:eastAsia="zh-CN"/>
              </w:rPr>
              <w:t>新乡威斯特环保科技有限公司</w:t>
            </w:r>
            <w:r>
              <w:rPr>
                <w:rFonts w:hint="eastAsia" w:hAnsi="宋体"/>
                <w:color w:val="000000"/>
                <w:sz w:val="24"/>
                <w:szCs w:val="24"/>
                <w:lang w:val="en-US" w:eastAsia="zh-CN"/>
              </w:rPr>
              <w:t>着眼于本地区危险废物收集的困境，拟投资200万元，</w:t>
            </w:r>
            <w:r>
              <w:rPr>
                <w:rFonts w:hint="eastAsia"/>
                <w:color w:val="000000"/>
                <w:sz w:val="24"/>
                <w:lang w:val="en-US" w:eastAsia="zh-CN"/>
              </w:rPr>
              <w:t>在</w:t>
            </w:r>
            <w:r>
              <w:rPr>
                <w:rFonts w:hint="eastAsia"/>
                <w:color w:val="000000"/>
                <w:sz w:val="24"/>
                <w:szCs w:val="24"/>
                <w:lang w:eastAsia="zh-CN"/>
              </w:rPr>
              <w:t>新乡市动力电池专业园区西区陈堡村南700米路西</w:t>
            </w:r>
            <w:r>
              <w:rPr>
                <w:rFonts w:hint="eastAsia"/>
                <w:color w:val="000000"/>
                <w:sz w:val="24"/>
              </w:rPr>
              <w:t>，建设</w:t>
            </w:r>
            <w:r>
              <w:rPr>
                <w:rFonts w:hint="eastAsia"/>
                <w:color w:val="000000"/>
                <w:spacing w:val="-4"/>
                <w:sz w:val="24"/>
                <w:szCs w:val="24"/>
                <w:lang w:eastAsia="zh-CN"/>
              </w:rPr>
              <w:t>年回收5000吨漆渣、废弃包装物、污泥等项目</w:t>
            </w:r>
            <w:r>
              <w:rPr>
                <w:rFonts w:hint="eastAsia"/>
                <w:color w:val="00000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2"/>
              <w:jc w:val="left"/>
              <w:textAlignment w:val="auto"/>
              <w:rPr>
                <w:color w:val="000000"/>
                <w:sz w:val="24"/>
              </w:rPr>
            </w:pPr>
            <w:r>
              <w:rPr>
                <w:rFonts w:hint="eastAsia" w:hAnsi="宋体"/>
                <w:color w:val="000000"/>
                <w:sz w:val="24"/>
                <w:szCs w:val="24"/>
                <w:lang w:eastAsia="zh-CN"/>
              </w:rPr>
              <w:t>新乡威斯特环保科技有限公司</w:t>
            </w:r>
            <w:r>
              <w:rPr>
                <w:rFonts w:hint="eastAsia"/>
                <w:color w:val="000000"/>
                <w:spacing w:val="-4"/>
                <w:sz w:val="24"/>
                <w:szCs w:val="24"/>
                <w:lang w:eastAsia="zh-CN"/>
              </w:rPr>
              <w:t>年回收5000吨漆渣、废弃包装物、污泥等项目</w:t>
            </w:r>
            <w:r>
              <w:rPr>
                <w:rFonts w:hint="eastAsia"/>
                <w:color w:val="000000"/>
                <w:sz w:val="24"/>
              </w:rPr>
              <w:t>已经新乡市凤泉区发展和改革委员会备案，项目代码</w:t>
            </w:r>
            <w:r>
              <w:rPr>
                <w:rFonts w:hint="eastAsia"/>
                <w:color w:val="000000"/>
                <w:sz w:val="24"/>
                <w:szCs w:val="24"/>
                <w:lang w:eastAsia="zh-CN"/>
              </w:rPr>
              <w:t>2109-410704-04-01-421928</w:t>
            </w:r>
            <w:r>
              <w:rPr>
                <w:rFonts w:hint="eastAsia"/>
                <w:color w:val="000000"/>
                <w:sz w:val="24"/>
              </w:rPr>
              <w:t>。根据现场勘查，本项目需</w:t>
            </w:r>
            <w:r>
              <w:rPr>
                <w:rFonts w:hint="eastAsia"/>
                <w:color w:val="000000"/>
                <w:sz w:val="24"/>
                <w:lang w:val="en-US" w:eastAsia="zh-CN"/>
              </w:rPr>
              <w:t>扩建现有厂房作为储存仓库，并建设配套地面防渗、导流沟、事故应急池等，现场勘察时</w:t>
            </w:r>
            <w:r>
              <w:rPr>
                <w:rFonts w:hint="eastAsia"/>
                <w:color w:val="000000"/>
                <w:sz w:val="24"/>
              </w:rPr>
              <w:t>，</w:t>
            </w:r>
            <w:r>
              <w:rPr>
                <w:rFonts w:hint="eastAsia"/>
                <w:color w:val="000000"/>
                <w:sz w:val="24"/>
                <w:lang w:val="en-US" w:eastAsia="zh-CN"/>
              </w:rPr>
              <w:t>企业未开工建设，不涉及未批先建</w:t>
            </w:r>
            <w:r>
              <w:rPr>
                <w:rFonts w:hint="eastAsia"/>
                <w:color w:val="000000"/>
                <w:sz w:val="24"/>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sz w:val="24"/>
                <w:szCs w:val="24"/>
              </w:rPr>
            </w:pPr>
            <w:r>
              <w:rPr>
                <w:sz w:val="24"/>
                <w:szCs w:val="24"/>
              </w:rPr>
              <w:t>受</w:t>
            </w:r>
            <w:r>
              <w:rPr>
                <w:rFonts w:hint="eastAsia"/>
                <w:sz w:val="24"/>
              </w:rPr>
              <w:t>建设单位委托</w:t>
            </w:r>
            <w:r>
              <w:rPr>
                <w:sz w:val="24"/>
                <w:szCs w:val="24"/>
              </w:rPr>
              <w:t>，我公司承担了该项目的环境影响评价工作。在对项目厂址进行认真踏勘，详细调查周围环境状况以及收集相关资料的基础上，结合国家和河南省有关法律法规和技术规范的要求，本着</w:t>
            </w:r>
            <w:r>
              <w:rPr>
                <w:rFonts w:hint="eastAsia"/>
                <w:sz w:val="24"/>
                <w:szCs w:val="24"/>
                <w:lang w:eastAsia="zh-CN"/>
              </w:rPr>
              <w:t>“</w:t>
            </w:r>
            <w:r>
              <w:rPr>
                <w:sz w:val="24"/>
                <w:szCs w:val="24"/>
              </w:rPr>
              <w:t>科学、客观、公正、公开</w:t>
            </w:r>
            <w:r>
              <w:rPr>
                <w:rFonts w:hint="eastAsia"/>
                <w:sz w:val="24"/>
                <w:szCs w:val="24"/>
                <w:lang w:eastAsia="zh-CN"/>
              </w:rPr>
              <w:t>”</w:t>
            </w:r>
            <w:r>
              <w:rPr>
                <w:sz w:val="24"/>
                <w:szCs w:val="24"/>
              </w:rPr>
              <w:t>的原则，按照</w:t>
            </w:r>
            <w:r>
              <w:rPr>
                <w:rFonts w:hint="eastAsia"/>
                <w:sz w:val="24"/>
                <w:szCs w:val="24"/>
                <w:lang w:eastAsia="zh-CN"/>
              </w:rPr>
              <w:t>“</w:t>
            </w:r>
            <w:r>
              <w:rPr>
                <w:sz w:val="24"/>
                <w:szCs w:val="24"/>
              </w:rPr>
              <w:t>达标排放、总量控制</w:t>
            </w:r>
            <w:r>
              <w:rPr>
                <w:rFonts w:hint="eastAsia"/>
                <w:sz w:val="24"/>
                <w:szCs w:val="24"/>
                <w:lang w:eastAsia="zh-CN"/>
              </w:rPr>
              <w:t>”</w:t>
            </w:r>
            <w:r>
              <w:rPr>
                <w:sz w:val="24"/>
                <w:szCs w:val="24"/>
              </w:rPr>
              <w:t>的要求，编制完成了该项目的环境影响评价报告表。</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b/>
                <w:bCs/>
                <w:color w:val="000000"/>
                <w:sz w:val="24"/>
                <w:szCs w:val="24"/>
              </w:rPr>
            </w:pPr>
            <w:r>
              <w:rPr>
                <w:rFonts w:hint="eastAsia"/>
                <w:b/>
                <w:bCs/>
                <w:color w:val="000000"/>
                <w:sz w:val="24"/>
                <w:szCs w:val="24"/>
                <w:lang w:val="en-US" w:eastAsia="zh-CN"/>
              </w:rPr>
              <w:t>二、</w:t>
            </w:r>
            <w:r>
              <w:rPr>
                <w:b/>
                <w:bCs/>
                <w:color w:val="000000"/>
                <w:sz w:val="24"/>
                <w:szCs w:val="24"/>
              </w:rPr>
              <w:t>项</w:t>
            </w:r>
            <w:r>
              <w:rPr>
                <w:rFonts w:hint="eastAsia"/>
                <w:b/>
                <w:bCs/>
                <w:color w:val="000000"/>
                <w:sz w:val="24"/>
                <w:szCs w:val="24"/>
                <w:lang w:val="en-US" w:eastAsia="zh-CN"/>
              </w:rPr>
              <w:t>目选址及周边情况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本项目位于</w:t>
            </w:r>
            <w:r>
              <w:rPr>
                <w:rFonts w:hint="eastAsia"/>
                <w:color w:val="000000"/>
                <w:sz w:val="24"/>
                <w:szCs w:val="24"/>
                <w:lang w:eastAsia="zh-CN"/>
              </w:rPr>
              <w:t>新乡市动力电池专业园区西区陈堡村南700米路西，</w:t>
            </w:r>
            <w:r>
              <w:rPr>
                <w:rFonts w:hint="eastAsia"/>
                <w:color w:val="000000"/>
                <w:sz w:val="24"/>
                <w:szCs w:val="24"/>
                <w:lang w:val="en-US" w:eastAsia="zh-CN"/>
              </w:rPr>
              <w:t>东邻大块极星摩托配件厂，南邻新乡市豫峰厢式挂车车辆有限公司，西邻新乡市旭阳机械制造有限公司，北隔小路为新乡市隆昌机械有限公司，距离本项目最近敏感目标为北侧700m的陈堡村，周边环境情况见附图4。</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b/>
                <w:bCs/>
                <w:color w:val="000000"/>
                <w:sz w:val="24"/>
                <w:szCs w:val="24"/>
              </w:rPr>
            </w:pPr>
            <w:r>
              <w:rPr>
                <w:rFonts w:hint="eastAsia"/>
                <w:b/>
                <w:bCs/>
                <w:color w:val="000000"/>
                <w:sz w:val="24"/>
                <w:szCs w:val="24"/>
                <w:lang w:val="en-US" w:eastAsia="zh-CN"/>
              </w:rPr>
              <w:t>三、</w:t>
            </w:r>
            <w:r>
              <w:rPr>
                <w:b/>
                <w:bCs/>
                <w:color w:val="000000"/>
                <w:sz w:val="24"/>
                <w:szCs w:val="24"/>
              </w:rPr>
              <w:t>项</w:t>
            </w:r>
            <w:r>
              <w:rPr>
                <w:rFonts w:hint="eastAsia"/>
                <w:b/>
                <w:bCs/>
                <w:color w:val="000000"/>
                <w:sz w:val="24"/>
                <w:szCs w:val="24"/>
                <w:lang w:val="en-US" w:eastAsia="zh-CN"/>
              </w:rPr>
              <w:t>目建设规模及内容</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000000"/>
                <w:sz w:val="24"/>
                <w:szCs w:val="24"/>
                <w:lang w:val="en-US" w:eastAsia="zh-CN"/>
              </w:rPr>
            </w:pPr>
            <w:r>
              <w:rPr>
                <w:rFonts w:hint="eastAsia" w:ascii="Times New Roman" w:hAnsi="Times New Roman" w:eastAsia="宋体" w:cs="Times New Roman"/>
                <w:color w:val="000000"/>
                <w:sz w:val="24"/>
                <w:szCs w:val="24"/>
                <w:lang w:val="en-US" w:eastAsia="zh-CN"/>
              </w:rPr>
              <w:t>本项目拟建设</w:t>
            </w:r>
            <w:r>
              <w:rPr>
                <w:rFonts w:hint="eastAsia" w:cs="Times New Roman"/>
                <w:color w:val="000000"/>
                <w:sz w:val="24"/>
                <w:szCs w:val="24"/>
                <w:lang w:val="en-US" w:eastAsia="zh-CN"/>
              </w:rPr>
              <w:t>19</w:t>
            </w:r>
            <w:r>
              <w:rPr>
                <w:rFonts w:hint="eastAsia" w:ascii="Times New Roman" w:hAnsi="Times New Roman" w:eastAsia="宋体" w:cs="Times New Roman"/>
                <w:color w:val="000000"/>
                <w:sz w:val="24"/>
                <w:szCs w:val="24"/>
                <w:lang w:val="en-US" w:eastAsia="zh-CN"/>
              </w:rPr>
              <w:t>大类危险废物的中转贮存库，年可中转5000吨危险废物。本项目占地面积为2600m</w:t>
            </w:r>
            <w:r>
              <w:rPr>
                <w:rFonts w:hint="eastAsia" w:ascii="Times New Roman" w:hAnsi="Times New Roman" w:eastAsia="宋体" w:cs="Times New Roman"/>
                <w:color w:val="000000"/>
                <w:sz w:val="24"/>
                <w:szCs w:val="24"/>
                <w:vertAlign w:val="superscript"/>
                <w:lang w:val="en-US" w:eastAsia="zh-CN"/>
              </w:rPr>
              <w:t>2</w:t>
            </w:r>
            <w:r>
              <w:rPr>
                <w:rFonts w:hint="eastAsia" w:ascii="Times New Roman" w:hAnsi="Times New Roman" w:eastAsia="宋体" w:cs="Times New Roman"/>
                <w:color w:val="000000"/>
                <w:sz w:val="24"/>
                <w:szCs w:val="24"/>
                <w:lang w:val="en-US" w:eastAsia="zh-CN"/>
              </w:rPr>
              <w:t>，南侧为仓库、北侧为办公区，其中：仓库占地面积约为1</w:t>
            </w:r>
            <w:r>
              <w:rPr>
                <w:rFonts w:hint="eastAsia" w:cs="Times New Roman"/>
                <w:color w:val="000000"/>
                <w:sz w:val="24"/>
                <w:szCs w:val="24"/>
                <w:lang w:val="en-US" w:eastAsia="zh-CN"/>
              </w:rPr>
              <w:t>0</w:t>
            </w:r>
            <w:r>
              <w:rPr>
                <w:rFonts w:hint="eastAsia" w:ascii="Times New Roman" w:hAnsi="Times New Roman" w:eastAsia="宋体" w:cs="Times New Roman"/>
                <w:color w:val="000000"/>
                <w:sz w:val="24"/>
                <w:szCs w:val="24"/>
                <w:lang w:val="en-US" w:eastAsia="zh-CN"/>
              </w:rPr>
              <w:t>00m</w:t>
            </w:r>
            <w:r>
              <w:rPr>
                <w:rFonts w:hint="eastAsia" w:ascii="Times New Roman" w:hAnsi="Times New Roman" w:eastAsia="宋体" w:cs="Times New Roman"/>
                <w:color w:val="000000"/>
                <w:sz w:val="24"/>
                <w:szCs w:val="24"/>
                <w:vertAlign w:val="superscript"/>
                <w:lang w:val="en-US" w:eastAsia="zh-CN"/>
              </w:rPr>
              <w:t>2</w:t>
            </w:r>
            <w:r>
              <w:rPr>
                <w:rFonts w:hint="eastAsia" w:ascii="Times New Roman" w:hAnsi="Times New Roman" w:eastAsia="宋体" w:cs="Times New Roman"/>
                <w:color w:val="000000"/>
                <w:sz w:val="24"/>
                <w:szCs w:val="24"/>
                <w:lang w:val="en-US" w:eastAsia="zh-CN"/>
              </w:rPr>
              <w:t>，办公区占地面积约为200m</w:t>
            </w:r>
            <w:r>
              <w:rPr>
                <w:rFonts w:hint="eastAsia" w:ascii="Times New Roman" w:hAnsi="Times New Roman" w:eastAsia="宋体" w:cs="Times New Roman"/>
                <w:color w:val="000000"/>
                <w:sz w:val="24"/>
                <w:szCs w:val="24"/>
                <w:vertAlign w:val="superscript"/>
                <w:lang w:val="en-US" w:eastAsia="zh-CN"/>
              </w:rPr>
              <w:t>2</w:t>
            </w:r>
            <w:r>
              <w:rPr>
                <w:rFonts w:hint="eastAsia" w:ascii="Times New Roman" w:hAnsi="Times New Roman" w:eastAsia="宋体" w:cs="Times New Roman"/>
                <w:color w:val="000000"/>
                <w:sz w:val="24"/>
                <w:szCs w:val="24"/>
                <w:lang w:val="en-US" w:eastAsia="zh-CN"/>
              </w:rPr>
              <w:t>。本项目按危废类别采取分区存放方式，平面布置见附图</w:t>
            </w:r>
            <w:r>
              <w:rPr>
                <w:rFonts w:hint="eastAsia" w:cs="Times New Roman"/>
                <w:color w:val="000000"/>
                <w:sz w:val="24"/>
                <w:szCs w:val="24"/>
                <w:lang w:val="en-US" w:eastAsia="zh-CN"/>
              </w:rPr>
              <w:t>5</w:t>
            </w:r>
            <w:r>
              <w:rPr>
                <w:rFonts w:hint="eastAsia" w:ascii="Times New Roman" w:hAnsi="Times New Roman" w:eastAsia="宋体" w:cs="Times New Roman"/>
                <w:color w:val="00000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color w:val="000000"/>
                <w:sz w:val="24"/>
                <w:szCs w:val="24"/>
              </w:rPr>
            </w:pPr>
            <w:r>
              <w:rPr>
                <w:color w:val="000000"/>
                <w:sz w:val="24"/>
                <w:szCs w:val="24"/>
              </w:rPr>
              <w:t>本项目主要工程组成见</w:t>
            </w:r>
            <w:r>
              <w:rPr>
                <w:rFonts w:hint="eastAsia"/>
                <w:color w:val="000000"/>
                <w:sz w:val="24"/>
                <w:szCs w:val="24"/>
              </w:rPr>
              <w:t>下表</w:t>
            </w:r>
            <w:r>
              <w:rPr>
                <w:color w:val="000000"/>
                <w:sz w:val="24"/>
                <w:szCs w:val="24"/>
              </w:rPr>
              <w: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b/>
                <w:color w:val="000000"/>
                <w:sz w:val="24"/>
                <w:szCs w:val="24"/>
              </w:rPr>
            </w:pPr>
            <w:r>
              <w:rPr>
                <w:b/>
                <w:color w:val="000000"/>
                <w:sz w:val="24"/>
                <w:szCs w:val="24"/>
              </w:rPr>
              <w:t>表</w:t>
            </w:r>
            <w:r>
              <w:rPr>
                <w:rFonts w:hint="eastAsia"/>
                <w:b/>
                <w:color w:val="000000"/>
                <w:sz w:val="24"/>
                <w:szCs w:val="24"/>
                <w:lang w:val="en-US" w:eastAsia="zh-CN"/>
              </w:rPr>
              <w:t>2-1</w:t>
            </w:r>
            <w:r>
              <w:rPr>
                <w:rFonts w:hint="eastAsia"/>
                <w:b/>
                <w:color w:val="000000"/>
                <w:sz w:val="24"/>
                <w:szCs w:val="24"/>
              </w:rPr>
              <w:t xml:space="preserve">               </w:t>
            </w:r>
            <w:r>
              <w:rPr>
                <w:b/>
                <w:color w:val="000000"/>
                <w:sz w:val="24"/>
                <w:szCs w:val="24"/>
              </w:rPr>
              <w:t>本项目组成情况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114"/>
              <w:gridCol w:w="1114"/>
              <w:gridCol w:w="4307"/>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tblHeader/>
                <w:jc w:val="center"/>
              </w:trPr>
              <w:tc>
                <w:tcPr>
                  <w:tcW w:w="749" w:type="dxa"/>
                  <w:tcBorders>
                    <w:tl2br w:val="nil"/>
                    <w:tr2bl w:val="nil"/>
                  </w:tcBorders>
                  <w:shd w:val="clear" w:color="auto" w:fill="auto"/>
                  <w:vAlign w:val="center"/>
                </w:tcPr>
                <w:p>
                  <w:pPr>
                    <w:adjustRightInd w:val="0"/>
                    <w:snapToGrid w:val="0"/>
                    <w:jc w:val="center"/>
                    <w:rPr>
                      <w:rFonts w:eastAsiaTheme="minorEastAsia"/>
                      <w:b/>
                      <w:kern w:val="36"/>
                      <w:sz w:val="21"/>
                      <w:szCs w:val="21"/>
                    </w:rPr>
                  </w:pPr>
                  <w:r>
                    <w:rPr>
                      <w:rFonts w:hAnsiTheme="minorEastAsia" w:eastAsiaTheme="minorEastAsia"/>
                      <w:b/>
                      <w:kern w:val="36"/>
                      <w:sz w:val="21"/>
                      <w:szCs w:val="21"/>
                    </w:rPr>
                    <w:t>序号</w:t>
                  </w:r>
                </w:p>
              </w:tc>
              <w:tc>
                <w:tcPr>
                  <w:tcW w:w="1123" w:type="dxa"/>
                  <w:tcBorders>
                    <w:tl2br w:val="nil"/>
                    <w:tr2bl w:val="nil"/>
                  </w:tcBorders>
                  <w:shd w:val="clear" w:color="auto" w:fill="auto"/>
                  <w:vAlign w:val="center"/>
                </w:tcPr>
                <w:p>
                  <w:pPr>
                    <w:adjustRightInd w:val="0"/>
                    <w:snapToGrid w:val="0"/>
                    <w:jc w:val="center"/>
                    <w:rPr>
                      <w:rFonts w:eastAsiaTheme="minorEastAsia"/>
                      <w:b/>
                      <w:kern w:val="36"/>
                      <w:sz w:val="21"/>
                      <w:szCs w:val="21"/>
                    </w:rPr>
                  </w:pPr>
                  <w:r>
                    <w:rPr>
                      <w:rFonts w:hAnsiTheme="minorEastAsia" w:eastAsiaTheme="minorEastAsia"/>
                      <w:b/>
                      <w:kern w:val="36"/>
                      <w:sz w:val="21"/>
                      <w:szCs w:val="21"/>
                    </w:rPr>
                    <w:t>项目</w:t>
                  </w:r>
                </w:p>
              </w:tc>
              <w:tc>
                <w:tcPr>
                  <w:tcW w:w="1123" w:type="dxa"/>
                  <w:tcBorders>
                    <w:tl2br w:val="nil"/>
                    <w:tr2bl w:val="nil"/>
                  </w:tcBorders>
                  <w:shd w:val="clear" w:color="auto" w:fill="auto"/>
                  <w:vAlign w:val="center"/>
                </w:tcPr>
                <w:p>
                  <w:pPr>
                    <w:adjustRightInd w:val="0"/>
                    <w:snapToGrid w:val="0"/>
                    <w:jc w:val="center"/>
                    <w:rPr>
                      <w:rFonts w:eastAsiaTheme="minorEastAsia"/>
                      <w:b/>
                      <w:kern w:val="36"/>
                      <w:sz w:val="21"/>
                      <w:szCs w:val="21"/>
                    </w:rPr>
                  </w:pPr>
                  <w:r>
                    <w:rPr>
                      <w:rFonts w:hAnsiTheme="minorEastAsia" w:eastAsiaTheme="minorEastAsia"/>
                      <w:b/>
                      <w:kern w:val="36"/>
                      <w:sz w:val="21"/>
                      <w:szCs w:val="21"/>
                    </w:rPr>
                    <w:t>建设内容</w:t>
                  </w:r>
                </w:p>
              </w:tc>
              <w:tc>
                <w:tcPr>
                  <w:tcW w:w="4347" w:type="dxa"/>
                  <w:tcBorders>
                    <w:tl2br w:val="nil"/>
                    <w:tr2bl w:val="nil"/>
                  </w:tcBorders>
                  <w:shd w:val="clear" w:color="auto" w:fill="auto"/>
                  <w:vAlign w:val="center"/>
                </w:tcPr>
                <w:p>
                  <w:pPr>
                    <w:adjustRightInd w:val="0"/>
                    <w:snapToGrid w:val="0"/>
                    <w:jc w:val="center"/>
                    <w:rPr>
                      <w:rFonts w:eastAsiaTheme="minorEastAsia"/>
                      <w:b/>
                      <w:kern w:val="36"/>
                      <w:sz w:val="21"/>
                      <w:szCs w:val="21"/>
                    </w:rPr>
                  </w:pPr>
                  <w:r>
                    <w:rPr>
                      <w:rFonts w:hAnsiTheme="minorEastAsia" w:eastAsiaTheme="minorEastAsia"/>
                      <w:b/>
                      <w:kern w:val="36"/>
                      <w:sz w:val="21"/>
                      <w:szCs w:val="21"/>
                    </w:rPr>
                    <w:t>数量、规模或要求</w:t>
                  </w:r>
                </w:p>
              </w:tc>
              <w:tc>
                <w:tcPr>
                  <w:tcW w:w="1110" w:type="dxa"/>
                  <w:tcBorders>
                    <w:tl2br w:val="nil"/>
                    <w:tr2bl w:val="nil"/>
                  </w:tcBorders>
                  <w:vAlign w:val="center"/>
                </w:tcPr>
                <w:p>
                  <w:pPr>
                    <w:adjustRightInd w:val="0"/>
                    <w:snapToGrid w:val="0"/>
                    <w:jc w:val="center"/>
                    <w:rPr>
                      <w:rFonts w:eastAsiaTheme="minorEastAsia"/>
                      <w:b/>
                      <w:kern w:val="36"/>
                      <w:sz w:val="21"/>
                      <w:szCs w:val="21"/>
                    </w:rPr>
                  </w:pPr>
                  <w:r>
                    <w:rPr>
                      <w:rFonts w:hAnsiTheme="minorEastAsia" w:eastAsiaTheme="minorEastAsia"/>
                      <w:b/>
                      <w:kern w:val="36"/>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749"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eastAsiaTheme="minorEastAsia"/>
                      <w:kern w:val="36"/>
                      <w:sz w:val="21"/>
                      <w:szCs w:val="21"/>
                    </w:rPr>
                    <w:t>1</w:t>
                  </w:r>
                </w:p>
              </w:tc>
              <w:tc>
                <w:tcPr>
                  <w:tcW w:w="1123"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AnsiTheme="minorEastAsia" w:eastAsiaTheme="minorEastAsia"/>
                      <w:kern w:val="36"/>
                      <w:sz w:val="21"/>
                      <w:szCs w:val="21"/>
                    </w:rPr>
                    <w:t>主体工程</w:t>
                  </w:r>
                </w:p>
              </w:tc>
              <w:tc>
                <w:tcPr>
                  <w:tcW w:w="1123" w:type="dxa"/>
                  <w:tcBorders>
                    <w:tl2br w:val="nil"/>
                    <w:tr2bl w:val="nil"/>
                  </w:tcBorders>
                  <w:shd w:val="clear" w:color="auto" w:fill="auto"/>
                  <w:vAlign w:val="center"/>
                </w:tcPr>
                <w:p>
                  <w:pPr>
                    <w:adjustRightInd w:val="0"/>
                    <w:snapToGrid w:val="0"/>
                    <w:jc w:val="center"/>
                    <w:rPr>
                      <w:rFonts w:hint="default" w:eastAsiaTheme="minorEastAsia"/>
                      <w:kern w:val="36"/>
                      <w:sz w:val="21"/>
                      <w:szCs w:val="21"/>
                      <w:lang w:val="en-US" w:eastAsia="zh-CN"/>
                    </w:rPr>
                  </w:pPr>
                  <w:r>
                    <w:rPr>
                      <w:rFonts w:hint="eastAsia" w:hAnsiTheme="minorEastAsia" w:eastAsiaTheme="minorEastAsia"/>
                      <w:kern w:val="36"/>
                      <w:sz w:val="21"/>
                      <w:szCs w:val="21"/>
                      <w:lang w:val="en-US" w:eastAsia="zh-CN"/>
                    </w:rPr>
                    <w:t>危废库</w:t>
                  </w:r>
                </w:p>
              </w:tc>
              <w:tc>
                <w:tcPr>
                  <w:tcW w:w="4347" w:type="dxa"/>
                  <w:tcBorders>
                    <w:tl2br w:val="nil"/>
                    <w:tr2bl w:val="nil"/>
                  </w:tcBorders>
                  <w:shd w:val="clear" w:color="auto" w:fill="auto"/>
                  <w:vAlign w:val="center"/>
                </w:tcPr>
                <w:p>
                  <w:pPr>
                    <w:adjustRightInd w:val="0"/>
                    <w:snapToGrid w:val="0"/>
                    <w:jc w:val="center"/>
                    <w:rPr>
                      <w:rFonts w:eastAsiaTheme="minorEastAsia"/>
                      <w:color w:val="000000"/>
                      <w:kern w:val="36"/>
                      <w:sz w:val="21"/>
                      <w:szCs w:val="21"/>
                    </w:rPr>
                  </w:pPr>
                  <w:r>
                    <w:rPr>
                      <w:rFonts w:hint="eastAsia" w:eastAsiaTheme="minorEastAsia"/>
                      <w:sz w:val="21"/>
                      <w:szCs w:val="21"/>
                      <w:lang w:val="pt-BR"/>
                    </w:rPr>
                    <w:t>1</w:t>
                  </w:r>
                  <w:r>
                    <w:rPr>
                      <w:rFonts w:hAnsiTheme="minorEastAsia" w:eastAsiaTheme="minorEastAsia"/>
                      <w:sz w:val="21"/>
                      <w:szCs w:val="21"/>
                      <w:lang w:val="pt-BR"/>
                    </w:rPr>
                    <w:t>座，</w:t>
                  </w:r>
                  <w:r>
                    <w:rPr>
                      <w:rFonts w:hint="eastAsia" w:hAnsiTheme="minorEastAsia" w:eastAsiaTheme="minorEastAsia"/>
                      <w:sz w:val="21"/>
                      <w:szCs w:val="21"/>
                      <w:lang w:val="pt-BR"/>
                    </w:rPr>
                    <w:t>单层</w:t>
                  </w:r>
                  <w:r>
                    <w:rPr>
                      <w:rFonts w:hint="eastAsia" w:hAnsiTheme="minorEastAsia" w:eastAsiaTheme="minorEastAsia"/>
                      <w:sz w:val="21"/>
                      <w:szCs w:val="21"/>
                      <w:lang w:val="en-US" w:eastAsia="zh-CN"/>
                    </w:rPr>
                    <w:t>钢结构</w:t>
                  </w:r>
                  <w:r>
                    <w:rPr>
                      <w:rFonts w:hint="eastAsia" w:hAnsiTheme="minorEastAsia" w:eastAsiaTheme="minorEastAsia"/>
                      <w:sz w:val="21"/>
                      <w:szCs w:val="21"/>
                      <w:lang w:val="pt-BR"/>
                    </w:rPr>
                    <w:t>，</w:t>
                  </w:r>
                  <w:r>
                    <w:rPr>
                      <w:rFonts w:hAnsiTheme="minorEastAsia" w:eastAsiaTheme="minorEastAsia"/>
                      <w:color w:val="000000"/>
                      <w:kern w:val="36"/>
                      <w:sz w:val="21"/>
                      <w:szCs w:val="21"/>
                    </w:rPr>
                    <w:t>建筑面积</w:t>
                  </w:r>
                  <w:r>
                    <w:rPr>
                      <w:rFonts w:hint="eastAsia" w:eastAsiaTheme="minorEastAsia"/>
                      <w:color w:val="000000"/>
                      <w:kern w:val="36"/>
                      <w:sz w:val="21"/>
                      <w:szCs w:val="21"/>
                      <w:lang w:val="en-US" w:eastAsia="zh-CN"/>
                    </w:rPr>
                    <w:t>10</w:t>
                  </w:r>
                  <w:r>
                    <w:rPr>
                      <w:rFonts w:eastAsiaTheme="minorEastAsia"/>
                      <w:color w:val="000000"/>
                      <w:kern w:val="36"/>
                      <w:sz w:val="21"/>
                      <w:szCs w:val="21"/>
                    </w:rPr>
                    <w:t>00m</w:t>
                  </w:r>
                  <w:r>
                    <w:rPr>
                      <w:rFonts w:eastAsiaTheme="minorEastAsia"/>
                      <w:color w:val="000000"/>
                      <w:kern w:val="36"/>
                      <w:sz w:val="21"/>
                      <w:szCs w:val="21"/>
                      <w:vertAlign w:val="superscript"/>
                    </w:rPr>
                    <w:t>2</w:t>
                  </w:r>
                </w:p>
              </w:tc>
              <w:tc>
                <w:tcPr>
                  <w:tcW w:w="1110" w:type="dxa"/>
                  <w:tcBorders>
                    <w:tl2br w:val="nil"/>
                    <w:tr2bl w:val="nil"/>
                  </w:tcBorders>
                  <w:vAlign w:val="center"/>
                </w:tcPr>
                <w:p>
                  <w:pPr>
                    <w:adjustRightInd w:val="0"/>
                    <w:snapToGrid w:val="0"/>
                    <w:jc w:val="center"/>
                    <w:rPr>
                      <w:rFonts w:hint="eastAsia" w:eastAsiaTheme="minorEastAsia"/>
                      <w:sz w:val="21"/>
                      <w:szCs w:val="21"/>
                      <w:lang w:val="pt-BR" w:eastAsia="zh-CN"/>
                    </w:rPr>
                  </w:pPr>
                  <w:r>
                    <w:rPr>
                      <w:rFonts w:hint="eastAsia" w:hAnsiTheme="minorEastAsia" w:eastAsiaTheme="minorEastAsia"/>
                      <w:sz w:val="21"/>
                      <w:szCs w:val="21"/>
                      <w:lang w:val="en-US" w:eastAsia="zh-CN"/>
                    </w:rPr>
                    <w:t>扩建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749"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eastAsiaTheme="minorEastAsia"/>
                      <w:kern w:val="36"/>
                      <w:sz w:val="21"/>
                      <w:szCs w:val="21"/>
                    </w:rPr>
                    <w:t>2</w:t>
                  </w:r>
                </w:p>
              </w:tc>
              <w:tc>
                <w:tcPr>
                  <w:tcW w:w="1123"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int="eastAsia" w:hAnsiTheme="minorEastAsia" w:eastAsiaTheme="minorEastAsia"/>
                      <w:sz w:val="21"/>
                      <w:szCs w:val="21"/>
                      <w:lang w:val="pt-BR"/>
                    </w:rPr>
                    <w:t>辅助工程</w:t>
                  </w:r>
                </w:p>
              </w:tc>
              <w:tc>
                <w:tcPr>
                  <w:tcW w:w="1123"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AnsiTheme="minorEastAsia" w:eastAsiaTheme="minorEastAsia"/>
                      <w:kern w:val="36"/>
                      <w:sz w:val="21"/>
                      <w:szCs w:val="21"/>
                    </w:rPr>
                    <w:t>办公楼</w:t>
                  </w:r>
                </w:p>
              </w:tc>
              <w:tc>
                <w:tcPr>
                  <w:tcW w:w="4347" w:type="dxa"/>
                  <w:tcBorders>
                    <w:tl2br w:val="nil"/>
                    <w:tr2bl w:val="nil"/>
                  </w:tcBorders>
                  <w:shd w:val="clear" w:color="auto" w:fill="auto"/>
                  <w:vAlign w:val="center"/>
                </w:tcPr>
                <w:p>
                  <w:pPr>
                    <w:adjustRightInd w:val="0"/>
                    <w:snapToGrid w:val="0"/>
                    <w:jc w:val="center"/>
                    <w:rPr>
                      <w:rFonts w:eastAsiaTheme="minorEastAsia"/>
                      <w:sz w:val="21"/>
                      <w:szCs w:val="21"/>
                      <w:lang w:val="pt-BR"/>
                    </w:rPr>
                  </w:pPr>
                  <w:r>
                    <w:rPr>
                      <w:rFonts w:eastAsiaTheme="minorEastAsia"/>
                      <w:sz w:val="21"/>
                      <w:szCs w:val="21"/>
                      <w:lang w:val="pt-BR"/>
                    </w:rPr>
                    <w:t>1</w:t>
                  </w:r>
                  <w:r>
                    <w:rPr>
                      <w:rFonts w:hAnsiTheme="minorEastAsia" w:eastAsiaTheme="minorEastAsia"/>
                      <w:sz w:val="21"/>
                      <w:szCs w:val="21"/>
                      <w:lang w:val="pt-BR"/>
                    </w:rPr>
                    <w:t>座，</w:t>
                  </w:r>
                  <w:r>
                    <w:rPr>
                      <w:rFonts w:hint="eastAsia" w:hAnsiTheme="minorEastAsia" w:eastAsiaTheme="minorEastAsia"/>
                      <w:sz w:val="21"/>
                      <w:szCs w:val="21"/>
                      <w:lang w:val="pt-BR"/>
                    </w:rPr>
                    <w:t>单层，</w:t>
                  </w:r>
                  <w:r>
                    <w:rPr>
                      <w:rFonts w:hAnsiTheme="minorEastAsia" w:eastAsiaTheme="minorEastAsia"/>
                      <w:sz w:val="21"/>
                      <w:szCs w:val="21"/>
                      <w:lang w:val="pt-BR"/>
                    </w:rPr>
                    <w:t>建筑面积</w:t>
                  </w:r>
                  <w:r>
                    <w:rPr>
                      <w:rFonts w:hint="eastAsia" w:eastAsiaTheme="minorEastAsia"/>
                      <w:sz w:val="21"/>
                      <w:szCs w:val="21"/>
                      <w:lang w:val="en-US" w:eastAsia="zh-CN"/>
                    </w:rPr>
                    <w:t>20</w:t>
                  </w:r>
                  <w:r>
                    <w:rPr>
                      <w:rFonts w:hint="eastAsia" w:eastAsiaTheme="minorEastAsia"/>
                      <w:sz w:val="21"/>
                      <w:szCs w:val="21"/>
                      <w:lang w:val="pt-BR"/>
                    </w:rPr>
                    <w:t>0</w:t>
                  </w:r>
                  <w:r>
                    <w:rPr>
                      <w:rFonts w:eastAsiaTheme="minorEastAsia"/>
                      <w:color w:val="000000"/>
                      <w:kern w:val="36"/>
                      <w:sz w:val="21"/>
                      <w:szCs w:val="21"/>
                    </w:rPr>
                    <w:t>m</w:t>
                  </w:r>
                  <w:r>
                    <w:rPr>
                      <w:rFonts w:eastAsiaTheme="minorEastAsia"/>
                      <w:color w:val="000000"/>
                      <w:kern w:val="36"/>
                      <w:sz w:val="21"/>
                      <w:szCs w:val="21"/>
                      <w:vertAlign w:val="superscript"/>
                    </w:rPr>
                    <w:t>2</w:t>
                  </w:r>
                </w:p>
              </w:tc>
              <w:tc>
                <w:tcPr>
                  <w:tcW w:w="1110" w:type="dxa"/>
                  <w:tcBorders>
                    <w:tl2br w:val="nil"/>
                    <w:tr2bl w:val="nil"/>
                  </w:tcBorders>
                  <w:vAlign w:val="center"/>
                </w:tcPr>
                <w:p>
                  <w:pPr>
                    <w:adjustRightInd w:val="0"/>
                    <w:snapToGrid w:val="0"/>
                    <w:jc w:val="center"/>
                    <w:rPr>
                      <w:rFonts w:eastAsiaTheme="minorEastAsia"/>
                      <w:sz w:val="21"/>
                      <w:szCs w:val="21"/>
                      <w:lang w:val="pt-BR"/>
                    </w:rPr>
                  </w:pPr>
                  <w:r>
                    <w:rPr>
                      <w:rFonts w:hint="eastAsia" w:hAnsiTheme="minorEastAsia" w:eastAsiaTheme="minorEastAsia"/>
                      <w:sz w:val="21"/>
                      <w:szCs w:val="21"/>
                      <w:lang w:val="pt-BR"/>
                    </w:rPr>
                    <w:t>利用</w:t>
                  </w:r>
                  <w:r>
                    <w:rPr>
                      <w:rFonts w:hAnsiTheme="minorEastAsia" w:eastAsiaTheme="minorEastAsia"/>
                      <w:sz w:val="21"/>
                      <w:szCs w:val="21"/>
                      <w:lang w:val="pt-BR"/>
                    </w:rPr>
                    <w:t>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749" w:type="dxa"/>
                  <w:vMerge w:val="restart"/>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eastAsiaTheme="minorEastAsia"/>
                      <w:kern w:val="36"/>
                      <w:sz w:val="21"/>
                      <w:szCs w:val="21"/>
                    </w:rPr>
                    <w:t>3</w:t>
                  </w:r>
                </w:p>
              </w:tc>
              <w:tc>
                <w:tcPr>
                  <w:tcW w:w="1123" w:type="dxa"/>
                  <w:vMerge w:val="restart"/>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AnsiTheme="minorEastAsia" w:eastAsiaTheme="minorEastAsia"/>
                      <w:kern w:val="36"/>
                      <w:sz w:val="21"/>
                      <w:szCs w:val="21"/>
                    </w:rPr>
                    <w:t>公用工程</w:t>
                  </w:r>
                </w:p>
              </w:tc>
              <w:tc>
                <w:tcPr>
                  <w:tcW w:w="1123"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AnsiTheme="minorEastAsia" w:eastAsiaTheme="minorEastAsia"/>
                      <w:kern w:val="36"/>
                      <w:sz w:val="21"/>
                      <w:szCs w:val="21"/>
                    </w:rPr>
                    <w:t>供水</w:t>
                  </w:r>
                </w:p>
              </w:tc>
              <w:tc>
                <w:tcPr>
                  <w:tcW w:w="4347" w:type="dxa"/>
                  <w:tcBorders>
                    <w:tl2br w:val="nil"/>
                    <w:tr2bl w:val="nil"/>
                  </w:tcBorders>
                  <w:shd w:val="clear" w:color="auto" w:fill="auto"/>
                  <w:vAlign w:val="center"/>
                </w:tcPr>
                <w:p>
                  <w:pPr>
                    <w:adjustRightInd w:val="0"/>
                    <w:snapToGrid w:val="0"/>
                    <w:jc w:val="center"/>
                    <w:rPr>
                      <w:rFonts w:eastAsiaTheme="minorEastAsia"/>
                      <w:kern w:val="36"/>
                      <w:sz w:val="21"/>
                      <w:szCs w:val="21"/>
                      <w:highlight w:val="yellow"/>
                    </w:rPr>
                  </w:pPr>
                  <w:r>
                    <w:rPr>
                      <w:rFonts w:hAnsiTheme="minorEastAsia" w:eastAsiaTheme="minorEastAsia"/>
                      <w:kern w:val="36"/>
                      <w:sz w:val="21"/>
                      <w:szCs w:val="21"/>
                    </w:rPr>
                    <w:t>市政管网统一供水</w:t>
                  </w:r>
                </w:p>
              </w:tc>
              <w:tc>
                <w:tcPr>
                  <w:tcW w:w="1110" w:type="dxa"/>
                  <w:vMerge w:val="restart"/>
                  <w:tcBorders>
                    <w:tl2br w:val="nil"/>
                    <w:tr2bl w:val="nil"/>
                  </w:tcBorders>
                  <w:vAlign w:val="center"/>
                </w:tcPr>
                <w:p>
                  <w:pPr>
                    <w:adjustRightInd w:val="0"/>
                    <w:snapToGrid w:val="0"/>
                    <w:jc w:val="center"/>
                    <w:rPr>
                      <w:rFonts w:eastAsiaTheme="minorEastAsia"/>
                      <w:kern w:val="36"/>
                      <w:sz w:val="21"/>
                      <w:szCs w:val="21"/>
                    </w:rPr>
                  </w:pPr>
                  <w:r>
                    <w:rPr>
                      <w:rFonts w:eastAsiaTheme="minorEastAsia"/>
                      <w:kern w:val="36"/>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749"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AnsiTheme="minorEastAsia" w:eastAsiaTheme="minorEastAsia"/>
                      <w:kern w:val="36"/>
                      <w:sz w:val="21"/>
                      <w:szCs w:val="21"/>
                    </w:rPr>
                    <w:t>供电</w:t>
                  </w:r>
                </w:p>
              </w:tc>
              <w:tc>
                <w:tcPr>
                  <w:tcW w:w="4347" w:type="dxa"/>
                  <w:tcBorders>
                    <w:tl2br w:val="nil"/>
                    <w:tr2bl w:val="nil"/>
                  </w:tcBorders>
                  <w:shd w:val="clear" w:color="auto" w:fill="auto"/>
                  <w:vAlign w:val="center"/>
                </w:tcPr>
                <w:p>
                  <w:pPr>
                    <w:adjustRightInd w:val="0"/>
                    <w:snapToGrid w:val="0"/>
                    <w:jc w:val="center"/>
                    <w:rPr>
                      <w:rFonts w:eastAsiaTheme="minorEastAsia"/>
                      <w:kern w:val="36"/>
                      <w:sz w:val="21"/>
                      <w:szCs w:val="21"/>
                      <w:highlight w:val="yellow"/>
                    </w:rPr>
                  </w:pPr>
                  <w:r>
                    <w:rPr>
                      <w:rFonts w:hAnsiTheme="minorEastAsia" w:eastAsiaTheme="minorEastAsia"/>
                      <w:sz w:val="21"/>
                      <w:szCs w:val="21"/>
                    </w:rPr>
                    <w:t>由国家电网供给</w:t>
                  </w:r>
                </w:p>
              </w:tc>
              <w:tc>
                <w:tcPr>
                  <w:tcW w:w="1110" w:type="dxa"/>
                  <w:vMerge w:val="continue"/>
                  <w:tcBorders>
                    <w:tl2br w:val="nil"/>
                    <w:tr2bl w:val="nil"/>
                  </w:tcBorders>
                  <w:vAlign w:val="center"/>
                </w:tcPr>
                <w:p>
                  <w:pPr>
                    <w:adjustRightInd w:val="0"/>
                    <w:snapToGrid w:val="0"/>
                    <w:jc w:val="center"/>
                    <w:rPr>
                      <w:rFonts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2" w:hRule="atLeast"/>
                <w:jc w:val="center"/>
              </w:trPr>
              <w:tc>
                <w:tcPr>
                  <w:tcW w:w="749" w:type="dxa"/>
                  <w:vMerge w:val="restart"/>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int="eastAsia" w:eastAsiaTheme="minorEastAsia"/>
                      <w:kern w:val="36"/>
                      <w:sz w:val="21"/>
                      <w:szCs w:val="21"/>
                    </w:rPr>
                    <w:t>5</w:t>
                  </w:r>
                </w:p>
              </w:tc>
              <w:tc>
                <w:tcPr>
                  <w:tcW w:w="1123" w:type="dxa"/>
                  <w:vMerge w:val="restart"/>
                  <w:tcBorders>
                    <w:tl2br w:val="nil"/>
                    <w:tr2bl w:val="nil"/>
                  </w:tcBorders>
                  <w:shd w:val="clear" w:color="auto" w:fill="auto"/>
                  <w:vAlign w:val="center"/>
                </w:tcPr>
                <w:p>
                  <w:pPr>
                    <w:adjustRightInd w:val="0"/>
                    <w:snapToGrid w:val="0"/>
                    <w:jc w:val="center"/>
                    <w:rPr>
                      <w:rFonts w:eastAsiaTheme="minorEastAsia"/>
                      <w:color w:val="000000" w:themeColor="text1"/>
                      <w:kern w:val="36"/>
                      <w:sz w:val="21"/>
                      <w:szCs w:val="21"/>
                      <w14:textFill>
                        <w14:solidFill>
                          <w14:schemeClr w14:val="tx1"/>
                        </w14:solidFill>
                      </w14:textFill>
                    </w:rPr>
                  </w:pPr>
                  <w:r>
                    <w:rPr>
                      <w:rFonts w:hAnsiTheme="minorEastAsia" w:eastAsiaTheme="minorEastAsia"/>
                      <w:color w:val="000000" w:themeColor="text1"/>
                      <w:kern w:val="36"/>
                      <w:sz w:val="21"/>
                      <w:szCs w:val="21"/>
                      <w14:textFill>
                        <w14:solidFill>
                          <w14:schemeClr w14:val="tx1"/>
                        </w14:solidFill>
                      </w14:textFill>
                    </w:rPr>
                    <w:t>环保工程</w:t>
                  </w:r>
                </w:p>
              </w:tc>
              <w:tc>
                <w:tcPr>
                  <w:tcW w:w="1123" w:type="dxa"/>
                  <w:tcBorders>
                    <w:tl2br w:val="nil"/>
                    <w:tr2bl w:val="nil"/>
                  </w:tcBorders>
                  <w:shd w:val="clear" w:color="auto" w:fill="auto"/>
                  <w:vAlign w:val="center"/>
                </w:tcPr>
                <w:p>
                  <w:pPr>
                    <w:adjustRightInd w:val="0"/>
                    <w:snapToGrid w:val="0"/>
                    <w:jc w:val="center"/>
                    <w:rPr>
                      <w:rFonts w:ascii="Times New Roman" w:hAnsi="Times New Roman" w:cs="Times New Roman" w:eastAsiaTheme="minorEastAsia"/>
                      <w:color w:val="000000" w:themeColor="text1"/>
                      <w:kern w:val="36"/>
                      <w:sz w:val="21"/>
                      <w:szCs w:val="21"/>
                      <w:lang w:val="en-US" w:eastAsia="zh-CN" w:bidi="ar-SA"/>
                      <w14:textFill>
                        <w14:solidFill>
                          <w14:schemeClr w14:val="tx1"/>
                        </w14:solidFill>
                      </w14:textFill>
                    </w:rPr>
                  </w:pPr>
                  <w:r>
                    <w:rPr>
                      <w:rFonts w:hAnsiTheme="minorEastAsia" w:eastAsiaTheme="minorEastAsia"/>
                      <w:color w:val="000000" w:themeColor="text1"/>
                      <w:kern w:val="36"/>
                      <w:sz w:val="21"/>
                      <w:szCs w:val="21"/>
                      <w14:textFill>
                        <w14:solidFill>
                          <w14:schemeClr w14:val="tx1"/>
                        </w14:solidFill>
                      </w14:textFill>
                    </w:rPr>
                    <w:t>废气</w:t>
                  </w:r>
                  <w:r>
                    <w:rPr>
                      <w:rFonts w:hAnsiTheme="minorEastAsia" w:eastAsiaTheme="minorEastAsia"/>
                      <w:color w:val="000000" w:themeColor="text1"/>
                      <w:sz w:val="21"/>
                      <w:szCs w:val="21"/>
                      <w14:textFill>
                        <w14:solidFill>
                          <w14:schemeClr w14:val="tx1"/>
                        </w14:solidFill>
                      </w14:textFill>
                    </w:rPr>
                    <w:t>治理设施</w:t>
                  </w:r>
                </w:p>
              </w:tc>
              <w:tc>
                <w:tcPr>
                  <w:tcW w:w="4347" w:type="dxa"/>
                  <w:tcBorders>
                    <w:tl2br w:val="nil"/>
                    <w:tr2bl w:val="nil"/>
                  </w:tcBorders>
                  <w:shd w:val="clear" w:color="auto" w:fill="auto"/>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eastAsiaTheme="minorEastAsia"/>
                      <w:sz w:val="21"/>
                      <w:szCs w:val="21"/>
                    </w:rPr>
                    <w:t>负压集气+</w:t>
                  </w:r>
                  <w:r>
                    <w:rPr>
                      <w:rFonts w:hint="eastAsia" w:eastAsiaTheme="minorEastAsia"/>
                      <w:sz w:val="21"/>
                      <w:szCs w:val="21"/>
                      <w:lang w:val="en-US" w:eastAsia="zh-CN"/>
                    </w:rPr>
                    <w:t>碱液喷淋+除湿除雾</w:t>
                  </w:r>
                  <w:r>
                    <w:rPr>
                      <w:rFonts w:hint="eastAsia" w:eastAsiaTheme="minorEastAsia"/>
                      <w:sz w:val="21"/>
                      <w:szCs w:val="21"/>
                    </w:rPr>
                    <w:t>+活性炭吸附+15m高排气筒</w:t>
                  </w:r>
                </w:p>
              </w:tc>
              <w:tc>
                <w:tcPr>
                  <w:tcW w:w="1110" w:type="dxa"/>
                  <w:tcBorders>
                    <w:tl2br w:val="nil"/>
                    <w:tr2bl w:val="nil"/>
                  </w:tcBorders>
                  <w:vAlign w:val="center"/>
                </w:tcPr>
                <w:p>
                  <w:pPr>
                    <w:adjustRightInd w:val="0"/>
                    <w:snapToGrid w:val="0"/>
                    <w:jc w:val="center"/>
                    <w:rPr>
                      <w:rFonts w:ascii="Times New Roman" w:hAnsi="Times New Roman" w:cs="Times New Roman" w:eastAsiaTheme="minorEastAsia"/>
                      <w:color w:val="000000"/>
                      <w:kern w:val="2"/>
                      <w:sz w:val="21"/>
                      <w:szCs w:val="21"/>
                      <w:lang w:val="en-US" w:eastAsia="zh-CN" w:bidi="ar-SA"/>
                    </w:rPr>
                  </w:pPr>
                  <w:r>
                    <w:rPr>
                      <w:rFonts w:hint="eastAsia" w:hAnsiTheme="minorEastAsia" w:eastAsiaTheme="minorEastAsia"/>
                      <w:sz w:val="21"/>
                      <w:szCs w:val="21"/>
                      <w:lang w:val="pt-B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749"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tcBorders>
                    <w:tl2br w:val="nil"/>
                    <w:tr2bl w:val="nil"/>
                  </w:tcBorders>
                  <w:shd w:val="clear" w:color="auto" w:fill="auto"/>
                  <w:vAlign w:val="center"/>
                </w:tcPr>
                <w:p>
                  <w:pPr>
                    <w:adjustRightInd w:val="0"/>
                    <w:snapToGrid w:val="0"/>
                    <w:jc w:val="center"/>
                    <w:rPr>
                      <w:rFonts w:ascii="Times New Roman" w:hAnsi="Times New Roman" w:cs="Times New Roman" w:eastAsiaTheme="minorEastAsia"/>
                      <w:kern w:val="36"/>
                      <w:sz w:val="21"/>
                      <w:szCs w:val="21"/>
                      <w:lang w:val="en-US" w:eastAsia="zh-CN" w:bidi="ar-SA"/>
                    </w:rPr>
                  </w:pPr>
                  <w:r>
                    <w:rPr>
                      <w:rFonts w:hAnsiTheme="minorEastAsia" w:eastAsiaTheme="minorEastAsia"/>
                      <w:kern w:val="36"/>
                      <w:sz w:val="21"/>
                      <w:szCs w:val="21"/>
                    </w:rPr>
                    <w:t>废水</w:t>
                  </w:r>
                  <w:r>
                    <w:rPr>
                      <w:rFonts w:hAnsiTheme="minorEastAsia" w:eastAsiaTheme="minorEastAsia"/>
                      <w:color w:val="000000"/>
                      <w:sz w:val="21"/>
                      <w:szCs w:val="21"/>
                    </w:rPr>
                    <w:t>治理设施</w:t>
                  </w:r>
                </w:p>
              </w:tc>
              <w:tc>
                <w:tcPr>
                  <w:tcW w:w="4347" w:type="dxa"/>
                  <w:tcBorders>
                    <w:tl2br w:val="nil"/>
                    <w:tr2bl w:val="nil"/>
                  </w:tcBorders>
                  <w:shd w:val="clear" w:color="auto" w:fill="auto"/>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AnsiTheme="minorEastAsia" w:eastAsiaTheme="minorEastAsia"/>
                      <w:sz w:val="21"/>
                      <w:szCs w:val="21"/>
                    </w:rPr>
                    <w:t>生活污水前期排入化粪池处理后定期清运，待管网接通后，通入大块镇污水处理厂进一步处理。</w:t>
                  </w:r>
                </w:p>
              </w:tc>
              <w:tc>
                <w:tcPr>
                  <w:tcW w:w="1110" w:type="dxa"/>
                  <w:tcBorders>
                    <w:tl2br w:val="nil"/>
                    <w:tr2bl w:val="nil"/>
                  </w:tcBorders>
                  <w:vAlign w:val="center"/>
                </w:tcPr>
                <w:p>
                  <w:pPr>
                    <w:adjustRightInd w:val="0"/>
                    <w:snapToGrid w:val="0"/>
                    <w:jc w:val="center"/>
                    <w:rPr>
                      <w:rFonts w:ascii="Times New Roman" w:hAnsi="Times New Roman" w:cs="Times New Roman" w:eastAsiaTheme="minorEastAsia"/>
                      <w:kern w:val="2"/>
                      <w:sz w:val="21"/>
                      <w:szCs w:val="21"/>
                      <w:lang w:val="en-US" w:eastAsia="zh-CN" w:bidi="ar-SA"/>
                    </w:rPr>
                  </w:pPr>
                  <w:r>
                    <w:rPr>
                      <w:rFonts w:hint="eastAsia" w:hAnsiTheme="minorEastAsia" w:eastAsiaTheme="minorEastAsia"/>
                      <w:sz w:val="21"/>
                      <w:szCs w:val="21"/>
                      <w:lang w:val="pt-B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749"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tcBorders>
                    <w:tl2br w:val="nil"/>
                    <w:tr2bl w:val="nil"/>
                  </w:tcBorders>
                  <w:shd w:val="clear" w:color="auto" w:fill="auto"/>
                  <w:vAlign w:val="center"/>
                </w:tcPr>
                <w:p>
                  <w:pPr>
                    <w:adjustRightInd w:val="0"/>
                    <w:snapToGrid w:val="0"/>
                    <w:jc w:val="center"/>
                    <w:rPr>
                      <w:rFonts w:hint="default" w:hAnsiTheme="minorEastAsia" w:eastAsiaTheme="minorEastAsia"/>
                      <w:kern w:val="36"/>
                      <w:sz w:val="21"/>
                      <w:szCs w:val="21"/>
                      <w:lang w:val="en-US" w:eastAsia="zh-CN"/>
                    </w:rPr>
                  </w:pPr>
                  <w:r>
                    <w:rPr>
                      <w:rFonts w:hint="eastAsia" w:hAnsiTheme="minorEastAsia" w:eastAsiaTheme="minorEastAsia"/>
                      <w:kern w:val="36"/>
                      <w:sz w:val="21"/>
                      <w:szCs w:val="21"/>
                      <w:lang w:val="en-US" w:eastAsia="zh-CN"/>
                    </w:rPr>
                    <w:t>地下水及土壤防护措施</w:t>
                  </w:r>
                </w:p>
              </w:tc>
              <w:tc>
                <w:tcPr>
                  <w:tcW w:w="4347" w:type="dxa"/>
                  <w:tcBorders>
                    <w:tl2br w:val="nil"/>
                    <w:tr2bl w:val="nil"/>
                  </w:tcBorders>
                  <w:shd w:val="clear" w:color="auto" w:fill="auto"/>
                  <w:vAlign w:val="center"/>
                </w:tcPr>
                <w:p>
                  <w:pPr>
                    <w:adjustRightInd w:val="0"/>
                    <w:snapToGrid w:val="0"/>
                    <w:jc w:val="center"/>
                    <w:rPr>
                      <w:rFonts w:hint="eastAsia" w:hAnsiTheme="minorEastAsia" w:eastAsiaTheme="minorEastAsia"/>
                      <w:sz w:val="21"/>
                      <w:szCs w:val="21"/>
                      <w:lang w:eastAsia="zh-CN"/>
                    </w:rPr>
                  </w:pPr>
                  <w:r>
                    <w:rPr>
                      <w:rFonts w:hint="eastAsia" w:hAnsiTheme="minorEastAsia" w:eastAsiaTheme="minorEastAsia"/>
                      <w:sz w:val="21"/>
                      <w:szCs w:val="21"/>
                    </w:rPr>
                    <w:t>①地面和裙脚均为防渗、防腐铺装的硬化地面；且裙脚铺设附加卷材，防止水顺着裙脚下渗；</w:t>
                  </w:r>
                </w:p>
                <w:p>
                  <w:pPr>
                    <w:adjustRightInd w:val="0"/>
                    <w:snapToGrid w:val="0"/>
                    <w:jc w:val="center"/>
                    <w:rPr>
                      <w:rFonts w:hAnsiTheme="minorEastAsia" w:eastAsiaTheme="minorEastAsia"/>
                      <w:sz w:val="21"/>
                      <w:szCs w:val="21"/>
                    </w:rPr>
                  </w:pPr>
                  <w:r>
                    <w:rPr>
                      <w:rFonts w:hint="eastAsia" w:hAnsiTheme="minorEastAsia" w:eastAsiaTheme="minorEastAsia"/>
                      <w:sz w:val="21"/>
                      <w:szCs w:val="21"/>
                    </w:rPr>
                    <w:t>②建设导流槽和应急池；用于收集渗漏液体，导流槽和应急池采取防腐防渗铺装。</w:t>
                  </w:r>
                </w:p>
              </w:tc>
              <w:tc>
                <w:tcPr>
                  <w:tcW w:w="1110" w:type="dxa"/>
                  <w:tcBorders>
                    <w:tl2br w:val="nil"/>
                    <w:tr2bl w:val="nil"/>
                  </w:tcBorders>
                  <w:vAlign w:val="center"/>
                </w:tcPr>
                <w:p>
                  <w:pPr>
                    <w:adjustRightInd w:val="0"/>
                    <w:snapToGrid w:val="0"/>
                    <w:jc w:val="center"/>
                    <w:rPr>
                      <w:rFonts w:hint="eastAsia" w:hAnsiTheme="minorEastAsia" w:eastAsiaTheme="minorEastAsia"/>
                      <w:sz w:val="21"/>
                      <w:szCs w:val="21"/>
                      <w:lang w:val="pt-BR"/>
                    </w:rPr>
                  </w:pPr>
                  <w:r>
                    <w:rPr>
                      <w:rFonts w:hint="eastAsia" w:hAnsiTheme="minorEastAsia" w:eastAsiaTheme="minorEastAsia"/>
                      <w:sz w:val="21"/>
                      <w:szCs w:val="21"/>
                      <w:lang w:val="pt-B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4" w:hRule="atLeast"/>
                <w:jc w:val="center"/>
              </w:trPr>
              <w:tc>
                <w:tcPr>
                  <w:tcW w:w="749"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AnsiTheme="minorEastAsia" w:eastAsiaTheme="minorEastAsia"/>
                      <w:kern w:val="36"/>
                      <w:sz w:val="21"/>
                      <w:szCs w:val="21"/>
                    </w:rPr>
                    <w:t>固废</w:t>
                  </w:r>
                  <w:r>
                    <w:rPr>
                      <w:rFonts w:hAnsiTheme="minorEastAsia" w:eastAsiaTheme="minorEastAsia"/>
                      <w:color w:val="000000"/>
                      <w:sz w:val="21"/>
                      <w:szCs w:val="21"/>
                    </w:rPr>
                    <w:t>治理设施</w:t>
                  </w:r>
                </w:p>
              </w:tc>
              <w:tc>
                <w:tcPr>
                  <w:tcW w:w="4347"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int="default" w:ascii="Times New Roman" w:hAnsi="Times New Roman" w:eastAsia="宋体" w:cs="Times New Roman"/>
                      <w:bCs/>
                      <w:snapToGrid w:val="0"/>
                      <w:color w:val="auto"/>
                      <w:kern w:val="0"/>
                      <w:sz w:val="21"/>
                      <w:szCs w:val="21"/>
                      <w:lang w:val="en-US" w:eastAsia="zh-CN"/>
                    </w:rPr>
                    <w:t>设置垃圾箱，生活垃圾交由环卫部门统一收集处理</w:t>
                  </w:r>
                </w:p>
              </w:tc>
              <w:tc>
                <w:tcPr>
                  <w:tcW w:w="1110" w:type="dxa"/>
                  <w:tcBorders>
                    <w:tl2br w:val="nil"/>
                    <w:tr2bl w:val="nil"/>
                  </w:tcBorders>
                  <w:vAlign w:val="center"/>
                </w:tcPr>
                <w:p>
                  <w:pPr>
                    <w:adjustRightInd w:val="0"/>
                    <w:snapToGrid w:val="0"/>
                    <w:jc w:val="center"/>
                    <w:rPr>
                      <w:rFonts w:eastAsiaTheme="minorEastAsia"/>
                      <w:sz w:val="21"/>
                      <w:szCs w:val="21"/>
                    </w:rPr>
                  </w:pPr>
                  <w:r>
                    <w:rPr>
                      <w:rFonts w:hint="eastAsia" w:hAnsiTheme="minorEastAsia" w:eastAsiaTheme="minorEastAsia"/>
                      <w:sz w:val="21"/>
                      <w:szCs w:val="21"/>
                      <w:lang w:val="pt-B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jc w:val="center"/>
              </w:trPr>
              <w:tc>
                <w:tcPr>
                  <w:tcW w:w="749"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tcBorders>
                    <w:tl2br w:val="nil"/>
                    <w:tr2bl w:val="nil"/>
                  </w:tcBorders>
                  <w:shd w:val="clear" w:color="auto" w:fill="auto"/>
                  <w:vAlign w:val="center"/>
                </w:tcPr>
                <w:p>
                  <w:pPr>
                    <w:adjustRightInd w:val="0"/>
                    <w:snapToGrid w:val="0"/>
                    <w:jc w:val="center"/>
                    <w:rPr>
                      <w:rFonts w:hint="default" w:hAnsiTheme="minorEastAsia" w:eastAsiaTheme="minorEastAsia"/>
                      <w:kern w:val="36"/>
                      <w:sz w:val="21"/>
                      <w:szCs w:val="21"/>
                      <w:lang w:val="en-US" w:eastAsia="zh-CN"/>
                    </w:rPr>
                  </w:pPr>
                  <w:r>
                    <w:rPr>
                      <w:rFonts w:hint="eastAsia" w:hAnsiTheme="minorEastAsia" w:eastAsiaTheme="minorEastAsia"/>
                      <w:kern w:val="36"/>
                      <w:sz w:val="21"/>
                      <w:szCs w:val="21"/>
                      <w:lang w:val="en-US" w:eastAsia="zh-CN"/>
                    </w:rPr>
                    <w:t>危险废物</w:t>
                  </w:r>
                </w:p>
              </w:tc>
              <w:tc>
                <w:tcPr>
                  <w:tcW w:w="4347"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与本项目其他危废一同暂时贮存、委托处置</w:t>
                  </w:r>
                </w:p>
              </w:tc>
              <w:tc>
                <w:tcPr>
                  <w:tcW w:w="1110" w:type="dxa"/>
                  <w:tcBorders>
                    <w:tl2br w:val="nil"/>
                    <w:tr2bl w:val="nil"/>
                  </w:tcBorders>
                  <w:vAlign w:val="center"/>
                </w:tcPr>
                <w:p>
                  <w:pPr>
                    <w:adjustRightInd w:val="0"/>
                    <w:snapToGrid w:val="0"/>
                    <w:jc w:val="center"/>
                    <w:rPr>
                      <w:rFonts w:hint="eastAsia" w:hAnsiTheme="minorEastAsia" w:eastAsiaTheme="minorEastAsia"/>
                      <w:sz w:val="21"/>
                      <w:szCs w:val="21"/>
                      <w:lang w:val="pt-BR"/>
                    </w:rPr>
                  </w:pPr>
                  <w:r>
                    <w:rPr>
                      <w:rFonts w:hint="eastAsia" w:hAnsiTheme="minorEastAsia" w:eastAsiaTheme="minorEastAsia"/>
                      <w:sz w:val="21"/>
                      <w:szCs w:val="21"/>
                      <w:lang w:val="pt-BR"/>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02" w:hRule="atLeast"/>
                <w:jc w:val="center"/>
              </w:trPr>
              <w:tc>
                <w:tcPr>
                  <w:tcW w:w="749"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vMerge w:val="continue"/>
                  <w:tcBorders>
                    <w:tl2br w:val="nil"/>
                    <w:tr2bl w:val="nil"/>
                  </w:tcBorders>
                  <w:shd w:val="clear" w:color="auto" w:fill="auto"/>
                  <w:vAlign w:val="center"/>
                </w:tcPr>
                <w:p>
                  <w:pPr>
                    <w:adjustRightInd w:val="0"/>
                    <w:snapToGrid w:val="0"/>
                    <w:jc w:val="center"/>
                    <w:rPr>
                      <w:rFonts w:eastAsiaTheme="minorEastAsia"/>
                      <w:kern w:val="36"/>
                      <w:sz w:val="21"/>
                      <w:szCs w:val="21"/>
                    </w:rPr>
                  </w:pPr>
                </w:p>
              </w:tc>
              <w:tc>
                <w:tcPr>
                  <w:tcW w:w="1123" w:type="dxa"/>
                  <w:tcBorders>
                    <w:tl2br w:val="nil"/>
                    <w:tr2bl w:val="nil"/>
                  </w:tcBorders>
                  <w:shd w:val="clear" w:color="auto" w:fill="auto"/>
                  <w:vAlign w:val="center"/>
                </w:tcPr>
                <w:p>
                  <w:pPr>
                    <w:adjustRightInd w:val="0"/>
                    <w:snapToGrid w:val="0"/>
                    <w:jc w:val="center"/>
                    <w:rPr>
                      <w:rFonts w:eastAsiaTheme="minorEastAsia"/>
                      <w:kern w:val="36"/>
                      <w:sz w:val="21"/>
                      <w:szCs w:val="21"/>
                    </w:rPr>
                  </w:pPr>
                  <w:r>
                    <w:rPr>
                      <w:rFonts w:hAnsiTheme="minorEastAsia" w:eastAsiaTheme="minorEastAsia"/>
                      <w:kern w:val="36"/>
                      <w:sz w:val="21"/>
                      <w:szCs w:val="21"/>
                    </w:rPr>
                    <w:t>噪声</w:t>
                  </w:r>
                  <w:r>
                    <w:rPr>
                      <w:rFonts w:hAnsiTheme="minorEastAsia" w:eastAsiaTheme="minorEastAsia"/>
                      <w:color w:val="000000"/>
                      <w:sz w:val="21"/>
                      <w:szCs w:val="21"/>
                    </w:rPr>
                    <w:t>治理设施</w:t>
                  </w:r>
                </w:p>
              </w:tc>
              <w:tc>
                <w:tcPr>
                  <w:tcW w:w="5457" w:type="dxa"/>
                  <w:gridSpan w:val="2"/>
                  <w:tcBorders>
                    <w:tl2br w:val="nil"/>
                    <w:tr2bl w:val="nil"/>
                  </w:tcBorders>
                  <w:shd w:val="clear" w:color="auto" w:fill="auto"/>
                  <w:vAlign w:val="center"/>
                </w:tcPr>
                <w:p>
                  <w:pPr>
                    <w:adjustRightInd w:val="0"/>
                    <w:snapToGrid w:val="0"/>
                    <w:jc w:val="center"/>
                    <w:rPr>
                      <w:rFonts w:eastAsiaTheme="minorEastAsia"/>
                      <w:color w:val="000000"/>
                      <w:sz w:val="21"/>
                      <w:szCs w:val="21"/>
                    </w:rPr>
                  </w:pPr>
                  <w:r>
                    <w:rPr>
                      <w:rFonts w:hAnsiTheme="minorEastAsia" w:eastAsiaTheme="minorEastAsia"/>
                      <w:color w:val="000000"/>
                      <w:sz w:val="21"/>
                      <w:szCs w:val="21"/>
                    </w:rPr>
                    <w:t>厂房密闭隔音，距离衰减等措施</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2" w:firstLineChars="200"/>
              <w:jc w:val="left"/>
              <w:textAlignment w:val="auto"/>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四、危险废物收集范围及类别</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u w:val="none"/>
                <w:lang w:val="en-US" w:eastAsia="zh-CN"/>
              </w:rPr>
            </w:pPr>
            <w:r>
              <w:rPr>
                <w:rFonts w:hint="eastAsia" w:ascii="Times New Roman" w:hAnsi="Times New Roman" w:eastAsia="宋体" w:cs="Times New Roman"/>
                <w:color w:val="000000"/>
                <w:sz w:val="24"/>
                <w:szCs w:val="24"/>
                <w:lang w:val="en-US" w:eastAsia="zh-CN"/>
              </w:rPr>
              <w:t>项目</w:t>
            </w:r>
            <w:r>
              <w:rPr>
                <w:rFonts w:hint="default" w:ascii="Times New Roman" w:hAnsi="Times New Roman" w:eastAsia="宋体" w:cs="Times New Roman"/>
                <w:b w:val="0"/>
                <w:bCs w:val="0"/>
                <w:color w:val="auto"/>
                <w:sz w:val="24"/>
                <w:szCs w:val="24"/>
                <w:u w:val="none"/>
                <w:lang w:val="en-US" w:eastAsia="zh-CN"/>
              </w:rPr>
              <w:t>主要对新乡</w:t>
            </w:r>
            <w:r>
              <w:rPr>
                <w:rFonts w:hint="eastAsia" w:ascii="Times New Roman" w:hAnsi="Times New Roman" w:eastAsia="宋体" w:cs="Times New Roman"/>
                <w:b w:val="0"/>
                <w:bCs w:val="0"/>
                <w:color w:val="auto"/>
                <w:sz w:val="24"/>
                <w:szCs w:val="24"/>
                <w:u w:val="none"/>
                <w:lang w:val="en-US" w:eastAsia="zh-CN"/>
              </w:rPr>
              <w:t>市凤泉区</w:t>
            </w:r>
            <w:r>
              <w:rPr>
                <w:rFonts w:hint="default" w:ascii="Times New Roman" w:hAnsi="Times New Roman" w:eastAsia="宋体" w:cs="Times New Roman"/>
                <w:b w:val="0"/>
                <w:bCs w:val="0"/>
                <w:color w:val="auto"/>
                <w:sz w:val="24"/>
                <w:szCs w:val="24"/>
                <w:u w:val="none"/>
                <w:lang w:val="en-US" w:eastAsia="zh-CN"/>
              </w:rPr>
              <w:t>中小型企业产生的危险废物进行收集、暂存，采用汽运方式直接将收集危险废物运输至厂区，年收集贮存工业危险废物</w:t>
            </w:r>
            <w:r>
              <w:rPr>
                <w:rFonts w:hint="eastAsia" w:ascii="Times New Roman" w:hAnsi="Times New Roman" w:eastAsia="宋体" w:cs="Times New Roman"/>
                <w:b w:val="0"/>
                <w:bCs w:val="0"/>
                <w:color w:val="auto"/>
                <w:sz w:val="24"/>
                <w:szCs w:val="24"/>
                <w:u w:val="none"/>
                <w:lang w:val="en-US" w:eastAsia="zh-CN"/>
              </w:rPr>
              <w:t>5</w:t>
            </w:r>
            <w:r>
              <w:rPr>
                <w:rFonts w:hint="default" w:ascii="Times New Roman" w:hAnsi="Times New Roman" w:eastAsia="宋体" w:cs="Times New Roman"/>
                <w:b w:val="0"/>
                <w:bCs w:val="0"/>
                <w:color w:val="auto"/>
                <w:sz w:val="24"/>
                <w:szCs w:val="24"/>
                <w:u w:val="none"/>
                <w:lang w:val="en-US" w:eastAsia="zh-CN"/>
              </w:rPr>
              <w:t>000</w:t>
            </w:r>
            <w:r>
              <w:rPr>
                <w:rFonts w:hint="eastAsia" w:ascii="Times New Roman" w:hAnsi="Times New Roman" w:eastAsia="宋体" w:cs="Times New Roman"/>
                <w:b w:val="0"/>
                <w:bCs w:val="0"/>
                <w:color w:val="auto"/>
                <w:sz w:val="24"/>
                <w:szCs w:val="24"/>
                <w:u w:val="none"/>
                <w:lang w:val="en-US" w:eastAsia="zh-CN"/>
              </w:rPr>
              <w:t>吨</w:t>
            </w:r>
            <w:r>
              <w:rPr>
                <w:rFonts w:hint="default" w:ascii="Times New Roman" w:hAnsi="Times New Roman" w:eastAsia="宋体" w:cs="Times New Roman"/>
                <w:b w:val="0"/>
                <w:bCs w:val="0"/>
                <w:color w:val="auto"/>
                <w:sz w:val="24"/>
                <w:szCs w:val="24"/>
                <w:u w:val="none"/>
                <w:lang w:val="en-US" w:eastAsia="zh-CN"/>
              </w:rPr>
              <w:t>，设计最大储存量为</w:t>
            </w:r>
            <w:r>
              <w:rPr>
                <w:rFonts w:hint="eastAsia" w:ascii="Times New Roman" w:hAnsi="Times New Roman" w:eastAsia="宋体" w:cs="Times New Roman"/>
                <w:b w:val="0"/>
                <w:bCs w:val="0"/>
                <w:color w:val="auto"/>
                <w:sz w:val="24"/>
                <w:szCs w:val="24"/>
                <w:u w:val="none"/>
                <w:lang w:val="en-US" w:eastAsia="zh-CN"/>
              </w:rPr>
              <w:t>25</w:t>
            </w:r>
            <w:r>
              <w:rPr>
                <w:rFonts w:hint="default" w:ascii="Times New Roman" w:hAnsi="Times New Roman" w:eastAsia="宋体" w:cs="Times New Roman"/>
                <w:b w:val="0"/>
                <w:bCs w:val="0"/>
                <w:color w:val="auto"/>
                <w:sz w:val="24"/>
                <w:szCs w:val="24"/>
                <w:u w:val="none"/>
                <w:lang w:val="en-US" w:eastAsia="zh-CN"/>
              </w:rPr>
              <w:t>0吨，转运周期为15天。项目主要收集、贮存的危险废物类别包括：HW02医药废物、HW03废药物、药品、HW04农药废物、HW06废有机溶剂与含有有机溶剂废物、HW08废矿物油与含矿物油废物、HW09油/水、烃/水混合物或乳化液、HW11精（蒸）馏残渣、HW12HW染料、涂料废物、HW13有机树脂类废物、HW16感光材料废物、HW17表面处理废物、HW18焚烧处置残渣</w:t>
            </w:r>
            <w:r>
              <w:rPr>
                <w:rFonts w:hint="eastAsia" w:ascii="Times New Roman" w:hAnsi="Times New Roman" w:eastAsia="宋体" w:cs="Times New Roman"/>
                <w:b w:val="0"/>
                <w:bCs w:val="0"/>
                <w:color w:val="auto"/>
                <w:sz w:val="24"/>
                <w:szCs w:val="24"/>
                <w:u w:val="none"/>
                <w:lang w:val="en-US" w:eastAsia="zh-CN"/>
              </w:rPr>
              <w:t>、</w:t>
            </w:r>
            <w:r>
              <w:rPr>
                <w:rFonts w:hint="default" w:ascii="Times New Roman" w:hAnsi="Times New Roman" w:eastAsia="宋体" w:cs="Times New Roman"/>
                <w:b w:val="0"/>
                <w:bCs w:val="0"/>
                <w:color w:val="auto"/>
                <w:sz w:val="24"/>
                <w:szCs w:val="24"/>
                <w:u w:val="none"/>
                <w:lang w:val="en-US" w:eastAsia="zh-CN"/>
              </w:rPr>
              <w:t>HW29含汞废物、HW34废酸、HW35废碱、HW36石棉废物、HW37有机磷化合物废物、HW49其他废物、HW50废催化剂，不涉及医疗废物和放射性危险废物的收运暂存，根据《国家危险废物名录》（2021年版），项目危险废物暂存方案详见表</w:t>
            </w:r>
            <w:r>
              <w:rPr>
                <w:rFonts w:hint="eastAsia" w:ascii="Times New Roman" w:hAnsi="Times New Roman" w:eastAsia="宋体" w:cs="Times New Roman"/>
                <w:b w:val="0"/>
                <w:bCs w:val="0"/>
                <w:color w:val="auto"/>
                <w:sz w:val="24"/>
                <w:szCs w:val="24"/>
                <w:u w:val="none"/>
                <w:lang w:val="en-US" w:eastAsia="zh-CN"/>
              </w:rPr>
              <w:t>2-2</w:t>
            </w:r>
            <w:r>
              <w:rPr>
                <w:rFonts w:hint="default" w:ascii="Times New Roman" w:hAnsi="Times New Roman" w:eastAsia="宋体" w:cs="Times New Roman"/>
                <w:b w:val="0"/>
                <w:bCs w:val="0"/>
                <w:color w:val="auto"/>
                <w:sz w:val="24"/>
                <w:szCs w:val="24"/>
                <w:u w:val="none"/>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color w:val="000000"/>
                <w:sz w:val="24"/>
                <w:szCs w:val="24"/>
                <w:lang w:val="en-US" w:eastAsia="zh-CN"/>
              </w:rPr>
            </w:pPr>
            <w:r>
              <w:rPr>
                <w:rFonts w:hint="eastAsia" w:ascii="Times New Roman" w:hAnsi="Times New Roman" w:eastAsia="宋体" w:cs="Times New Roman"/>
                <w:b/>
                <w:color w:val="000000"/>
                <w:sz w:val="24"/>
                <w:szCs w:val="24"/>
                <w:lang w:val="en-US" w:eastAsia="zh-CN"/>
              </w:rPr>
              <w:t xml:space="preserve">表2-2    </w:t>
            </w:r>
            <w:r>
              <w:rPr>
                <w:rFonts w:hint="default" w:ascii="Times New Roman" w:hAnsi="Times New Roman" w:eastAsia="宋体" w:cs="Times New Roman"/>
                <w:b/>
                <w:color w:val="000000"/>
                <w:sz w:val="24"/>
                <w:szCs w:val="24"/>
                <w:lang w:val="en-US" w:eastAsia="zh-CN"/>
              </w:rPr>
              <w:t>危险废物暂存方案一览表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2331"/>
              <w:gridCol w:w="1683"/>
              <w:gridCol w:w="1936"/>
              <w:gridCol w:w="921"/>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序号</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废物类别</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状态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贮存方式</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最大储存量（t）</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年周转量（t）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HW02医药废物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半固态、固态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2</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HW03废药物、药品</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3</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HW04农药废物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4</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HW06废有机溶剂与含有机溶剂废物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半固态、固态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5</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HW08废矿物油与含矿物油废物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液态/半固态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6</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HW09油/水、烃/水混合物或乳化液</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液态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7</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HW11精（蒸）馏残渣</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液态/半固态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8</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HW12染料、涂料废物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液态/固态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9</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HW13有机树脂类废物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半固态、固态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10</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HW16感光材料废物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液态/固态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11</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HW17表面处理废物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液态/固态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15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12</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HW18焚烧处置残渣</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10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13</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cs="Times New Roman"/>
                      <w:bCs/>
                      <w:snapToGrid w:val="0"/>
                      <w:color w:val="auto"/>
                      <w:kern w:val="0"/>
                      <w:sz w:val="21"/>
                      <w:szCs w:val="21"/>
                      <w:lang w:val="en-US" w:eastAsia="zh-CN"/>
                    </w:rPr>
                    <w:t>HW29含汞废物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14</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HW34废酸</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液态/固态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15</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HW35废碱</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液态/固态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16</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HW36石棉废物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17</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HW37有机磷化合物废物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18</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HW49其他废物</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液态/固态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桶装、</w:t>
                  </w: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30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19</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HW50废催化剂</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固态</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eastAsia" w:ascii="Times New Roman" w:hAnsi="Times New Roman" w:eastAsia="宋体" w:cs="Times New Roman"/>
                      <w:bCs/>
                      <w:snapToGrid w:val="0"/>
                      <w:color w:val="auto"/>
                      <w:kern w:val="0"/>
                      <w:sz w:val="21"/>
                      <w:szCs w:val="21"/>
                      <w:lang w:val="en-US" w:eastAsia="zh-CN"/>
                    </w:rPr>
                    <w:t>密闭</w:t>
                  </w:r>
                  <w:r>
                    <w:rPr>
                      <w:rFonts w:hint="default" w:ascii="Times New Roman" w:hAnsi="Times New Roman" w:eastAsia="宋体" w:cs="Times New Roman"/>
                      <w:bCs/>
                      <w:snapToGrid w:val="0"/>
                      <w:color w:val="auto"/>
                      <w:kern w:val="0"/>
                      <w:sz w:val="21"/>
                      <w:szCs w:val="21"/>
                      <w:lang w:val="en-US" w:eastAsia="zh-CN"/>
                    </w:rPr>
                    <w:t>袋装</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5</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20</w:t>
                  </w:r>
                </w:p>
              </w:tc>
              <w:tc>
                <w:tcPr>
                  <w:tcW w:w="23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合计</w:t>
                  </w:r>
                </w:p>
              </w:tc>
              <w:tc>
                <w:tcPr>
                  <w:tcW w:w="16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w:t>
                  </w:r>
                </w:p>
              </w:tc>
              <w:tc>
                <w:tcPr>
                  <w:tcW w:w="19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w:t>
                  </w:r>
                </w:p>
              </w:tc>
              <w:tc>
                <w:tcPr>
                  <w:tcW w:w="92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250</w:t>
                  </w:r>
                </w:p>
              </w:tc>
              <w:tc>
                <w:tcPr>
                  <w:tcW w:w="8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5000</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rFonts w:eastAsiaTheme="minorEastAsia"/>
                <w:b/>
                <w:bCs/>
                <w:color w:val="000000"/>
                <w:sz w:val="24"/>
                <w:szCs w:val="24"/>
              </w:rPr>
            </w:pPr>
            <w:r>
              <w:rPr>
                <w:rFonts w:hint="eastAsia" w:hAnsiTheme="minorEastAsia" w:eastAsiaTheme="minorEastAsia"/>
                <w:b/>
                <w:bCs/>
                <w:color w:val="000000"/>
                <w:sz w:val="24"/>
                <w:szCs w:val="24"/>
                <w:lang w:val="en-US" w:eastAsia="zh-CN"/>
              </w:rPr>
              <w:t>五、</w:t>
            </w:r>
            <w:r>
              <w:rPr>
                <w:rFonts w:hAnsiTheme="minorEastAsia" w:eastAsiaTheme="minorEastAsia"/>
                <w:b/>
                <w:bCs/>
                <w:color w:val="000000"/>
                <w:sz w:val="24"/>
                <w:szCs w:val="24"/>
              </w:rPr>
              <w:t>本项目主要原辅材料消耗量</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本项目为危险废物收集、贮存，收集时各产废企业已按照要求包装危险废物，主要包装容器及资源能源消耗情况见下表。</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ascii="Times New Roman" w:hAnsi="Times New Roman" w:eastAsia="宋体" w:cs="Times New Roman"/>
                <w:b/>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lang w:val="en-US" w:eastAsia="zh-CN"/>
              </w:rPr>
              <w:t xml:space="preserve">表2-3      </w:t>
            </w:r>
            <w:r>
              <w:rPr>
                <w:rFonts w:hint="default" w:ascii="Times New Roman" w:hAnsi="Times New Roman" w:eastAsia="宋体" w:cs="Times New Roman"/>
                <w:b/>
                <w:color w:val="000000"/>
                <w:sz w:val="24"/>
                <w:szCs w:val="24"/>
              </w:rPr>
              <w:t>项目主要原辅料及能源消耗一览表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800"/>
              <w:gridCol w:w="1808"/>
              <w:gridCol w:w="1425"/>
              <w:gridCol w:w="1170"/>
              <w:gridCol w:w="2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序号</w:t>
                  </w:r>
                </w:p>
              </w:tc>
              <w:tc>
                <w:tcPr>
                  <w:tcW w:w="2850"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名称</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规格</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年消耗量</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w:t>
                  </w:r>
                </w:p>
              </w:tc>
              <w:tc>
                <w:tcPr>
                  <w:tcW w:w="86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包装容器</w:t>
                  </w: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吨桶</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1000L</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w:t>
                  </w:r>
                  <w:r>
                    <w:rPr>
                      <w:rFonts w:hint="default" w:ascii="Times New Roman" w:hAnsi="Times New Roman" w:eastAsia="宋体" w:cs="Times New Roman"/>
                      <w:bCs/>
                      <w:snapToGrid w:val="0"/>
                      <w:color w:val="auto"/>
                      <w:kern w:val="0"/>
                      <w:sz w:val="21"/>
                      <w:szCs w:val="21"/>
                      <w:lang w:val="en-US" w:eastAsia="zh-CN"/>
                    </w:rPr>
                    <w:t>000个</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外购，储存液态废物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2</w:t>
                  </w:r>
                </w:p>
              </w:tc>
              <w:tc>
                <w:tcPr>
                  <w:tcW w:w="8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覆膜吨袋</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900mm*900mm*1100mm</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1000</w:t>
                  </w:r>
                  <w:r>
                    <w:rPr>
                      <w:rFonts w:hint="default" w:ascii="Times New Roman" w:hAnsi="Times New Roman" w:eastAsia="宋体" w:cs="Times New Roman"/>
                      <w:bCs/>
                      <w:snapToGrid w:val="0"/>
                      <w:color w:val="auto"/>
                      <w:kern w:val="0"/>
                      <w:sz w:val="21"/>
                      <w:szCs w:val="21"/>
                      <w:lang w:val="en-US" w:eastAsia="zh-CN"/>
                    </w:rPr>
                    <w:t>个</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外购，储存固体废物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3</w:t>
                  </w:r>
                </w:p>
              </w:tc>
              <w:tc>
                <w:tcPr>
                  <w:tcW w:w="8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200L卡箍圆铁桶</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200L</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1000</w:t>
                  </w:r>
                  <w:r>
                    <w:rPr>
                      <w:rFonts w:hint="default" w:ascii="Times New Roman" w:hAnsi="Times New Roman" w:eastAsia="宋体" w:cs="Times New Roman"/>
                      <w:bCs/>
                      <w:snapToGrid w:val="0"/>
                      <w:color w:val="auto"/>
                      <w:kern w:val="0"/>
                      <w:sz w:val="21"/>
                      <w:szCs w:val="21"/>
                      <w:lang w:val="en-CA" w:eastAsia="zh-CN"/>
                    </w:rPr>
                    <w:t>个</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外购，储存半固态废物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4</w:t>
                  </w:r>
                </w:p>
              </w:tc>
              <w:tc>
                <w:tcPr>
                  <w:tcW w:w="8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200L带塞圆铁桶</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200L</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1000</w:t>
                  </w:r>
                  <w:r>
                    <w:rPr>
                      <w:rFonts w:hint="default" w:ascii="Times New Roman" w:hAnsi="Times New Roman" w:eastAsia="宋体" w:cs="Times New Roman"/>
                      <w:bCs/>
                      <w:snapToGrid w:val="0"/>
                      <w:color w:val="auto"/>
                      <w:kern w:val="0"/>
                      <w:sz w:val="21"/>
                      <w:szCs w:val="21"/>
                      <w:lang w:val="en-CA" w:eastAsia="zh-CN"/>
                    </w:rPr>
                    <w:t>个</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外购，储存液态废物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5</w:t>
                  </w:r>
                </w:p>
              </w:tc>
              <w:tc>
                <w:tcPr>
                  <w:tcW w:w="8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200L卡箍圆塑料桶</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200L</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1000</w:t>
                  </w:r>
                  <w:r>
                    <w:rPr>
                      <w:rFonts w:hint="default" w:ascii="Times New Roman" w:hAnsi="Times New Roman" w:eastAsia="宋体" w:cs="Times New Roman"/>
                      <w:bCs/>
                      <w:snapToGrid w:val="0"/>
                      <w:color w:val="auto"/>
                      <w:kern w:val="0"/>
                      <w:sz w:val="21"/>
                      <w:szCs w:val="21"/>
                      <w:lang w:val="en-CA" w:eastAsia="zh-CN"/>
                    </w:rPr>
                    <w:t>个</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外购，储存半固态废物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6</w:t>
                  </w:r>
                </w:p>
              </w:tc>
              <w:tc>
                <w:tcPr>
                  <w:tcW w:w="8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200L带塞圆塑料桶</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200L</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1000</w:t>
                  </w:r>
                  <w:r>
                    <w:rPr>
                      <w:rFonts w:hint="default" w:ascii="Times New Roman" w:hAnsi="Times New Roman" w:eastAsia="宋体" w:cs="Times New Roman"/>
                      <w:bCs/>
                      <w:snapToGrid w:val="0"/>
                      <w:color w:val="auto"/>
                      <w:kern w:val="0"/>
                      <w:sz w:val="21"/>
                      <w:szCs w:val="21"/>
                      <w:lang w:val="en-CA" w:eastAsia="zh-CN"/>
                    </w:rPr>
                    <w:t>个</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外购，储存液态废物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7</w:t>
                  </w:r>
                </w:p>
              </w:tc>
              <w:tc>
                <w:tcPr>
                  <w:tcW w:w="8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25L、50L塑料桶</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CA" w:eastAsia="zh-CN"/>
                    </w:rPr>
                    <w:t>25L/50L</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1000</w:t>
                  </w:r>
                  <w:r>
                    <w:rPr>
                      <w:rFonts w:hint="default" w:ascii="Times New Roman" w:hAnsi="Times New Roman" w:eastAsia="宋体" w:cs="Times New Roman"/>
                      <w:bCs/>
                      <w:snapToGrid w:val="0"/>
                      <w:color w:val="auto"/>
                      <w:kern w:val="0"/>
                      <w:sz w:val="21"/>
                      <w:szCs w:val="21"/>
                      <w:lang w:val="en-CA" w:eastAsia="zh-CN"/>
                    </w:rPr>
                    <w:t>个</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外购，储存液态废物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8</w:t>
                  </w:r>
                </w:p>
              </w:tc>
              <w:tc>
                <w:tcPr>
                  <w:tcW w:w="8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覆膜包装袋</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25kg</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1000</w:t>
                  </w:r>
                  <w:r>
                    <w:rPr>
                      <w:rFonts w:hint="default" w:ascii="Times New Roman" w:hAnsi="Times New Roman" w:eastAsia="宋体" w:cs="Times New Roman"/>
                      <w:bCs/>
                      <w:snapToGrid w:val="0"/>
                      <w:color w:val="auto"/>
                      <w:kern w:val="0"/>
                      <w:sz w:val="21"/>
                      <w:szCs w:val="21"/>
                      <w:lang w:val="en-CA" w:eastAsia="zh-CN"/>
                    </w:rPr>
                    <w:t>个</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9</w:t>
                  </w:r>
                </w:p>
              </w:tc>
              <w:tc>
                <w:tcPr>
                  <w:tcW w:w="86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资源、</w:t>
                  </w:r>
                </w:p>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能源</w:t>
                  </w: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水</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highlight w:val="none"/>
                      <w:lang w:val="en-US" w:eastAsia="zh-CN"/>
                    </w:rPr>
                    <w:t>45</w:t>
                  </w:r>
                  <w:r>
                    <w:rPr>
                      <w:rFonts w:hint="default" w:ascii="Times New Roman" w:hAnsi="Times New Roman" w:eastAsia="宋体" w:cs="Times New Roman"/>
                      <w:bCs/>
                      <w:snapToGrid w:val="0"/>
                      <w:color w:val="auto"/>
                      <w:kern w:val="0"/>
                      <w:sz w:val="21"/>
                      <w:szCs w:val="21"/>
                      <w:highlight w:val="none"/>
                      <w:lang w:val="en-US" w:eastAsia="zh-CN"/>
                    </w:rPr>
                    <w:t>m</w:t>
                  </w:r>
                  <w:r>
                    <w:rPr>
                      <w:rFonts w:hint="default" w:ascii="Times New Roman" w:hAnsi="Times New Roman" w:eastAsia="宋体" w:cs="Times New Roman"/>
                      <w:bCs/>
                      <w:snapToGrid w:val="0"/>
                      <w:color w:val="auto"/>
                      <w:kern w:val="0"/>
                      <w:sz w:val="21"/>
                      <w:szCs w:val="21"/>
                      <w:highlight w:val="none"/>
                      <w:vertAlign w:val="superscript"/>
                      <w:lang w:val="en-US" w:eastAsia="zh-CN"/>
                    </w:rPr>
                    <w:t>3</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sz w:val="21"/>
                    </w:rPr>
                    <w:t>园区供应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10</w:t>
                  </w:r>
                </w:p>
              </w:tc>
              <w:tc>
                <w:tcPr>
                  <w:tcW w:w="86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c>
                <w:tcPr>
                  <w:tcW w:w="19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电</w:t>
                  </w:r>
                </w:p>
              </w:tc>
              <w:tc>
                <w:tcPr>
                  <w:tcW w:w="155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w:t>
                  </w:r>
                </w:p>
              </w:tc>
              <w:tc>
                <w:tcPr>
                  <w:tcW w:w="127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w:t>
                  </w:r>
                  <w:r>
                    <w:rPr>
                      <w:rFonts w:hint="default" w:ascii="Times New Roman" w:hAnsi="Times New Roman" w:eastAsia="宋体" w:cs="Times New Roman"/>
                      <w:bCs/>
                      <w:snapToGrid w:val="0"/>
                      <w:color w:val="auto"/>
                      <w:kern w:val="0"/>
                      <w:sz w:val="21"/>
                      <w:szCs w:val="21"/>
                      <w:lang w:val="en-US" w:eastAsia="zh-CN"/>
                    </w:rPr>
                    <w:t>万kwh</w:t>
                  </w:r>
                </w:p>
              </w:tc>
              <w:tc>
                <w:tcPr>
                  <w:tcW w:w="278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sz w:val="21"/>
                    </w:rPr>
                    <w:t>园区供应</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left"/>
              <w:textAlignment w:val="auto"/>
              <w:rPr>
                <w:b/>
                <w:color w:val="000000"/>
                <w:sz w:val="24"/>
                <w:szCs w:val="24"/>
              </w:rPr>
            </w:pPr>
            <w:r>
              <w:rPr>
                <w:rFonts w:hint="eastAsia"/>
                <w:b/>
                <w:color w:val="000000"/>
                <w:sz w:val="24"/>
                <w:szCs w:val="24"/>
                <w:lang w:val="en-US" w:eastAsia="zh-CN"/>
              </w:rPr>
              <w:t>六</w:t>
            </w:r>
            <w:r>
              <w:rPr>
                <w:b/>
                <w:color w:val="000000"/>
                <w:sz w:val="24"/>
                <w:szCs w:val="24"/>
              </w:rPr>
              <w:t>、项目主要</w:t>
            </w:r>
            <w:r>
              <w:rPr>
                <w:rFonts w:hint="eastAsia"/>
                <w:b/>
                <w:color w:val="000000"/>
                <w:sz w:val="24"/>
                <w:szCs w:val="24"/>
              </w:rPr>
              <w:t>生产</w:t>
            </w:r>
            <w:r>
              <w:rPr>
                <w:b/>
                <w:color w:val="000000"/>
                <w:sz w:val="24"/>
                <w:szCs w:val="24"/>
              </w:rPr>
              <w:t>设备</w:t>
            </w:r>
          </w:p>
          <w:p>
            <w:pPr>
              <w:keepNext w:val="0"/>
              <w:keepLines w:val="0"/>
              <w:pageBreakBefore w:val="0"/>
              <w:widowControl w:val="0"/>
              <w:kinsoku/>
              <w:wordWrap/>
              <w:overflowPunct/>
              <w:topLinePunct w:val="0"/>
              <w:autoSpaceDE/>
              <w:autoSpaceDN/>
              <w:bidi w:val="0"/>
              <w:adjustRightInd/>
              <w:snapToGrid w:val="0"/>
              <w:spacing w:line="520" w:lineRule="exact"/>
              <w:ind w:firstLine="504" w:firstLineChars="200"/>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pacing w:val="6"/>
                <w:sz w:val="24"/>
              </w:rPr>
              <w:t>项目作为工业危险废物的贮存仓库，仅对进场的危险废物进行暂存</w:t>
            </w:r>
            <w:r>
              <w:rPr>
                <w:rFonts w:hint="eastAsia" w:ascii="Times New Roman" w:hAnsi="Times New Roman" w:eastAsia="宋体" w:cs="Times New Roman"/>
                <w:color w:val="auto"/>
                <w:spacing w:val="6"/>
                <w:sz w:val="24"/>
                <w:lang w:eastAsia="zh-CN"/>
              </w:rPr>
              <w:t>，</w:t>
            </w:r>
            <w:r>
              <w:rPr>
                <w:rFonts w:hint="default" w:ascii="Times New Roman" w:hAnsi="Times New Roman" w:eastAsia="宋体" w:cs="Times New Roman"/>
                <w:color w:val="auto"/>
                <w:spacing w:val="6"/>
                <w:sz w:val="24"/>
              </w:rPr>
              <w:t>中转，运输委托有资质单位实施；</w:t>
            </w:r>
            <w:r>
              <w:rPr>
                <w:rFonts w:hint="default" w:ascii="Times New Roman" w:hAnsi="Times New Roman" w:eastAsia="宋体" w:cs="Times New Roman"/>
                <w:bCs/>
                <w:color w:val="auto"/>
                <w:sz w:val="24"/>
                <w:szCs w:val="24"/>
              </w:rPr>
              <w:t>本项目主要生产设备一览表见表</w:t>
            </w:r>
            <w:r>
              <w:rPr>
                <w:rFonts w:hint="eastAsia"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4。</w:t>
            </w:r>
          </w:p>
          <w:p>
            <w:pPr>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val="0"/>
                <w:color w:val="000000"/>
                <w:sz w:val="24"/>
                <w:szCs w:val="24"/>
              </w:rPr>
            </w:pPr>
            <w:r>
              <w:rPr>
                <w:rFonts w:hint="eastAsia" w:ascii="Times New Roman" w:hAnsi="Times New Roman" w:eastAsia="宋体" w:cs="Times New Roman"/>
                <w:b/>
                <w:color w:val="000000"/>
                <w:sz w:val="24"/>
                <w:szCs w:val="24"/>
                <w:lang w:val="en-US" w:eastAsia="zh-CN"/>
              </w:rPr>
              <w:t xml:space="preserve">表2-4     </w:t>
            </w:r>
            <w:r>
              <w:rPr>
                <w:rFonts w:hint="default" w:ascii="Times New Roman" w:hAnsi="Times New Roman" w:eastAsia="宋体" w:cs="Times New Roman"/>
                <w:b/>
                <w:color w:val="000000"/>
                <w:sz w:val="24"/>
                <w:szCs w:val="24"/>
              </w:rPr>
              <w:t>主要生产设备一览表</w:t>
            </w:r>
          </w:p>
          <w:tbl>
            <w:tblPr>
              <w:tblStyle w:val="25"/>
              <w:tblW w:w="82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794"/>
              <w:gridCol w:w="1409"/>
              <w:gridCol w:w="1025"/>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67"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序号</w:t>
                  </w:r>
                </w:p>
              </w:tc>
              <w:tc>
                <w:tcPr>
                  <w:tcW w:w="1794"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设备名称</w:t>
                  </w:r>
                </w:p>
              </w:tc>
              <w:tc>
                <w:tcPr>
                  <w:tcW w:w="1409"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规格型号</w:t>
                  </w:r>
                </w:p>
              </w:tc>
              <w:tc>
                <w:tcPr>
                  <w:tcW w:w="1025"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数量</w:t>
                  </w:r>
                </w:p>
              </w:tc>
              <w:tc>
                <w:tcPr>
                  <w:tcW w:w="3283"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6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w:t>
                  </w:r>
                </w:p>
              </w:tc>
              <w:tc>
                <w:tcPr>
                  <w:tcW w:w="179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地磅</w:t>
                  </w:r>
                </w:p>
              </w:tc>
              <w:tc>
                <w:tcPr>
                  <w:tcW w:w="140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eastAsia" w:ascii="Times New Roman" w:hAnsi="Times New Roman" w:eastAsia="宋体" w:cs="Times New Roman"/>
                      <w:bCs/>
                      <w:snapToGrid w:val="0"/>
                      <w:color w:val="auto"/>
                      <w:kern w:val="0"/>
                      <w:sz w:val="21"/>
                      <w:szCs w:val="21"/>
                      <w:highlight w:val="none"/>
                      <w:lang w:val="en-US" w:eastAsia="zh-CN"/>
                    </w:rPr>
                    <w:t>20T</w:t>
                  </w:r>
                </w:p>
              </w:tc>
              <w:tc>
                <w:tcPr>
                  <w:tcW w:w="102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1台</w:t>
                  </w:r>
                </w:p>
              </w:tc>
              <w:tc>
                <w:tcPr>
                  <w:tcW w:w="32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称重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76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2</w:t>
                  </w:r>
                </w:p>
              </w:tc>
              <w:tc>
                <w:tcPr>
                  <w:tcW w:w="179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叉车</w:t>
                  </w:r>
                </w:p>
              </w:tc>
              <w:tc>
                <w:tcPr>
                  <w:tcW w:w="140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国III</w:t>
                  </w:r>
                </w:p>
              </w:tc>
              <w:tc>
                <w:tcPr>
                  <w:tcW w:w="102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2台</w:t>
                  </w:r>
                </w:p>
              </w:tc>
              <w:tc>
                <w:tcPr>
                  <w:tcW w:w="32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装卸产品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67"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bidi="ar-SA"/>
                    </w:rPr>
                  </w:pPr>
                  <w:r>
                    <w:rPr>
                      <w:rFonts w:hint="default" w:ascii="Times New Roman" w:hAnsi="Times New Roman" w:eastAsia="宋体" w:cs="Times New Roman"/>
                      <w:bCs/>
                      <w:snapToGrid w:val="0"/>
                      <w:color w:val="auto"/>
                      <w:kern w:val="0"/>
                      <w:sz w:val="21"/>
                      <w:szCs w:val="21"/>
                      <w:lang w:val="en-US" w:eastAsia="zh-CN"/>
                    </w:rPr>
                    <w:t>3</w:t>
                  </w:r>
                </w:p>
              </w:tc>
              <w:tc>
                <w:tcPr>
                  <w:tcW w:w="179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压块机</w:t>
                  </w:r>
                </w:p>
              </w:tc>
              <w:tc>
                <w:tcPr>
                  <w:tcW w:w="1409"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w:t>
                  </w:r>
                </w:p>
              </w:tc>
              <w:tc>
                <w:tcPr>
                  <w:tcW w:w="102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1台</w:t>
                  </w:r>
                </w:p>
              </w:tc>
              <w:tc>
                <w:tcPr>
                  <w:tcW w:w="328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生产设施</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b/>
                <w:bCs/>
                <w:sz w:val="24"/>
                <w:szCs w:val="24"/>
                <w:lang w:val="en-US" w:eastAsia="zh-CN"/>
              </w:rPr>
              <w:t>七、</w:t>
            </w:r>
            <w:r>
              <w:rPr>
                <w:rFonts w:hint="default" w:ascii="Times New Roman" w:hAnsi="Times New Roman" w:eastAsia="宋体" w:cs="Times New Roman"/>
                <w:b/>
                <w:bCs/>
                <w:sz w:val="24"/>
                <w:szCs w:val="24"/>
                <w:lang w:val="pt-BR"/>
              </w:rPr>
              <w:t>项目建设与备案相符性分析</w:t>
            </w:r>
          </w:p>
          <w:p>
            <w:pPr>
              <w:keepNext w:val="0"/>
              <w:keepLines w:val="0"/>
              <w:pageBreakBefore w:val="0"/>
              <w:widowControl w:val="0"/>
              <w:kinsoku/>
              <w:wordWrap/>
              <w:overflowPunct/>
              <w:topLinePunct w:val="0"/>
              <w:autoSpaceDE/>
              <w:autoSpaceDN/>
              <w:bidi w:val="0"/>
              <w:adjustRightInd/>
              <w:snapToGrid w:val="0"/>
              <w:spacing w:line="520" w:lineRule="exact"/>
              <w:ind w:firstLine="504" w:firstLineChars="200"/>
              <w:textAlignment w:val="auto"/>
              <w:rPr>
                <w:rFonts w:hint="default" w:ascii="Times New Roman" w:hAnsi="Times New Roman" w:eastAsia="宋体" w:cs="Times New Roman"/>
                <w:color w:val="auto"/>
                <w:spacing w:val="6"/>
                <w:sz w:val="24"/>
              </w:rPr>
            </w:pPr>
            <w:r>
              <w:rPr>
                <w:rFonts w:hint="default" w:ascii="Times New Roman" w:hAnsi="Times New Roman" w:eastAsia="宋体" w:cs="Times New Roman"/>
                <w:color w:val="auto"/>
                <w:spacing w:val="6"/>
                <w:sz w:val="24"/>
              </w:rPr>
              <w:t>本项目与备案一致性分析见下表。</w:t>
            </w:r>
          </w:p>
          <w:p>
            <w:pPr>
              <w:pStyle w:val="121"/>
              <w:numPr>
                <w:ilvl w:val="0"/>
                <w:numId w:val="0"/>
              </w:numPr>
              <w:bidi w:val="0"/>
              <w:ind w:leftChars="0"/>
              <w:jc w:val="center"/>
              <w:rPr>
                <w:rFonts w:hint="default"/>
              </w:rPr>
            </w:pPr>
            <w:r>
              <w:rPr>
                <w:rFonts w:hint="eastAsia"/>
                <w:lang w:val="en-US" w:eastAsia="zh-CN"/>
              </w:rPr>
              <w:t xml:space="preserve">表2-5      </w:t>
            </w:r>
            <w:r>
              <w:rPr>
                <w:rFonts w:hint="default"/>
              </w:rPr>
              <w:t>项目备案一致性分析</w:t>
            </w:r>
          </w:p>
          <w:tbl>
            <w:tblPr>
              <w:tblStyle w:val="25"/>
              <w:tblW w:w="83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0"/>
              <w:gridCol w:w="3275"/>
              <w:gridCol w:w="3096"/>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70"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名称</w:t>
                  </w:r>
                </w:p>
              </w:tc>
              <w:tc>
                <w:tcPr>
                  <w:tcW w:w="3275"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项目情况</w:t>
                  </w:r>
                </w:p>
              </w:tc>
              <w:tc>
                <w:tcPr>
                  <w:tcW w:w="3096"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备案情况</w:t>
                  </w:r>
                </w:p>
              </w:tc>
              <w:tc>
                <w:tcPr>
                  <w:tcW w:w="856" w:type="dxa"/>
                  <w:tcBorders>
                    <w:tl2br w:val="nil"/>
                    <w:tr2bl w:val="nil"/>
                  </w:tcBorders>
                  <w:noWrap w:val="0"/>
                  <w:vAlign w:val="center"/>
                </w:tcPr>
                <w:p>
                  <w:pPr>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70"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项目名称</w:t>
                  </w:r>
                </w:p>
              </w:tc>
              <w:tc>
                <w:tcPr>
                  <w:tcW w:w="3275"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年回收</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eastAsia="zh-CN"/>
                    </w:rPr>
                    <w:t>000吨漆渣、废弃包装物、污泥等项目</w:t>
                  </w:r>
                </w:p>
              </w:tc>
              <w:tc>
                <w:tcPr>
                  <w:tcW w:w="3096"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年回收</w:t>
                  </w:r>
                  <w:r>
                    <w:rPr>
                      <w:rFonts w:hint="eastAsia" w:ascii="Times New Roman" w:hAnsi="Times New Roman" w:eastAsia="宋体" w:cs="Times New Roman"/>
                      <w:color w:val="000000"/>
                      <w:sz w:val="21"/>
                      <w:szCs w:val="21"/>
                      <w:lang w:val="en-US" w:eastAsia="zh-CN"/>
                    </w:rPr>
                    <w:t>5</w:t>
                  </w:r>
                  <w:r>
                    <w:rPr>
                      <w:rFonts w:hint="default" w:ascii="Times New Roman" w:hAnsi="Times New Roman" w:eastAsia="宋体" w:cs="Times New Roman"/>
                      <w:color w:val="000000"/>
                      <w:sz w:val="21"/>
                      <w:szCs w:val="21"/>
                      <w:lang w:eastAsia="zh-CN"/>
                    </w:rPr>
                    <w:t>000吨漆渣、废弃包装物、污泥等项目</w:t>
                  </w:r>
                </w:p>
              </w:tc>
              <w:tc>
                <w:tcPr>
                  <w:tcW w:w="856"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70"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建设地点</w:t>
                  </w:r>
                </w:p>
              </w:tc>
              <w:tc>
                <w:tcPr>
                  <w:tcW w:w="3275"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新乡市凤泉区新乡市动力电池专业园区西区陈堡村南700米路西</w:t>
                  </w:r>
                </w:p>
              </w:tc>
              <w:tc>
                <w:tcPr>
                  <w:tcW w:w="3096"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新乡市凤泉区新乡市动力电池专业园区西区陈堡村南700米路西</w:t>
                  </w:r>
                </w:p>
              </w:tc>
              <w:tc>
                <w:tcPr>
                  <w:tcW w:w="856"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70"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建设性质</w:t>
                  </w:r>
                </w:p>
              </w:tc>
              <w:tc>
                <w:tcPr>
                  <w:tcW w:w="3275"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新建</w:t>
                  </w:r>
                </w:p>
              </w:tc>
              <w:tc>
                <w:tcPr>
                  <w:tcW w:w="3096"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新建</w:t>
                  </w:r>
                </w:p>
              </w:tc>
              <w:tc>
                <w:tcPr>
                  <w:tcW w:w="856"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170"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投资</w:t>
                  </w:r>
                </w:p>
              </w:tc>
              <w:tc>
                <w:tcPr>
                  <w:tcW w:w="3275"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20</w:t>
                  </w:r>
                  <w:r>
                    <w:rPr>
                      <w:rFonts w:hint="default" w:ascii="Times New Roman" w:hAnsi="Times New Roman" w:eastAsia="宋体" w:cs="Times New Roman"/>
                      <w:color w:val="000000"/>
                      <w:sz w:val="21"/>
                      <w:szCs w:val="21"/>
                    </w:rPr>
                    <w:t>0万</w:t>
                  </w:r>
                </w:p>
              </w:tc>
              <w:tc>
                <w:tcPr>
                  <w:tcW w:w="3096"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yellow"/>
                    </w:rPr>
                  </w:pPr>
                  <w:r>
                    <w:rPr>
                      <w:rFonts w:hint="default" w:ascii="Times New Roman" w:hAnsi="Times New Roman" w:eastAsia="宋体" w:cs="Times New Roman"/>
                      <w:color w:val="000000"/>
                      <w:sz w:val="21"/>
                      <w:szCs w:val="21"/>
                      <w:highlight w:val="none"/>
                      <w:lang w:val="en-US" w:eastAsia="zh-CN"/>
                    </w:rPr>
                    <w:t>20</w:t>
                  </w:r>
                  <w:r>
                    <w:rPr>
                      <w:rFonts w:hint="default" w:ascii="Times New Roman" w:hAnsi="Times New Roman" w:eastAsia="宋体" w:cs="Times New Roman"/>
                      <w:color w:val="000000"/>
                      <w:sz w:val="21"/>
                      <w:szCs w:val="21"/>
                      <w:highlight w:val="none"/>
                    </w:rPr>
                    <w:t>0万</w:t>
                  </w:r>
                </w:p>
              </w:tc>
              <w:tc>
                <w:tcPr>
                  <w:tcW w:w="856" w:type="dxa"/>
                  <w:tcBorders>
                    <w:tl2br w:val="nil"/>
                    <w:tr2bl w:val="nil"/>
                  </w:tcBorders>
                  <w:noWrap w:val="0"/>
                  <w:vAlign w:val="center"/>
                </w:tcPr>
                <w:p>
                  <w:pPr>
                    <w:jc w:val="center"/>
                    <w:rPr>
                      <w:rFonts w:hint="default" w:ascii="Times New Roman" w:hAnsi="Times New Roman" w:eastAsia="宋体" w:cs="Times New Roman"/>
                      <w:color w:val="000000"/>
                      <w:sz w:val="21"/>
                      <w:szCs w:val="21"/>
                      <w:highlight w:val="yellow"/>
                      <w:lang w:eastAsia="zh-CN"/>
                    </w:rPr>
                  </w:pPr>
                  <w:r>
                    <w:rPr>
                      <w:rFonts w:hint="default" w:ascii="Times New Roman" w:hAnsi="Times New Roman" w:eastAsia="宋体" w:cs="Times New Roman"/>
                      <w:color w:val="000000"/>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70"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设备</w:t>
                  </w:r>
                </w:p>
              </w:tc>
              <w:tc>
                <w:tcPr>
                  <w:tcW w:w="3275" w:type="dxa"/>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压块机1台、叉车2辆等</w:t>
                  </w:r>
                </w:p>
              </w:tc>
              <w:tc>
                <w:tcPr>
                  <w:tcW w:w="3096" w:type="dxa"/>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压块机1台、叉车2辆等</w:t>
                  </w:r>
                </w:p>
              </w:tc>
              <w:tc>
                <w:tcPr>
                  <w:tcW w:w="856"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170"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工艺</w:t>
                  </w:r>
                </w:p>
              </w:tc>
              <w:tc>
                <w:tcPr>
                  <w:tcW w:w="3275" w:type="dxa"/>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各类危险废物—回收—运输—分类贮存—转运出厂（委托有资质单位处理）</w:t>
                  </w:r>
                </w:p>
              </w:tc>
              <w:tc>
                <w:tcPr>
                  <w:tcW w:w="3096" w:type="dxa"/>
                  <w:tcBorders>
                    <w:tl2br w:val="nil"/>
                    <w:tr2bl w:val="nil"/>
                  </w:tcBorders>
                  <w:noWrap w:val="0"/>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各类危险废物—回收—运输—分类贮存—转运出厂（委托有资质单位处理）</w:t>
                  </w:r>
                </w:p>
              </w:tc>
              <w:tc>
                <w:tcPr>
                  <w:tcW w:w="856"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70"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建设规模及内容</w:t>
                  </w:r>
                </w:p>
              </w:tc>
              <w:tc>
                <w:tcPr>
                  <w:tcW w:w="3275"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项目租赁现有厂区，不新增占地，占地面积2600平方米，建筑面积1</w:t>
                  </w:r>
                  <w:r>
                    <w:rPr>
                      <w:rFonts w:hint="eastAsia" w:cs="Times New Roman"/>
                      <w:color w:val="000000"/>
                      <w:sz w:val="21"/>
                      <w:szCs w:val="21"/>
                      <w:lang w:val="en-US" w:eastAsia="zh-CN"/>
                    </w:rPr>
                    <w:t>2</w:t>
                  </w:r>
                  <w:r>
                    <w:rPr>
                      <w:rFonts w:hint="default" w:ascii="Times New Roman" w:hAnsi="Times New Roman" w:eastAsia="宋体" w:cs="Times New Roman"/>
                      <w:color w:val="000000"/>
                      <w:sz w:val="21"/>
                      <w:szCs w:val="21"/>
                      <w:lang w:eastAsia="zh-CN"/>
                    </w:rPr>
                    <w:t>00平方米。建设年回收5000吨漆渣、废弃包装物、污泥等项目，配套建设废气处理系统、事故应急池、防扬散、防流失、防渗漏等防治污染环境措施。收集危废车辆符合国家统一要求。主要工艺：各类危险废物-回收-运输-分类贮存-转运出厂（委托有资质单位处理），主要设备：压块机1台、叉车2辆等。</w:t>
                  </w:r>
                </w:p>
              </w:tc>
              <w:tc>
                <w:tcPr>
                  <w:tcW w:w="3096" w:type="dxa"/>
                  <w:tcBorders>
                    <w:tl2br w:val="nil"/>
                    <w:tr2bl w:val="nil"/>
                  </w:tcBorders>
                  <w:noWrap w:val="0"/>
                  <w:vAlign w:val="center"/>
                </w:tcPr>
                <w:p>
                  <w:pPr>
                    <w:jc w:val="center"/>
                    <w:rPr>
                      <w:rFonts w:hint="default" w:ascii="Times New Roman" w:hAnsi="Times New Roman" w:eastAsia="宋体" w:cs="Times New Roman"/>
                      <w:color w:val="000000"/>
                      <w:sz w:val="21"/>
                      <w:szCs w:val="21"/>
                      <w:lang w:eastAsia="zh-CN"/>
                    </w:rPr>
                  </w:pPr>
                  <w:r>
                    <w:rPr>
                      <w:rFonts w:hint="default" w:ascii="Times New Roman" w:hAnsi="Times New Roman" w:eastAsia="宋体" w:cs="Times New Roman"/>
                      <w:color w:val="000000"/>
                      <w:sz w:val="21"/>
                      <w:szCs w:val="21"/>
                      <w:lang w:eastAsia="zh-CN"/>
                    </w:rPr>
                    <w:t>项目租赁现有厂区，不新增占地，占地面积2600平方米，建筑面积1</w:t>
                  </w:r>
                  <w:r>
                    <w:rPr>
                      <w:rFonts w:hint="eastAsia" w:cs="Times New Roman"/>
                      <w:color w:val="000000"/>
                      <w:sz w:val="21"/>
                      <w:szCs w:val="21"/>
                      <w:lang w:val="en-US" w:eastAsia="zh-CN"/>
                    </w:rPr>
                    <w:t>2</w:t>
                  </w:r>
                  <w:r>
                    <w:rPr>
                      <w:rFonts w:hint="default" w:ascii="Times New Roman" w:hAnsi="Times New Roman" w:eastAsia="宋体" w:cs="Times New Roman"/>
                      <w:color w:val="000000"/>
                      <w:sz w:val="21"/>
                      <w:szCs w:val="21"/>
                      <w:lang w:eastAsia="zh-CN"/>
                    </w:rPr>
                    <w:t>00平方米。建设年回收5000吨漆渣、废弃包装物、污泥等，配套建设废气处理系统、事故应急池、防扬散、防流失、防渗漏等防治污染环境措施。收集危废车辆符合国家统一要求。主要工艺：各类危险废物-回收-运输-分类贮存-转运出厂（委托有资质单位处理），主要设备：压块机1台、叉车2辆等。</w:t>
                  </w:r>
                </w:p>
              </w:tc>
              <w:tc>
                <w:tcPr>
                  <w:tcW w:w="856" w:type="dxa"/>
                  <w:tcBorders>
                    <w:tl2br w:val="nil"/>
                    <w:tr2bl w:val="nil"/>
                  </w:tcBorders>
                  <w:noWrap w:val="0"/>
                  <w:vAlign w:val="center"/>
                </w:tcPr>
                <w:p>
                  <w:pPr>
                    <w:jc w:val="center"/>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一致</w:t>
                  </w:r>
                </w:p>
              </w:tc>
            </w:tr>
          </w:tbl>
          <w:p>
            <w:pPr>
              <w:keepNext w:val="0"/>
              <w:keepLines w:val="0"/>
              <w:pageBreakBefore w:val="0"/>
              <w:widowControl w:val="0"/>
              <w:kinsoku/>
              <w:wordWrap/>
              <w:overflowPunct/>
              <w:topLinePunct w:val="0"/>
              <w:autoSpaceDE/>
              <w:autoSpaceDN/>
              <w:bidi w:val="0"/>
              <w:adjustRightInd/>
              <w:snapToGrid/>
              <w:spacing w:line="520" w:lineRule="exact"/>
              <w:ind w:firstLine="482" w:firstLineChars="200"/>
              <w:textAlignment w:val="auto"/>
              <w:outlineLvl w:val="9"/>
              <w:rPr>
                <w:rFonts w:hint="default" w:ascii="Times New Roman" w:hAnsi="Times New Roman" w:eastAsia="宋体" w:cs="Times New Roman"/>
                <w:b/>
                <w:color w:val="000000"/>
                <w:sz w:val="24"/>
                <w:szCs w:val="22"/>
                <w:lang w:val="en-US" w:eastAsia="zh-CN"/>
              </w:rPr>
            </w:pPr>
            <w:r>
              <w:rPr>
                <w:rFonts w:hint="eastAsia" w:ascii="Times New Roman" w:hAnsi="Times New Roman" w:eastAsia="宋体" w:cs="Times New Roman"/>
                <w:b/>
                <w:color w:val="000000"/>
                <w:sz w:val="24"/>
                <w:szCs w:val="22"/>
                <w:lang w:val="en-US" w:eastAsia="zh-CN"/>
              </w:rPr>
              <w:t>八</w:t>
            </w:r>
            <w:r>
              <w:rPr>
                <w:rFonts w:hint="default" w:ascii="Times New Roman" w:hAnsi="Times New Roman" w:eastAsia="宋体" w:cs="Times New Roman"/>
                <w:b/>
                <w:color w:val="000000"/>
                <w:sz w:val="24"/>
                <w:szCs w:val="22"/>
                <w:lang w:val="en-US" w:eastAsia="zh-CN"/>
              </w:rPr>
              <w:t>、公用工程</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rFonts w:hint="eastAsia" w:ascii="Times New Roman" w:hAnsi="Times New Roman" w:eastAsia="宋体" w:cs="Times New Roman"/>
                <w:sz w:val="24"/>
              </w:rPr>
            </w:pPr>
            <w:r>
              <w:rPr>
                <w:rFonts w:hint="eastAsia" w:ascii="Times New Roman" w:hAnsi="Times New Roman" w:eastAsia="宋体" w:cs="Times New Roman"/>
                <w:sz w:val="24"/>
              </w:rPr>
              <w:t>供水：本项目生活用水由市政供水，能够满足本项目用水需求。</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rFonts w:hint="eastAsia" w:ascii="Times New Roman" w:hAnsi="Times New Roman" w:eastAsia="宋体" w:cs="Times New Roman"/>
                <w:sz w:val="24"/>
              </w:rPr>
            </w:pPr>
            <w:r>
              <w:rPr>
                <w:rFonts w:hint="eastAsia" w:ascii="Times New Roman" w:hAnsi="Times New Roman" w:eastAsia="宋体" w:cs="Times New Roman"/>
                <w:sz w:val="24"/>
              </w:rPr>
              <w:t>排水：生活污水前期排入化粪池处理后定期清运，待管网接通后，通入大块镇污水处理厂进一步处理。</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rFonts w:hint="eastAsia" w:ascii="Times New Roman" w:hAnsi="Times New Roman" w:eastAsia="宋体" w:cs="Times New Roman"/>
                <w:sz w:val="24"/>
                <w:lang w:eastAsia="zh-CN"/>
              </w:rPr>
            </w:pPr>
            <w:r>
              <w:rPr>
                <w:rFonts w:hint="eastAsia" w:ascii="Times New Roman" w:hAnsi="Times New Roman" w:eastAsia="宋体" w:cs="Times New Roman"/>
                <w:sz w:val="24"/>
              </w:rPr>
              <w:t>供电：</w:t>
            </w:r>
            <w:r>
              <w:rPr>
                <w:rFonts w:hint="default" w:ascii="Times New Roman" w:hAnsi="Times New Roman" w:eastAsia="宋体" w:cs="Times New Roman"/>
                <w:sz w:val="24"/>
              </w:rPr>
              <w:t>项目用电量为</w:t>
            </w:r>
            <w:r>
              <w:rPr>
                <w:rFonts w:hint="eastAsia" w:ascii="Times New Roman" w:hAnsi="Times New Roman" w:eastAsia="宋体" w:cs="Times New Roman"/>
                <w:sz w:val="24"/>
                <w:lang w:val="en-US" w:eastAsia="zh-CN"/>
              </w:rPr>
              <w:t>1</w:t>
            </w:r>
            <w:r>
              <w:rPr>
                <w:rFonts w:hint="default" w:ascii="Times New Roman" w:hAnsi="Times New Roman" w:eastAsia="宋体" w:cs="Times New Roman"/>
                <w:sz w:val="24"/>
              </w:rPr>
              <w:t>万kWh/a，由</w:t>
            </w:r>
            <w:r>
              <w:rPr>
                <w:rFonts w:hint="eastAsia" w:ascii="Times New Roman" w:hAnsi="Times New Roman" w:eastAsia="宋体" w:cs="Times New Roman"/>
                <w:sz w:val="24"/>
                <w:lang w:val="en-US" w:eastAsia="zh-CN"/>
              </w:rPr>
              <w:t>凤泉区大块镇</w:t>
            </w:r>
            <w:r>
              <w:rPr>
                <w:rFonts w:hint="default" w:ascii="Times New Roman" w:hAnsi="Times New Roman" w:eastAsia="宋体" w:cs="Times New Roman"/>
                <w:sz w:val="24"/>
              </w:rPr>
              <w:t>变电所接入，可满足项目区生产的需求</w:t>
            </w:r>
            <w:r>
              <w:rPr>
                <w:rFonts w:hint="eastAsia" w:ascii="Times New Roman" w:hAnsi="Times New Roman" w:eastAsia="宋体" w:cs="Times New Roman"/>
                <w:sz w:val="24"/>
                <w:lang w:eastAsia="zh-CN"/>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rFonts w:hint="eastAsia" w:ascii="Times New Roman" w:hAnsi="Times New Roman" w:eastAsia="宋体" w:cs="Times New Roman"/>
                <w:sz w:val="24"/>
              </w:rPr>
            </w:pPr>
            <w:r>
              <w:rPr>
                <w:rFonts w:hint="eastAsia" w:ascii="Times New Roman" w:hAnsi="Times New Roman" w:eastAsia="宋体" w:cs="Times New Roman"/>
                <w:sz w:val="24"/>
                <w:lang w:val="en-US" w:eastAsia="zh-CN"/>
              </w:rPr>
              <w:t>供暖和制冷：本项目仓库无需供暖和制冷，办公区冬季采暖采用电取暖；夏季制冷采用单体空调。</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baseline"/>
              <w:rPr>
                <w:b/>
                <w:color w:val="000000"/>
              </w:rPr>
            </w:pPr>
            <w:r>
              <w:rPr>
                <w:rFonts w:hint="eastAsia" w:ascii="Times New Roman" w:hAnsi="Times New Roman" w:eastAsia="宋体" w:cs="Times New Roman"/>
                <w:sz w:val="24"/>
                <w:lang w:val="en-US" w:eastAsia="zh-CN"/>
              </w:rPr>
              <w:t>消防：危险废物库房内配备安全照明设施和消防灭火设施、报警装置。库房设有通风管道，安装防腐离心风机，保证库房通风。库房设置应急防护措施，库房内安装监控装置和通讯设备，并配备相应的安全防护服装和工具。</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4328" w:hRule="atLeast"/>
          <w:jc w:val="center"/>
        </w:trPr>
        <w:tc>
          <w:tcPr>
            <w:tcW w:w="456" w:type="dxa"/>
            <w:tcBorders>
              <w:top w:val="single" w:color="auto" w:sz="4" w:space="0"/>
              <w:bottom w:val="single" w:color="auto" w:sz="4" w:space="0"/>
              <w:right w:val="single" w:color="auto" w:sz="4" w:space="0"/>
            </w:tcBorders>
            <w:vAlign w:val="center"/>
          </w:tcPr>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1"/>
                <w:szCs w:val="21"/>
              </w:rPr>
            </w:pPr>
          </w:p>
          <w:p>
            <w:pPr>
              <w:jc w:val="center"/>
              <w:rPr>
                <w:color w:val="000000"/>
                <w:sz w:val="24"/>
                <w:szCs w:val="24"/>
              </w:rPr>
            </w:pPr>
            <w:r>
              <w:rPr>
                <w:rFonts w:hint="eastAsia"/>
                <w:color w:val="000000"/>
                <w:sz w:val="24"/>
                <w:szCs w:val="24"/>
              </w:rPr>
              <w:t>工艺流程和产排污环节</w:t>
            </w:r>
          </w:p>
        </w:tc>
        <w:tc>
          <w:tcPr>
            <w:tcW w:w="8607" w:type="dxa"/>
            <w:tcBorders>
              <w:top w:val="single" w:color="auto" w:sz="4" w:space="0"/>
              <w:left w:val="single" w:color="auto" w:sz="4" w:space="0"/>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ind w:firstLine="560" w:firstLineChars="200"/>
              <w:textAlignment w:val="auto"/>
              <w:rPr>
                <w:b/>
                <w:bCs/>
                <w:spacing w:val="3"/>
                <w:sz w:val="24"/>
                <w:szCs w:val="24"/>
              </w:rPr>
            </w:pPr>
            <w:r>
              <w:rPr>
                <w:szCs w:val="24"/>
              </w:rPr>
              <mc:AlternateContent>
                <mc:Choice Requires="wps">
                  <w:drawing>
                    <wp:anchor distT="0" distB="0" distL="114300" distR="114300" simplePos="0" relativeHeight="251660288" behindDoc="0" locked="0" layoutInCell="1" allowOverlap="1">
                      <wp:simplePos x="0" y="0"/>
                      <wp:positionH relativeFrom="column">
                        <wp:posOffset>-1484630</wp:posOffset>
                      </wp:positionH>
                      <wp:positionV relativeFrom="paragraph">
                        <wp:posOffset>3770630</wp:posOffset>
                      </wp:positionV>
                      <wp:extent cx="635" cy="297815"/>
                      <wp:effectExtent l="4445" t="0" r="13970" b="6985"/>
                      <wp:wrapNone/>
                      <wp:docPr id="92" name="直接连接符 92"/>
                      <wp:cNvGraphicFramePr/>
                      <a:graphic xmlns:a="http://schemas.openxmlformats.org/drawingml/2006/main">
                        <a:graphicData uri="http://schemas.microsoft.com/office/word/2010/wordprocessingShape">
                          <wps:wsp>
                            <wps:cNvCnPr/>
                            <wps:spPr>
                              <a:xfrm>
                                <a:off x="0" y="0"/>
                                <a:ext cx="635" cy="29781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16.9pt;margin-top:296.9pt;height:23.45pt;width:0.05pt;z-index:251660288;mso-width-relative:page;mso-height-relative:page;" filled="f" stroked="t" coordsize="21600,21600" o:gfxdata="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w9pDjaAAAADQEAAA8AAAAAAAAAAQAgAAAAIgAAAGRycy9kb3ducmV2LnhtbFBLAQIU&#10;ABQAAAAIAIdO4kB6wmEl8QEAAOkDAAAOAAAAAAAAAAEAIAAAACkBAABkcnMvZTJvRG9jLnhtbFBL&#10;BQYAAAAABgAGAFkBAACMBQAAAAA=&#10;">
                      <v:fill on="f" focussize="0,0"/>
                      <v:stroke color="#000000" joinstyle="round"/>
                      <v:imagedata o:title=""/>
                      <o:lock v:ext="edit" aspectratio="f"/>
                    </v:line>
                  </w:pict>
                </mc:Fallback>
              </mc:AlternateContent>
            </w:r>
            <w:r>
              <w:rPr>
                <w:rFonts w:hint="eastAsia"/>
                <w:b/>
                <w:bCs/>
                <w:spacing w:val="3"/>
                <w:sz w:val="24"/>
                <w:szCs w:val="24"/>
                <w:lang w:val="en-US" w:eastAsia="zh-CN"/>
              </w:rPr>
              <w:t>一、</w:t>
            </w:r>
            <w:r>
              <w:rPr>
                <w:b/>
                <w:bCs/>
                <w:spacing w:val="3"/>
                <w:sz w:val="24"/>
                <w:szCs w:val="24"/>
              </w:rPr>
              <w:t>施工期：</w:t>
            </w:r>
          </w:p>
          <w:p>
            <w:pPr>
              <w:pStyle w:val="13"/>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ascii="Times New Roman" w:hAnsi="Times New Roman" w:cs="Times New Roman"/>
                <w:sz w:val="24"/>
                <w:szCs w:val="24"/>
              </w:rPr>
            </w:pPr>
            <w:r>
              <w:rPr>
                <w:rFonts w:ascii="Times New Roman" w:hAnsi="Times New Roman" w:cs="Times New Roman"/>
                <w:bCs/>
                <w:sz w:val="24"/>
                <w:szCs w:val="24"/>
              </w:rPr>
              <w:t>本项目</w:t>
            </w:r>
            <w:r>
              <w:rPr>
                <w:rFonts w:hint="eastAsia" w:ascii="Times New Roman" w:hAnsi="Times New Roman" w:cs="Times New Roman"/>
                <w:bCs/>
                <w:sz w:val="24"/>
                <w:szCs w:val="24"/>
                <w:lang w:val="en-US" w:eastAsia="zh-CN"/>
              </w:rPr>
              <w:t>施工主要完成危废仓扩建、导流沟建设和地面防渗工程</w:t>
            </w:r>
            <w:r>
              <w:rPr>
                <w:rFonts w:ascii="Times New Roman" w:hAnsi="Times New Roman" w:cs="Times New Roman"/>
                <w:bCs/>
                <w:sz w:val="24"/>
                <w:szCs w:val="24"/>
              </w:rPr>
              <w:t>，施工期具体流程及产污环节见下图。</w:t>
            </w:r>
          </w:p>
          <w:p>
            <w:pPr>
              <w:pStyle w:val="121"/>
              <w:keepNext w:val="0"/>
              <w:keepLines w:val="0"/>
              <w:pageBreakBefore w:val="0"/>
              <w:widowControl w:val="0"/>
              <w:numPr>
                <w:ilvl w:val="0"/>
                <w:numId w:val="0"/>
              </w:numPr>
              <w:kinsoku/>
              <w:wordWrap/>
              <w:overflowPunct/>
              <w:topLinePunct w:val="0"/>
              <w:autoSpaceDE/>
              <w:autoSpaceDN/>
              <w:bidi w:val="0"/>
              <w:spacing w:line="520" w:lineRule="exact"/>
              <w:ind w:leftChars="0"/>
              <w:jc w:val="center"/>
              <w:textAlignment w:val="auto"/>
              <w:rPr>
                <w:rFonts w:hint="default" w:ascii="Times New Roman" w:hAnsi="Times New Roman" w:eastAsia="宋体" w:cs="Times New Roman"/>
              </w:rPr>
            </w:pPr>
            <w:r>
              <w:rPr>
                <w:rFonts w:hint="default" w:ascii="Times New Roman" w:hAnsi="Times New Roman" w:eastAsia="宋体" w:cs="Times New Roman"/>
              </w:rPr>
              <w:pict>
                <v:shape id="对象 206" o:spid="_x0000_s1028" o:spt="75" type="#_x0000_t75" style="position:absolute;left:0pt;margin-left:2.7pt;margin-top:3pt;height:147.5pt;width:415.5pt;mso-wrap-distance-bottom:0pt;mso-wrap-distance-top:0pt;z-index:251661312;mso-width-relative:page;mso-height-relative:page;" o:ole="t" filled="f" o:preferrelative="t" stroked="t" coordsize="21600,21600">
                  <v:path/>
                  <v:fill on="f" focussize="0,0"/>
                  <v:stroke weight="1.5pt" color="#000000" joinstyle="miter"/>
                  <v:imagedata r:id="rId13" o:title=""/>
                  <o:lock v:ext="edit" aspectratio="f"/>
                  <w10:wrap type="topAndBottom"/>
                </v:shape>
                <o:OLEObject Type="Embed" ProgID="Visio.Drawing.11" ShapeID="对象 206" DrawAspect="Content" ObjectID="_1468075725" r:id="rId12">
                  <o:LockedField>false</o:LockedField>
                </o:OLEObject>
              </w:pict>
            </w:r>
            <w:r>
              <w:rPr>
                <w:rFonts w:hint="default" w:ascii="Times New Roman" w:hAnsi="Times New Roman" w:eastAsia="宋体" w:cs="Times New Roman"/>
              </w:rPr>
              <w:t>图</w:t>
            </w:r>
            <w:r>
              <w:rPr>
                <w:rFonts w:hint="eastAsia" w:ascii="Times New Roman" w:hAnsi="Times New Roman" w:eastAsia="宋体" w:cs="Times New Roman"/>
                <w:lang w:val="en-US" w:eastAsia="zh-CN"/>
              </w:rPr>
              <w:t>1</w:t>
            </w:r>
            <w:r>
              <w:rPr>
                <w:rFonts w:hint="default" w:ascii="Times New Roman" w:hAnsi="Times New Roman" w:eastAsia="宋体" w:cs="Times New Roman"/>
              </w:rPr>
              <w:t xml:space="preserve">   施工期工艺流程及产污环节示意图</w:t>
            </w:r>
          </w:p>
          <w:p>
            <w:pPr>
              <w:pStyle w:val="13"/>
              <w:keepNext w:val="0"/>
              <w:keepLines w:val="0"/>
              <w:pageBreakBefore w:val="0"/>
              <w:widowControl w:val="0"/>
              <w:kinsoku/>
              <w:wordWrap/>
              <w:overflowPunct/>
              <w:topLinePunct w:val="0"/>
              <w:autoSpaceDE/>
              <w:autoSpaceDN/>
              <w:bidi w:val="0"/>
              <w:snapToGrid w:val="0"/>
              <w:spacing w:line="520" w:lineRule="exact"/>
              <w:ind w:firstLine="482" w:firstLineChars="200"/>
              <w:textAlignment w:val="auto"/>
              <w:rPr>
                <w:rFonts w:hint="default" w:ascii="Times New Roman" w:hAnsi="Times New Roman" w:eastAsia="宋体" w:cs="Times New Roman"/>
                <w:b/>
                <w:bCs/>
                <w:sz w:val="24"/>
                <w:szCs w:val="24"/>
              </w:rPr>
            </w:pPr>
            <w:r>
              <w:rPr>
                <w:rFonts w:hint="eastAsia" w:ascii="Times New Roman" w:hAnsi="Times New Roman" w:eastAsia="宋体" w:cs="Times New Roman"/>
                <w:b/>
                <w:bCs/>
                <w:sz w:val="24"/>
                <w:szCs w:val="24"/>
                <w:lang w:val="en-US" w:eastAsia="zh-CN"/>
              </w:rPr>
              <w:t>二、</w:t>
            </w:r>
            <w:r>
              <w:rPr>
                <w:rFonts w:hint="default" w:ascii="Times New Roman" w:hAnsi="Times New Roman" w:eastAsia="宋体" w:cs="Times New Roman"/>
                <w:b/>
                <w:bCs/>
                <w:sz w:val="24"/>
                <w:szCs w:val="24"/>
              </w:rPr>
              <w:t>营运期</w:t>
            </w:r>
          </w:p>
          <w:p>
            <w:pPr>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sz w:val="24"/>
                <w:szCs w:val="24"/>
              </w:rPr>
            </w:pPr>
            <w:r>
              <w:rPr>
                <w:rFonts w:hint="default" w:ascii="Times New Roman" w:hAnsi="Times New Roman" w:eastAsia="宋体" w:cs="Times New Roman"/>
                <w:sz w:val="24"/>
                <w:lang w:val="en-US" w:eastAsia="zh-CN"/>
              </w:rPr>
              <w:pict>
                <v:shape id="对象 7" o:spid="_x0000_s1026" o:spt="75" type="#_x0000_t75" style="position:absolute;left:0pt;margin-left:56.45pt;margin-top:334.55pt;height:322.1pt;width:332.8pt;mso-position-horizontal-relative:page;mso-position-vertical-relative:page;z-index:251659264;mso-width-relative:page;mso-height-relative:page;" o:ole="t" filled="f" o:preferrelative="t" stroked="f" coordsize="21600,21600">
                  <v:path/>
                  <v:fill on="f" focussize="0,0"/>
                  <v:stroke on="f"/>
                  <v:imagedata r:id="rId15" o:title=""/>
                  <o:lock v:ext="edit" aspectratio="f"/>
                </v:shape>
                <o:OLEObject Type="Embed" ProgID="Visio.Drawing.11" ShapeID="对象 7" DrawAspect="Content" ObjectID="_1468075726" r:id="rId14">
                  <o:LockedField>false</o:LockedField>
                </o:OLEObject>
              </w:pict>
            </w:r>
            <w:r>
              <w:rPr>
                <w:rFonts w:hint="eastAsia"/>
                <w:sz w:val="24"/>
                <w:szCs w:val="24"/>
              </w:rPr>
              <w:t>本项目</w:t>
            </w:r>
            <w:r>
              <w:rPr>
                <w:rFonts w:hint="eastAsia"/>
                <w:sz w:val="24"/>
                <w:szCs w:val="24"/>
                <w:lang w:val="en-US" w:eastAsia="zh-CN"/>
              </w:rPr>
              <w:t>操作流程</w:t>
            </w:r>
            <w:r>
              <w:rPr>
                <w:rFonts w:hint="eastAsia"/>
                <w:sz w:val="24"/>
                <w:szCs w:val="24"/>
              </w:rPr>
              <w:t>详见下图：</w:t>
            </w:r>
          </w:p>
          <w:p>
            <w:pPr>
              <w:keepNext w:val="0"/>
              <w:keepLines w:val="0"/>
              <w:pageBreakBefore w:val="0"/>
              <w:widowControl w:val="0"/>
              <w:kinsoku/>
              <w:wordWrap/>
              <w:overflowPunct/>
              <w:topLinePunct w:val="0"/>
              <w:autoSpaceDE/>
              <w:autoSpaceDN/>
              <w:bidi w:val="0"/>
              <w:spacing w:line="520" w:lineRule="exact"/>
              <w:jc w:val="left"/>
              <w:textAlignment w:val="auto"/>
              <w:rPr>
                <w:sz w:val="24"/>
                <w:szCs w:val="24"/>
              </w:rPr>
            </w:pPr>
          </w:p>
          <w:p>
            <w:pPr>
              <w:keepNext w:val="0"/>
              <w:keepLines w:val="0"/>
              <w:pageBreakBefore w:val="0"/>
              <w:widowControl w:val="0"/>
              <w:kinsoku/>
              <w:wordWrap/>
              <w:overflowPunct/>
              <w:topLinePunct w:val="0"/>
              <w:autoSpaceDE/>
              <w:autoSpaceDN/>
              <w:bidi w:val="0"/>
              <w:spacing w:line="520" w:lineRule="exact"/>
              <w:jc w:val="left"/>
              <w:textAlignment w:val="auto"/>
              <w:rPr>
                <w:sz w:val="24"/>
                <w:szCs w:val="24"/>
              </w:rPr>
            </w:pPr>
          </w:p>
          <w:p>
            <w:pPr>
              <w:keepNext w:val="0"/>
              <w:keepLines w:val="0"/>
              <w:pageBreakBefore w:val="0"/>
              <w:widowControl w:val="0"/>
              <w:kinsoku/>
              <w:wordWrap/>
              <w:overflowPunct/>
              <w:topLinePunct w:val="0"/>
              <w:autoSpaceDE/>
              <w:autoSpaceDN/>
              <w:bidi w:val="0"/>
              <w:spacing w:line="520" w:lineRule="exact"/>
              <w:jc w:val="left"/>
              <w:textAlignment w:val="auto"/>
              <w:rPr>
                <w:sz w:val="24"/>
                <w:szCs w:val="24"/>
              </w:rPr>
            </w:pPr>
          </w:p>
          <w:p>
            <w:pPr>
              <w:spacing w:line="440" w:lineRule="exact"/>
              <w:jc w:val="left"/>
              <w:rPr>
                <w:sz w:val="24"/>
                <w:szCs w:val="24"/>
              </w:rPr>
            </w:pPr>
          </w:p>
          <w:p>
            <w:pPr>
              <w:tabs>
                <w:tab w:val="left" w:pos="2775"/>
                <w:tab w:val="center" w:pos="4683"/>
              </w:tabs>
              <w:snapToGrid w:val="0"/>
              <w:spacing w:line="440" w:lineRule="exact"/>
              <w:rPr>
                <w:rFonts w:eastAsia="黑体"/>
                <w:sz w:val="24"/>
              </w:rPr>
            </w:pPr>
          </w:p>
          <w:p>
            <w:pPr>
              <w:tabs>
                <w:tab w:val="left" w:pos="2775"/>
                <w:tab w:val="center" w:pos="4683"/>
              </w:tabs>
              <w:snapToGrid w:val="0"/>
              <w:spacing w:line="440" w:lineRule="exact"/>
              <w:ind w:firstLine="600"/>
              <w:jc w:val="center"/>
              <w:rPr>
                <w:rFonts w:eastAsia="黑体"/>
                <w:sz w:val="24"/>
              </w:rPr>
            </w:pPr>
          </w:p>
          <w:p>
            <w:pPr>
              <w:tabs>
                <w:tab w:val="left" w:pos="2775"/>
                <w:tab w:val="center" w:pos="4683"/>
              </w:tabs>
              <w:snapToGrid w:val="0"/>
              <w:spacing w:line="440" w:lineRule="exact"/>
              <w:ind w:firstLine="600"/>
              <w:jc w:val="center"/>
              <w:rPr>
                <w:rFonts w:eastAsia="黑体"/>
                <w:sz w:val="24"/>
              </w:rPr>
            </w:pPr>
          </w:p>
          <w:p>
            <w:pPr>
              <w:tabs>
                <w:tab w:val="left" w:pos="2775"/>
                <w:tab w:val="center" w:pos="4683"/>
              </w:tabs>
              <w:snapToGrid w:val="0"/>
              <w:spacing w:line="440" w:lineRule="exact"/>
              <w:ind w:firstLine="600"/>
              <w:jc w:val="center"/>
              <w:rPr>
                <w:rFonts w:eastAsia="黑体"/>
                <w:sz w:val="24"/>
              </w:rPr>
            </w:pPr>
          </w:p>
          <w:p>
            <w:pPr>
              <w:tabs>
                <w:tab w:val="left" w:pos="2775"/>
                <w:tab w:val="center" w:pos="4683"/>
              </w:tabs>
              <w:snapToGrid w:val="0"/>
              <w:spacing w:line="440" w:lineRule="exact"/>
              <w:ind w:firstLine="600"/>
              <w:jc w:val="center"/>
              <w:rPr>
                <w:rFonts w:eastAsia="黑体"/>
                <w:sz w:val="24"/>
              </w:rPr>
            </w:pPr>
          </w:p>
          <w:p>
            <w:pPr>
              <w:tabs>
                <w:tab w:val="left" w:pos="2775"/>
                <w:tab w:val="center" w:pos="4683"/>
              </w:tabs>
              <w:snapToGrid w:val="0"/>
              <w:spacing w:line="440" w:lineRule="exact"/>
              <w:ind w:firstLine="600"/>
              <w:jc w:val="center"/>
              <w:rPr>
                <w:rFonts w:eastAsia="黑体"/>
                <w:sz w:val="24"/>
              </w:rPr>
            </w:pPr>
          </w:p>
          <w:p>
            <w:pPr>
              <w:tabs>
                <w:tab w:val="left" w:pos="2775"/>
                <w:tab w:val="center" w:pos="4683"/>
              </w:tabs>
              <w:snapToGrid w:val="0"/>
              <w:spacing w:line="440" w:lineRule="exact"/>
              <w:ind w:firstLine="600"/>
              <w:jc w:val="center"/>
              <w:rPr>
                <w:rFonts w:eastAsia="黑体"/>
                <w:sz w:val="24"/>
              </w:rPr>
            </w:pPr>
          </w:p>
          <w:p>
            <w:pPr>
              <w:tabs>
                <w:tab w:val="left" w:pos="2775"/>
                <w:tab w:val="center" w:pos="4683"/>
              </w:tabs>
              <w:snapToGrid w:val="0"/>
              <w:spacing w:line="440" w:lineRule="exact"/>
              <w:ind w:firstLine="600"/>
              <w:jc w:val="center"/>
              <w:rPr>
                <w:rFonts w:eastAsia="黑体"/>
                <w:sz w:val="24"/>
              </w:rPr>
            </w:pPr>
          </w:p>
          <w:p>
            <w:pPr>
              <w:tabs>
                <w:tab w:val="left" w:pos="2775"/>
                <w:tab w:val="center" w:pos="4683"/>
              </w:tabs>
              <w:snapToGrid w:val="0"/>
              <w:spacing w:line="440" w:lineRule="exact"/>
              <w:ind w:firstLine="600"/>
              <w:jc w:val="center"/>
              <w:rPr>
                <w:rFonts w:eastAsia="黑体"/>
                <w:sz w:val="24"/>
              </w:rPr>
            </w:pPr>
          </w:p>
          <w:p>
            <w:pPr>
              <w:pStyle w:val="121"/>
              <w:keepNext w:val="0"/>
              <w:keepLines w:val="0"/>
              <w:pageBreakBefore w:val="0"/>
              <w:widowControl w:val="0"/>
              <w:numPr>
                <w:ilvl w:val="0"/>
                <w:numId w:val="0"/>
              </w:numPr>
              <w:kinsoku/>
              <w:wordWrap/>
              <w:overflowPunct/>
              <w:topLinePunct w:val="0"/>
              <w:autoSpaceDE/>
              <w:autoSpaceDN/>
              <w:bidi w:val="0"/>
              <w:spacing w:line="520" w:lineRule="exact"/>
              <w:ind w:leftChars="0"/>
              <w:jc w:val="center"/>
              <w:textAlignment w:val="auto"/>
              <w:rPr>
                <w:rFonts w:hint="default" w:ascii="Times New Roman" w:hAnsi="Times New Roman" w:eastAsia="宋体" w:cs="Times New Roman"/>
              </w:rPr>
            </w:pPr>
            <w:r>
              <w:rPr>
                <w:rFonts w:hint="default" w:ascii="Times New Roman" w:hAnsi="Times New Roman" w:eastAsia="宋体" w:cs="Times New Roman"/>
              </w:rPr>
              <w:t>图</w:t>
            </w:r>
            <w:r>
              <w:rPr>
                <w:rFonts w:hint="eastAsia" w:ascii="Times New Roman" w:hAnsi="Times New Roman" w:eastAsia="宋体" w:cs="Times New Roman"/>
                <w:lang w:val="en-US" w:eastAsia="zh-CN"/>
              </w:rPr>
              <w:t xml:space="preserve">2    </w:t>
            </w:r>
            <w:r>
              <w:rPr>
                <w:rFonts w:hint="default" w:ascii="Times New Roman" w:hAnsi="Times New Roman" w:eastAsia="宋体" w:cs="Times New Roman"/>
              </w:rPr>
              <w:t>生产工艺流程及产污环节示意图</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rPr>
                <w:sz w:val="24"/>
                <w:szCs w:val="24"/>
              </w:rPr>
            </w:pPr>
            <w:r>
              <w:rPr>
                <w:rFonts w:hint="eastAsia"/>
                <w:sz w:val="24"/>
                <w:szCs w:val="24"/>
              </w:rPr>
              <w:t>生产工艺简述：</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firstLine="480" w:firstLineChars="200"/>
              <w:jc w:val="left"/>
              <w:textAlignment w:val="auto"/>
              <w:rPr>
                <w:rFonts w:hint="eastAsia"/>
                <w:sz w:val="24"/>
                <w:szCs w:val="24"/>
              </w:rPr>
            </w:pPr>
            <w:r>
              <w:rPr>
                <w:rFonts w:hint="eastAsia"/>
                <w:sz w:val="24"/>
                <w:szCs w:val="24"/>
              </w:rPr>
              <w:t>收集</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eastAsia" w:eastAsia="宋体"/>
                <w:sz w:val="24"/>
                <w:szCs w:val="24"/>
                <w:lang w:eastAsia="zh-CN"/>
              </w:rPr>
            </w:pPr>
            <w:r>
              <w:rPr>
                <w:rFonts w:hint="eastAsia"/>
                <w:sz w:val="24"/>
                <w:szCs w:val="24"/>
                <w:lang w:val="en-US" w:eastAsia="zh-CN"/>
              </w:rPr>
              <w:t>1、</w:t>
            </w:r>
            <w:r>
              <w:rPr>
                <w:rFonts w:hint="eastAsia"/>
                <w:sz w:val="24"/>
                <w:szCs w:val="24"/>
              </w:rPr>
              <w:t>制定危险废物转移计划：根据与客户的签约合同内容，与客户联系安排危险废物转移计划，包括具体的转移时间、各类危险废物的转移数量、包装物是否安全有效、客户方是否具备有效的危险废物转移联单手续等内容。不得安排不符合危险废物资运输资质管理要求的车辆和人员实施转移危险废物。</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jc w:val="left"/>
              <w:textAlignment w:val="auto"/>
              <w:rPr>
                <w:rFonts w:hint="eastAsia" w:eastAsia="宋体"/>
                <w:color w:val="000000"/>
                <w:sz w:val="24"/>
                <w:szCs w:val="24"/>
                <w:lang w:eastAsia="zh-CN"/>
              </w:rPr>
            </w:pPr>
            <w:r>
              <w:rPr>
                <w:rFonts w:hint="eastAsia"/>
                <w:sz w:val="24"/>
                <w:szCs w:val="24"/>
              </w:rPr>
              <w:t>2、物联网系统派车运输：在物联网系统提交派车申请，第三方运输调度根据提交的派车申请合理安排派车。到客户方现场进行危险废物的收集、转移运输工作必须符合危</w:t>
            </w:r>
            <w:r>
              <w:rPr>
                <w:rFonts w:hint="eastAsia"/>
                <w:color w:val="000000"/>
                <w:sz w:val="24"/>
                <w:szCs w:val="24"/>
              </w:rPr>
              <w:t>险废物运输资质管理要求。严格按照相关管理制度要求装载及运输危险废物。进行危险废物转移时，运输车辆严格按照计划行车路线行驶，尽量避开商业、景区、村镇等人员密集区域，确保运输安全。</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0" w:leftChars="0" w:firstLine="480" w:firstLineChars="200"/>
              <w:textAlignment w:val="auto"/>
              <w:rPr>
                <w:rFonts w:hint="eastAsia"/>
                <w:color w:val="000000"/>
                <w:sz w:val="24"/>
                <w:szCs w:val="24"/>
              </w:rPr>
            </w:pPr>
            <w:r>
              <w:rPr>
                <w:rFonts w:hint="eastAsia"/>
                <w:color w:val="000000"/>
                <w:sz w:val="24"/>
                <w:szCs w:val="24"/>
              </w:rPr>
              <w:t>入库贮存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000000"/>
                <w:sz w:val="24"/>
                <w:szCs w:val="24"/>
              </w:rPr>
            </w:pPr>
            <w:r>
              <w:rPr>
                <w:rFonts w:hint="eastAsia"/>
                <w:color w:val="000000"/>
                <w:sz w:val="24"/>
                <w:szCs w:val="24"/>
                <w:lang w:val="en-US" w:eastAsia="zh-CN"/>
              </w:rPr>
              <w:t>3、</w:t>
            </w:r>
            <w:r>
              <w:rPr>
                <w:rFonts w:hint="eastAsia"/>
                <w:color w:val="000000"/>
                <w:sz w:val="24"/>
                <w:szCs w:val="24"/>
              </w:rPr>
              <w:t>危险废物进厂称重：按不同类别、种类危险废物分别进行依次卸载过磅，并打印称重单，将称重单订附在相对应的危险废物转移联单上。危险废物运输人员与贮存库管理人员办理危险废物入库交接手续，明确责任人。</w:t>
            </w:r>
          </w:p>
          <w:p>
            <w:pPr>
              <w:keepNext w:val="0"/>
              <w:keepLines w:val="0"/>
              <w:pageBreakBefore w:val="0"/>
              <w:widowControl w:val="0"/>
              <w:tabs>
                <w:tab w:val="left" w:pos="876"/>
              </w:tabs>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sz w:val="24"/>
              </w:rPr>
            </w:pPr>
            <w:r>
              <w:rPr>
                <w:rFonts w:hint="eastAsia"/>
                <w:color w:val="000000"/>
                <w:sz w:val="24"/>
                <w:szCs w:val="24"/>
                <w:lang w:val="en-US" w:eastAsia="zh-CN"/>
              </w:rPr>
              <w:t>4、</w:t>
            </w:r>
            <w:r>
              <w:rPr>
                <w:rFonts w:hint="eastAsia"/>
                <w:color w:val="000000"/>
                <w:sz w:val="24"/>
                <w:szCs w:val="24"/>
              </w:rPr>
              <w:t>分类贮存：</w:t>
            </w:r>
            <w:r>
              <w:rPr>
                <w:rFonts w:hint="default" w:ascii="Times New Roman" w:hAnsi="Times New Roman" w:eastAsia="宋体" w:cs="Times New Roman"/>
                <w:sz w:val="24"/>
              </w:rPr>
              <w:t>各危险废物按照危险废物的种类和特性分区贮存，各暂存区均留有搬运通道，入库与转运出库的包装方式不变，固态危险废物仍以桶装或袋装暂存，液态和半固态危险废物仍以桶装保存。本项目针对部分危险废物在库房内可能进行合并打包，将多个小包装至于大包装中，以便于转运的需要，但均不拆包、不倒</w:t>
            </w:r>
            <w:r>
              <w:rPr>
                <w:rFonts w:hint="eastAsia" w:ascii="Times New Roman" w:hAnsi="Times New Roman" w:eastAsia="宋体" w:cs="Times New Roman"/>
                <w:sz w:val="24"/>
                <w:lang w:eastAsia="zh-CN"/>
              </w:rPr>
              <w:t>桶</w:t>
            </w:r>
            <w:r>
              <w:rPr>
                <w:rFonts w:hint="default" w:ascii="Times New Roman" w:hAnsi="Times New Roman" w:eastAsia="宋体" w:cs="Times New Roman"/>
                <w:sz w:val="24"/>
              </w:rPr>
              <w:t>，具体打包要求按照各类危险废物最终处置单位提供的包装要求进行操作。</w:t>
            </w:r>
          </w:p>
          <w:p>
            <w:pPr>
              <w:keepNext w:val="0"/>
              <w:keepLines w:val="0"/>
              <w:pageBreakBefore w:val="0"/>
              <w:widowControl w:val="0"/>
              <w:tabs>
                <w:tab w:val="left" w:pos="876"/>
              </w:tabs>
              <w:kinsoku/>
              <w:wordWrap/>
              <w:overflowPunct/>
              <w:topLinePunct w:val="0"/>
              <w:autoSpaceDE/>
              <w:autoSpaceDN/>
              <w:bidi w:val="0"/>
              <w:adjustRightInd/>
              <w:snapToGrid/>
              <w:spacing w:line="520" w:lineRule="exact"/>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项目厂房地面采取防渗、防腐措施。危险废物储存过程中，半固态、液态物如发生泄漏，其泄露出来的液体流入托盘导流槽，最后进入</w:t>
            </w:r>
            <w:r>
              <w:rPr>
                <w:rFonts w:hint="eastAsia" w:cs="Times New Roman"/>
                <w:sz w:val="24"/>
                <w:lang w:val="en-US" w:eastAsia="zh-CN"/>
              </w:rPr>
              <w:t>泄漏液体</w:t>
            </w:r>
            <w:r>
              <w:rPr>
                <w:rFonts w:hint="default" w:ascii="Times New Roman" w:hAnsi="Times New Roman" w:eastAsia="宋体" w:cs="Times New Roman"/>
                <w:sz w:val="24"/>
              </w:rPr>
              <w:t>收集桶中，收集桶的废液作为危险废物进行暂存。项目对危险废物暂存区产生的废气负压收集后经</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碱喷淋+除湿除雾+活性炭吸附</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处理后，通过1根15m高排气筒外排。</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eastAsia="宋体"/>
                <w:color w:val="000000"/>
                <w:sz w:val="24"/>
                <w:szCs w:val="24"/>
                <w:lang w:eastAsia="zh-CN"/>
              </w:rPr>
            </w:pPr>
            <w:r>
              <w:rPr>
                <w:rFonts w:hint="eastAsia"/>
                <w:color w:val="000000"/>
                <w:sz w:val="24"/>
                <w:szCs w:val="24"/>
                <w:lang w:val="en-US" w:eastAsia="zh-CN"/>
              </w:rPr>
              <w:t>5、</w:t>
            </w:r>
            <w:r>
              <w:rPr>
                <w:rFonts w:hint="eastAsia"/>
                <w:color w:val="000000"/>
                <w:sz w:val="24"/>
                <w:szCs w:val="24"/>
              </w:rPr>
              <w:t>入库手续办理：将转移联单、称重单手续移交给内勤人员，登记危险废物收集台账，在物联网系统登记入库，登录生态环境局转移联单管理系统进行转移联单的核销办结，进行转移联单的接收盖章。将转移联单第一联及时返回给客户方存档备查，转移联单第二、三联由公司存档备查。</w:t>
            </w:r>
          </w:p>
          <w:p>
            <w:pPr>
              <w:keepNext w:val="0"/>
              <w:keepLines w:val="0"/>
              <w:pageBreakBefore w:val="0"/>
              <w:widowControl w:val="0"/>
              <w:numPr>
                <w:ilvl w:val="0"/>
                <w:numId w:val="3"/>
              </w:numPr>
              <w:kinsoku/>
              <w:wordWrap/>
              <w:overflowPunct/>
              <w:topLinePunct w:val="0"/>
              <w:autoSpaceDE/>
              <w:autoSpaceDN/>
              <w:bidi w:val="0"/>
              <w:adjustRightInd/>
              <w:snapToGrid/>
              <w:spacing w:line="520" w:lineRule="exact"/>
              <w:ind w:left="0" w:leftChars="0" w:firstLine="480" w:firstLineChars="200"/>
              <w:textAlignment w:val="auto"/>
              <w:rPr>
                <w:rFonts w:hint="eastAsia"/>
                <w:color w:val="000000"/>
                <w:sz w:val="24"/>
                <w:szCs w:val="24"/>
              </w:rPr>
            </w:pPr>
            <w:r>
              <w:rPr>
                <w:rFonts w:hint="eastAsia"/>
                <w:color w:val="000000"/>
                <w:sz w:val="24"/>
                <w:szCs w:val="24"/>
              </w:rPr>
              <w:t>转运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color w:val="000000"/>
                <w:sz w:val="24"/>
                <w:szCs w:val="24"/>
              </w:rPr>
            </w:pPr>
            <w:r>
              <w:rPr>
                <w:rFonts w:hint="eastAsia"/>
                <w:color w:val="000000"/>
                <w:sz w:val="24"/>
                <w:szCs w:val="24"/>
                <w:lang w:val="en-US" w:eastAsia="zh-CN"/>
              </w:rPr>
              <w:t>6、</w:t>
            </w:r>
            <w:r>
              <w:rPr>
                <w:rFonts w:hint="eastAsia"/>
                <w:color w:val="000000"/>
                <w:sz w:val="24"/>
                <w:szCs w:val="24"/>
              </w:rPr>
              <w:t>签订危险废物跨省接收处置及运输合同：项目建设单位与持有有效《危险废物经营许可证》的危险废物处置企业签订</w:t>
            </w:r>
            <w:r>
              <w:rPr>
                <w:rFonts w:hint="eastAsia"/>
                <w:color w:val="000000"/>
                <w:sz w:val="24"/>
                <w:szCs w:val="24"/>
                <w:lang w:eastAsia="zh-CN"/>
              </w:rPr>
              <w:t>“</w:t>
            </w:r>
            <w:r>
              <w:rPr>
                <w:rFonts w:hint="eastAsia"/>
                <w:color w:val="000000"/>
                <w:sz w:val="24"/>
                <w:szCs w:val="24"/>
              </w:rPr>
              <w:t>危险废物接收处置合同</w:t>
            </w:r>
            <w:r>
              <w:rPr>
                <w:rFonts w:hint="eastAsia"/>
                <w:color w:val="000000"/>
                <w:sz w:val="24"/>
                <w:szCs w:val="24"/>
                <w:lang w:eastAsia="zh-CN"/>
              </w:rPr>
              <w:t>”</w:t>
            </w:r>
            <w:r>
              <w:rPr>
                <w:rFonts w:hint="eastAsia"/>
                <w:color w:val="000000"/>
                <w:sz w:val="24"/>
                <w:szCs w:val="24"/>
              </w:rPr>
              <w:t>，建立长期稳定的业务合作关系。危险废物的运输委托具有</w:t>
            </w:r>
            <w:r>
              <w:rPr>
                <w:rFonts w:hint="eastAsia"/>
                <w:color w:val="000000"/>
                <w:sz w:val="24"/>
                <w:szCs w:val="24"/>
                <w:lang w:eastAsia="zh-CN"/>
              </w:rPr>
              <w:t>“</w:t>
            </w:r>
            <w:r>
              <w:rPr>
                <w:rFonts w:hint="eastAsia"/>
                <w:color w:val="000000"/>
                <w:sz w:val="24"/>
                <w:szCs w:val="24"/>
              </w:rPr>
              <w:t>危险废物运输资质</w:t>
            </w:r>
            <w:r>
              <w:rPr>
                <w:rFonts w:hint="eastAsia"/>
                <w:color w:val="000000"/>
                <w:sz w:val="24"/>
                <w:szCs w:val="24"/>
                <w:lang w:eastAsia="zh-CN"/>
              </w:rPr>
              <w:t>”</w:t>
            </w:r>
            <w:r>
              <w:rPr>
                <w:rFonts w:hint="eastAsia"/>
                <w:color w:val="000000"/>
                <w:sz w:val="24"/>
                <w:szCs w:val="24"/>
              </w:rPr>
              <w:t>的第三方运输单位。</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eastAsia="宋体"/>
                <w:color w:val="000000"/>
                <w:sz w:val="24"/>
                <w:szCs w:val="24"/>
                <w:lang w:eastAsia="zh-CN"/>
              </w:rPr>
            </w:pPr>
            <w:r>
              <w:rPr>
                <w:rFonts w:hint="eastAsia"/>
                <w:color w:val="000000"/>
                <w:sz w:val="24"/>
                <w:szCs w:val="24"/>
                <w:lang w:val="en-US" w:eastAsia="zh-CN"/>
              </w:rPr>
              <w:t>7、</w:t>
            </w:r>
            <w:r>
              <w:rPr>
                <w:rFonts w:hint="eastAsia"/>
                <w:color w:val="000000"/>
                <w:sz w:val="24"/>
                <w:szCs w:val="24"/>
              </w:rPr>
              <w:t>申领危险废物转移联单：项目建设单位向主管环境保护管理部门提交危险废物转移申请的相关材料，同时并取得危险废物接收地主管环境保护管理部门的相关批复。严格按照《危险废物转移联单管理办法》相关要求向申领</w:t>
            </w:r>
            <w:r>
              <w:rPr>
                <w:rFonts w:hint="eastAsia"/>
                <w:color w:val="000000"/>
                <w:sz w:val="24"/>
                <w:szCs w:val="24"/>
                <w:lang w:eastAsia="zh-CN"/>
              </w:rPr>
              <w:t>“</w:t>
            </w:r>
            <w:r>
              <w:rPr>
                <w:rFonts w:hint="eastAsia"/>
                <w:color w:val="000000"/>
                <w:sz w:val="24"/>
                <w:szCs w:val="24"/>
              </w:rPr>
              <w:t>危险废物转移联单</w:t>
            </w:r>
            <w:r>
              <w:rPr>
                <w:rFonts w:hint="eastAsia"/>
                <w:color w:val="000000"/>
                <w:sz w:val="24"/>
                <w:szCs w:val="24"/>
                <w:lang w:eastAsia="zh-CN"/>
              </w:rPr>
              <w:t>”</w:t>
            </w:r>
            <w:r>
              <w:rPr>
                <w:rFonts w:hint="eastAsia"/>
                <w:color w:val="000000"/>
                <w:sz w:val="24"/>
                <w:szCs w:val="24"/>
              </w:rPr>
              <w:t>手续。</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eastAsia="宋体"/>
                <w:color w:val="000000"/>
                <w:sz w:val="24"/>
                <w:szCs w:val="24"/>
                <w:lang w:eastAsia="zh-CN"/>
              </w:rPr>
            </w:pPr>
            <w:r>
              <w:rPr>
                <w:rFonts w:hint="eastAsia"/>
                <w:color w:val="000000"/>
                <w:sz w:val="24"/>
                <w:szCs w:val="24"/>
              </w:rPr>
              <w:t>8、危险废物计重装载：危险废物运输专用车辆到达公司仓库，使用电动叉车倒运危险废物，将同一类别不同种类危险废物依次在电子磅上进行称重并做好记录，装载时注意轻装轻放，码放整齐，防止倾斜掉落。严禁随车装载其他货物，禁止超重装载。</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eastAsia="宋体"/>
                <w:color w:val="000000"/>
                <w:sz w:val="24"/>
                <w:szCs w:val="24"/>
                <w:lang w:eastAsia="zh-CN"/>
              </w:rPr>
            </w:pPr>
            <w:r>
              <w:rPr>
                <w:rFonts w:hint="eastAsia"/>
                <w:color w:val="000000"/>
                <w:sz w:val="24"/>
                <w:szCs w:val="24"/>
              </w:rPr>
              <w:t>9、转移手续办理：库房与运输单位工作人员共同确认本批次装载危险废物的类别、种类和数量，填写出库单并签字，填写并盖章</w:t>
            </w:r>
            <w:r>
              <w:rPr>
                <w:rFonts w:hint="eastAsia"/>
                <w:color w:val="000000"/>
                <w:sz w:val="24"/>
                <w:szCs w:val="24"/>
                <w:lang w:eastAsia="zh-CN"/>
              </w:rPr>
              <w:t>“</w:t>
            </w:r>
            <w:r>
              <w:rPr>
                <w:rFonts w:hint="eastAsia"/>
                <w:color w:val="000000"/>
                <w:sz w:val="24"/>
                <w:szCs w:val="24"/>
              </w:rPr>
              <w:t>危险废物转移联单</w:t>
            </w:r>
            <w:r>
              <w:rPr>
                <w:rFonts w:hint="eastAsia"/>
                <w:color w:val="000000"/>
                <w:sz w:val="24"/>
                <w:szCs w:val="24"/>
                <w:lang w:eastAsia="zh-CN"/>
              </w:rPr>
              <w:t>”</w:t>
            </w:r>
            <w:r>
              <w:rPr>
                <w:rFonts w:hint="eastAsia"/>
                <w:color w:val="000000"/>
                <w:sz w:val="24"/>
                <w:szCs w:val="24"/>
              </w:rPr>
              <w:t>手续随车运行。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rFonts w:hint="eastAsia" w:eastAsia="宋体"/>
                <w:color w:val="000000"/>
                <w:sz w:val="24"/>
                <w:szCs w:val="24"/>
                <w:lang w:eastAsia="zh-CN"/>
              </w:rPr>
            </w:pPr>
            <w:r>
              <w:rPr>
                <w:rFonts w:hint="eastAsia"/>
                <w:color w:val="000000"/>
                <w:sz w:val="24"/>
                <w:szCs w:val="24"/>
              </w:rPr>
              <w:t>10、出库登记：库房工作人员将称重单、出库单手续移交给内勤统计人员，登记危险废物转移台账，同时在物联网系统进行相关数据录入。出库管理人员与危险废物运输承接人员办理交接手续，明确责任人。审查专业运输单位资质，不得把危险废物交给资质不符合规定的运输单位和人员。</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textAlignment w:val="auto"/>
              <w:rPr>
                <w:color w:val="000000"/>
                <w:sz w:val="24"/>
                <w:szCs w:val="24"/>
              </w:rPr>
            </w:pPr>
            <w:r>
              <w:rPr>
                <w:rFonts w:hint="eastAsia"/>
                <w:color w:val="000000"/>
                <w:sz w:val="24"/>
                <w:szCs w:val="24"/>
              </w:rPr>
              <w:t>11、处置单位接收危险废物：危险废物接收单位进行货物验收和称重复验，接收单位填写危险废物转移联单手续并盖章，将</w:t>
            </w:r>
            <w:r>
              <w:rPr>
                <w:rFonts w:hint="eastAsia"/>
                <w:color w:val="000000"/>
                <w:sz w:val="24"/>
                <w:szCs w:val="24"/>
                <w:lang w:eastAsia="zh-CN"/>
              </w:rPr>
              <w:t>“</w:t>
            </w:r>
            <w:r>
              <w:rPr>
                <w:rFonts w:hint="eastAsia"/>
                <w:color w:val="000000"/>
                <w:sz w:val="24"/>
                <w:szCs w:val="24"/>
              </w:rPr>
              <w:t>危险废物转移联单</w:t>
            </w:r>
            <w:r>
              <w:rPr>
                <w:rFonts w:hint="eastAsia"/>
                <w:color w:val="000000"/>
                <w:sz w:val="24"/>
                <w:szCs w:val="24"/>
                <w:lang w:eastAsia="zh-CN"/>
              </w:rPr>
              <w:t>”</w:t>
            </w:r>
            <w:r>
              <w:rPr>
                <w:rFonts w:hint="eastAsia"/>
                <w:color w:val="000000"/>
                <w:sz w:val="24"/>
                <w:szCs w:val="24"/>
              </w:rPr>
              <w:t>按要求存档备查和返回给环保相关部门、移出单位、运输单位。</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color w:val="000000"/>
                <w:sz w:val="24"/>
                <w:szCs w:val="24"/>
              </w:rPr>
            </w:pPr>
            <w:r>
              <w:rPr>
                <w:rFonts w:hint="eastAsia"/>
                <w:color w:val="000000"/>
                <w:sz w:val="24"/>
                <w:szCs w:val="24"/>
              </w:rPr>
              <w:t>本项目各类危废按类别分开贮存，且不相容的危废分开贮存，并设有必要的隔离装置。易产生挥发性有机物的危险废物贮存于仓库西侧，便于</w:t>
            </w:r>
            <w:r>
              <w:rPr>
                <w:rFonts w:hint="eastAsia"/>
                <w:color w:val="000000"/>
                <w:sz w:val="24"/>
                <w:szCs w:val="24"/>
                <w:lang w:val="en-US" w:eastAsia="zh-CN"/>
              </w:rPr>
              <w:t>集中</w:t>
            </w:r>
            <w:r>
              <w:rPr>
                <w:rFonts w:hint="eastAsia"/>
                <w:color w:val="000000"/>
                <w:sz w:val="24"/>
                <w:szCs w:val="24"/>
              </w:rPr>
              <w:t>收集及处理</w:t>
            </w:r>
            <w:r>
              <w:rPr>
                <w:rFonts w:hint="eastAsia"/>
                <w:color w:val="000000"/>
                <w:sz w:val="24"/>
                <w:szCs w:val="24"/>
                <w:lang w:eastAsia="zh-CN"/>
              </w:rPr>
              <w:t>，</w:t>
            </w:r>
            <w:r>
              <w:rPr>
                <w:rFonts w:hint="eastAsia"/>
                <w:color w:val="000000"/>
                <w:sz w:val="24"/>
                <w:szCs w:val="24"/>
                <w:lang w:val="en-US" w:eastAsia="zh-CN"/>
              </w:rPr>
              <w:t>同时</w:t>
            </w:r>
            <w:r>
              <w:rPr>
                <w:rFonts w:hint="eastAsia"/>
                <w:color w:val="000000"/>
                <w:sz w:val="24"/>
                <w:szCs w:val="24"/>
              </w:rPr>
              <w:t>设置</w:t>
            </w:r>
            <w:r>
              <w:rPr>
                <w:rFonts w:hint="eastAsia"/>
                <w:color w:val="000000"/>
                <w:sz w:val="24"/>
                <w:szCs w:val="24"/>
                <w:lang w:val="en-US" w:eastAsia="zh-CN"/>
              </w:rPr>
              <w:t>1</w:t>
            </w:r>
            <w:r>
              <w:rPr>
                <w:rFonts w:hint="eastAsia"/>
                <w:color w:val="000000"/>
                <w:sz w:val="24"/>
                <w:szCs w:val="24"/>
              </w:rPr>
              <w:t>个应急储罐，便于事故状态下物料的转存。</w:t>
            </w:r>
            <w:r>
              <w:rPr>
                <w:rFonts w:hint="eastAsia"/>
                <w:color w:val="000000"/>
                <w:sz w:val="24"/>
                <w:szCs w:val="24"/>
                <w:lang w:val="en-US" w:eastAsia="zh-CN"/>
              </w:rPr>
              <w:t>仓库北部</w:t>
            </w:r>
            <w:r>
              <w:rPr>
                <w:rFonts w:hint="eastAsia"/>
                <w:color w:val="000000"/>
                <w:sz w:val="24"/>
                <w:szCs w:val="24"/>
              </w:rPr>
              <w:t>设置有1个事故应急池，并建</w:t>
            </w:r>
            <w:r>
              <w:rPr>
                <w:rFonts w:hint="eastAsia"/>
                <w:color w:val="000000"/>
                <w:sz w:val="24"/>
                <w:szCs w:val="24"/>
                <w:lang w:val="en-US" w:eastAsia="zh-CN"/>
              </w:rPr>
              <w:t>设</w:t>
            </w:r>
            <w:r>
              <w:rPr>
                <w:rFonts w:hint="eastAsia"/>
                <w:color w:val="000000"/>
                <w:sz w:val="24"/>
                <w:szCs w:val="24"/>
              </w:rPr>
              <w:t>导流槽，导流槽贯穿整个贮存区域，便于事故状态下液体的收集。办公区独立于厂区</w:t>
            </w:r>
            <w:r>
              <w:rPr>
                <w:rFonts w:hint="eastAsia"/>
                <w:color w:val="000000"/>
                <w:sz w:val="24"/>
                <w:szCs w:val="24"/>
                <w:lang w:val="en-US" w:eastAsia="zh-CN"/>
              </w:rPr>
              <w:t>北</w:t>
            </w:r>
            <w:r>
              <w:rPr>
                <w:rFonts w:hint="eastAsia"/>
                <w:color w:val="000000"/>
                <w:sz w:val="24"/>
                <w:szCs w:val="24"/>
              </w:rPr>
              <w:t>侧，与危废</w:t>
            </w:r>
            <w:r>
              <w:rPr>
                <w:rFonts w:hint="eastAsia"/>
                <w:color w:val="000000"/>
                <w:sz w:val="24"/>
                <w:szCs w:val="24"/>
                <w:lang w:val="en-US" w:eastAsia="zh-CN"/>
              </w:rPr>
              <w:t>仓库</w:t>
            </w:r>
            <w:r>
              <w:rPr>
                <w:rFonts w:hint="eastAsia"/>
                <w:color w:val="000000"/>
                <w:sz w:val="24"/>
                <w:szCs w:val="24"/>
              </w:rPr>
              <w:t>隔离。根据</w:t>
            </w:r>
            <w:r>
              <w:rPr>
                <w:rFonts w:hint="eastAsia"/>
                <w:color w:val="000000"/>
                <w:sz w:val="24"/>
                <w:szCs w:val="24"/>
                <w:lang w:val="en-US" w:eastAsia="zh-CN"/>
              </w:rPr>
              <w:t>工程设计方案</w:t>
            </w:r>
            <w:r>
              <w:rPr>
                <w:rFonts w:hint="eastAsia"/>
                <w:color w:val="000000"/>
                <w:sz w:val="24"/>
                <w:szCs w:val="24"/>
              </w:rPr>
              <w:t>，本项目危险废物主要分区贮存平面布置</w:t>
            </w:r>
            <w:r>
              <w:rPr>
                <w:rFonts w:hint="eastAsia"/>
                <w:color w:val="000000"/>
                <w:sz w:val="24"/>
                <w:szCs w:val="24"/>
                <w:lang w:val="en-US" w:eastAsia="zh-CN"/>
              </w:rPr>
              <w:t>见附图5</w:t>
            </w:r>
            <w:r>
              <w:rPr>
                <w:rFonts w:hint="eastAsia"/>
                <w:color w:val="000000"/>
                <w:sz w:val="24"/>
                <w:szCs w:val="24"/>
              </w:rPr>
              <w:t>。</w:t>
            </w:r>
          </w:p>
          <w:p>
            <w:pPr>
              <w:keepNext w:val="0"/>
              <w:keepLines w:val="0"/>
              <w:pageBreakBefore w:val="0"/>
              <w:widowControl/>
              <w:suppressLineNumbers w:val="0"/>
              <w:kinsoku/>
              <w:wordWrap/>
              <w:overflowPunct/>
              <w:topLinePunct w:val="0"/>
              <w:autoSpaceDE/>
              <w:autoSpaceDN/>
              <w:bidi w:val="0"/>
              <w:adjustRightInd/>
              <w:snapToGrid/>
              <w:spacing w:line="520" w:lineRule="exact"/>
              <w:jc w:val="left"/>
              <w:textAlignment w:val="auto"/>
              <w:rPr>
                <w:sz w:val="24"/>
                <w:szCs w:val="24"/>
              </w:rPr>
            </w:pPr>
            <w:r>
              <w:rPr>
                <w:rFonts w:hint="eastAsia" w:ascii="宋体" w:hAnsi="宋体" w:eastAsia="宋体" w:cs="宋体"/>
                <w:b/>
                <w:bCs/>
                <w:color w:val="000000"/>
                <w:kern w:val="0"/>
                <w:sz w:val="24"/>
                <w:szCs w:val="24"/>
                <w:lang w:val="en-US" w:eastAsia="zh-CN" w:bidi="ar"/>
              </w:rPr>
              <w:t>主要污染工序：</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一、施工期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本项目</w:t>
            </w:r>
            <w:r>
              <w:rPr>
                <w:rFonts w:hint="eastAsia" w:cs="Times New Roman"/>
                <w:color w:val="000000"/>
                <w:sz w:val="24"/>
                <w:szCs w:val="24"/>
                <w:lang w:val="en-US" w:eastAsia="zh-CN"/>
              </w:rPr>
              <w:t>厂区已进行地面硬化，所需扩建仓库为钢结构建筑</w:t>
            </w:r>
            <w:r>
              <w:rPr>
                <w:rFonts w:hint="eastAsia" w:ascii="Times New Roman" w:hAnsi="Times New Roman" w:eastAsia="宋体" w:cs="Times New Roman"/>
                <w:color w:val="000000"/>
                <w:sz w:val="24"/>
                <w:szCs w:val="24"/>
                <w:lang w:val="en-US" w:eastAsia="zh-CN"/>
              </w:rPr>
              <w:t>，</w:t>
            </w:r>
            <w:r>
              <w:rPr>
                <w:rFonts w:hint="eastAsia" w:cs="Times New Roman"/>
                <w:color w:val="000000"/>
                <w:sz w:val="24"/>
                <w:szCs w:val="24"/>
                <w:lang w:val="en-US" w:eastAsia="zh-CN"/>
              </w:rPr>
              <w:t>所</w:t>
            </w:r>
            <w:r>
              <w:rPr>
                <w:rFonts w:hint="eastAsia" w:ascii="Times New Roman" w:hAnsi="Times New Roman" w:eastAsia="宋体" w:cs="Times New Roman"/>
                <w:color w:val="000000"/>
                <w:sz w:val="24"/>
                <w:szCs w:val="24"/>
                <w:lang w:val="en-US" w:eastAsia="zh-CN"/>
              </w:rPr>
              <w:t>涉及土建施工</w:t>
            </w:r>
            <w:r>
              <w:rPr>
                <w:rFonts w:hint="eastAsia" w:cs="Times New Roman"/>
                <w:color w:val="000000"/>
                <w:sz w:val="24"/>
                <w:szCs w:val="24"/>
                <w:lang w:val="en-US" w:eastAsia="zh-CN"/>
              </w:rPr>
              <w:t>较少</w:t>
            </w:r>
            <w:r>
              <w:rPr>
                <w:rFonts w:hint="eastAsia" w:ascii="Times New Roman" w:hAnsi="Times New Roman" w:eastAsia="宋体" w:cs="Times New Roman"/>
                <w:color w:val="000000"/>
                <w:sz w:val="24"/>
                <w:szCs w:val="24"/>
                <w:lang w:val="en-US" w:eastAsia="zh-CN"/>
              </w:rPr>
              <w:t>，建筑物室内装修（地面防渗防腐、环保设备安装等）主要污染物为施工噪声，同时产生少量装修粉尘、装修垃圾和生活污水。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lang w:val="en-US" w:eastAsia="zh-CN"/>
              </w:rPr>
              <w:t>二、营运期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eastAsia" w:ascii="Times New Roman" w:hAnsi="Times New Roman" w:eastAsia="宋体" w:cs="Times New Roman"/>
                <w:color w:val="000000"/>
                <w:sz w:val="24"/>
                <w:szCs w:val="24"/>
                <w:lang w:val="en-US" w:eastAsia="zh-CN"/>
              </w:rPr>
              <w:t>、废气污染物</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本项目营运期危险废物委托有资质的危化品运输单位，袋装、桶装危险废物进场后不进行重新分装，本项目可能涉及的废气污染因子如下：</w:t>
            </w:r>
          </w:p>
          <w:p>
            <w:pPr>
              <w:pStyle w:val="121"/>
              <w:numPr>
                <w:ilvl w:val="0"/>
                <w:numId w:val="0"/>
              </w:numPr>
              <w:bidi w:val="0"/>
              <w:ind w:leftChars="0"/>
              <w:jc w:val="center"/>
              <w:rPr>
                <w:rFonts w:hint="default"/>
              </w:rPr>
            </w:pPr>
            <w:r>
              <w:rPr>
                <w:rFonts w:hint="eastAsia"/>
                <w:lang w:val="en-US" w:eastAsia="zh-CN"/>
              </w:rPr>
              <w:t xml:space="preserve">表2-6       </w:t>
            </w:r>
            <w:r>
              <w:rPr>
                <w:rFonts w:hint="default"/>
              </w:rPr>
              <w:t>本项目危险废物可能涉及的废气污染因子</w:t>
            </w:r>
          </w:p>
          <w:tbl>
            <w:tblPr>
              <w:tblStyle w:val="25"/>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2166"/>
              <w:gridCol w:w="3474"/>
              <w:gridCol w:w="1395"/>
              <w:gridCol w:w="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危废类别</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行业来源</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可能涉及的物料及性质</w:t>
                  </w:r>
                </w:p>
              </w:tc>
              <w:tc>
                <w:tcPr>
                  <w:tcW w:w="13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废气污染因子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HW02医药废物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化学药品原料药制造</w:t>
                  </w:r>
                </w:p>
              </w:tc>
              <w:tc>
                <w:tcPr>
                  <w:tcW w:w="34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废母液涉及物料主要为挥发性有机物</w:t>
                  </w:r>
                </w:p>
              </w:tc>
              <w:tc>
                <w:tcPr>
                  <w:tcW w:w="13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化学药品制剂制造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兽用药品制造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生物药品制造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HW03医药物、药品</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多为固态物质，不具有挥发性</w:t>
                  </w:r>
                </w:p>
              </w:tc>
              <w:tc>
                <w:tcPr>
                  <w:tcW w:w="13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不考虑废气因子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HW04农药废物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农药制造</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甲苯（沸点110℃）、二乙基二硫代磷（沸点92~94℃）、四氯苯（沸点245℃）、2,6-二氯苯酚（沸点220℃）、乙烯基双二硫代氨基甲酸及盐类；农药行业常用有机溶剂有二氯甲烷、二氯乙烷、甲醇、乙醇等</w:t>
                  </w:r>
                </w:p>
              </w:tc>
              <w:tc>
                <w:tcPr>
                  <w:tcW w:w="139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按照涉及的物料沸点进行考虑，此部分危险废物涉及的废气因子为甲苯、二氯甲烷、甲醇、乙醇等挥发性有机物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多为固态物质，不具有挥发性</w:t>
                  </w:r>
                </w:p>
              </w:tc>
              <w:tc>
                <w:tcPr>
                  <w:tcW w:w="139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HW06废有机溶剂与含有机溶剂废物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涉及物料有四氯化碳、二氯甲烷、二氯乙烷、三氯乙烷、三氯乙烯、四氯乙烯、苯、苯乙烯、丁醇、丙酮等</w:t>
                  </w:r>
                </w:p>
              </w:tc>
              <w:tc>
                <w:tcPr>
                  <w:tcW w:w="13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HW08废矿物油与含矿物油废物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废润滑油及废油泥、油渣中可能含有少量轻油组分</w:t>
                  </w:r>
                </w:p>
              </w:tc>
              <w:tc>
                <w:tcPr>
                  <w:tcW w:w="13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HW09油/水、烃/水混合物或乳化液</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烃/水混合物</w:t>
                  </w:r>
                </w:p>
              </w:tc>
              <w:tc>
                <w:tcPr>
                  <w:tcW w:w="13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HW11精（蒸）馏残渣</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基础化学原料制造</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根据行业特点基础化学原料行业危险废物中含有的物质可能涉及苯、乙烯、乙炔、甲苯等芳烃，及芳香族含氧化合物等很多有机物</w:t>
                  </w:r>
                </w:p>
              </w:tc>
              <w:tc>
                <w:tcPr>
                  <w:tcW w:w="13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苯、甲苯、二甲苯等挥发性有机物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环境治理</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酸焦油是一种很复杂的聚合物混合物。呈黑褐色，温度35℃以上，其流动性较好，温度低于25℃时，易呈融熔状，比重大于油类。酸焦油酸焦油的组成为硫酸15～25%；苯族烃 10～25%；聚合物 40～70%。</w:t>
                  </w:r>
                </w:p>
              </w:tc>
              <w:tc>
                <w:tcPr>
                  <w:tcW w:w="13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硫酸不挥发，此部分废气因子主要考虑为苯、甲苯、二甲苯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 w:type="dxa"/>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多为固态物质，不具有挥发性</w:t>
                  </w:r>
                </w:p>
              </w:tc>
              <w:tc>
                <w:tcPr>
                  <w:tcW w:w="13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不考虑废气因子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HW12染料、涂料废物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涂料、油墨、颜料及类似产品制造</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油墨溶剂主要</w:t>
                  </w:r>
                  <w:r>
                    <w:rPr>
                      <w:rFonts w:hint="eastAsia" w:cs="Times New Roman"/>
                      <w:sz w:val="21"/>
                      <w:szCs w:val="21"/>
                      <w:lang w:val="en-US" w:eastAsia="zh-CN"/>
                    </w:rPr>
                    <w:t>有</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1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①</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醇类溶剂：乙醇（酒精）、异丙醇、正丁醇；</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2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②</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酯类溶剂：醋酸乙酯、醋酸丁酯、醋酸异丙酯；</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3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③</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苯类溶剂：甲苯、二甲苯；</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 4 \* GB3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④</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酮类：环己酮、丙酮、甲乙酮（丁酮）</w:t>
                  </w:r>
                </w:p>
              </w:tc>
              <w:tc>
                <w:tcPr>
                  <w:tcW w:w="139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此部分废气主要为油墨、油漆等溶剂，涉及挥发性有机物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制浆制造</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脱墨渣中有害物质主要为油墨成分</w:t>
                  </w: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多为固态物质，不具有挥发性</w:t>
                  </w: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HW13有机树脂类废物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合成材料制造</w:t>
                  </w:r>
                </w:p>
              </w:tc>
              <w:tc>
                <w:tcPr>
                  <w:tcW w:w="34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酯化、精制等工序废母液中的酯类</w:t>
                  </w:r>
                </w:p>
              </w:tc>
              <w:tc>
                <w:tcPr>
                  <w:tcW w:w="139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HW16感光材料废物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专用化学产品制造</w:t>
                  </w:r>
                </w:p>
              </w:tc>
              <w:tc>
                <w:tcPr>
                  <w:tcW w:w="34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显影液主要为米吐尔（对甲基氨基酚，硫酸盐）和对苯二酚（沸点278℃）、硼砂、溴化银、碳酸钠等，废相纸、胶片不具有挥发性</w:t>
                  </w:r>
                </w:p>
              </w:tc>
              <w:tc>
                <w:tcPr>
                  <w:tcW w:w="139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不考虑废气因子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印刷</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电子元件制造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电影</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其他专业技术服务业</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HW17表面处理废</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金属表面处理及热处理加工</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此部分危险废物主要为废槽液、槽渣和废水处理污泥，涉及的重金属不具有挥发性，另外涉及废盐酸、废磷酸等，废磷酸难挥发</w:t>
                  </w:r>
                </w:p>
              </w:tc>
              <w:tc>
                <w:tcPr>
                  <w:tcW w:w="13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HW18焚烧处置残渣</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环境治理业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多为固态物质，不具有挥发性</w:t>
                  </w:r>
                </w:p>
              </w:tc>
              <w:tc>
                <w:tcPr>
                  <w:tcW w:w="13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不考虑废气因子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tcBorders>
                    <w:tl2br w:val="nil"/>
                    <w:tr2bl w:val="nil"/>
                  </w:tcBorders>
                  <w:noWrap w:val="0"/>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cs="Times New Roman"/>
                      <w:bCs/>
                      <w:snapToGrid w:val="0"/>
                      <w:color w:val="auto"/>
                      <w:kern w:val="0"/>
                      <w:sz w:val="21"/>
                      <w:szCs w:val="21"/>
                      <w:lang w:val="en-US" w:eastAsia="zh-CN"/>
                    </w:rPr>
                    <w:t>HW29含汞废物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废UV灯管均包装严密后装桶保存</w:t>
                  </w:r>
                </w:p>
              </w:tc>
              <w:tc>
                <w:tcPr>
                  <w:tcW w:w="13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不考虑废气因子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HW34废酸</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涂料、油墨、颜料及类似产品制造</w:t>
                  </w:r>
                </w:p>
              </w:tc>
              <w:tc>
                <w:tcPr>
                  <w:tcW w:w="34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可能涉及的废酸为：废盐酸、废硫酸、废磷酸、废硝酸等，硫酸、磷酸不会发，采用带盖塑料桶密封保存，且进场后不进行倒桶、不对物料产生扰动</w:t>
                  </w:r>
                </w:p>
              </w:tc>
              <w:tc>
                <w:tcPr>
                  <w:tcW w:w="139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基础化学原料制造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钢压延加工</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金属表面处理及热处理加工</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电子元件制造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HW35废碱</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毛皮鞣制及制品加工</w:t>
                  </w:r>
                </w:p>
              </w:tc>
              <w:tc>
                <w:tcPr>
                  <w:tcW w:w="34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可能涉及的废碱为氢氧化钙、氢氧化钠、氢氧化钾等，</w:t>
                  </w:r>
                  <w:r>
                    <w:rPr>
                      <w:rFonts w:hint="eastAsia" w:cs="Times New Roman"/>
                      <w:sz w:val="21"/>
                      <w:szCs w:val="21"/>
                      <w:lang w:val="en-US" w:eastAsia="zh-CN"/>
                    </w:rPr>
                    <w:t>均不挥</w:t>
                  </w:r>
                  <w:r>
                    <w:rPr>
                      <w:rFonts w:hint="default" w:ascii="Times New Roman" w:hAnsi="Times New Roman" w:eastAsia="宋体" w:cs="Times New Roman"/>
                      <w:sz w:val="21"/>
                      <w:szCs w:val="21"/>
                    </w:rPr>
                    <w:t>发，采用带盖塑料桶密封保存或覆膜袋密封储存，且进场后不进行倒桶、不对物料产生扰动</w:t>
                  </w:r>
                </w:p>
              </w:tc>
              <w:tc>
                <w:tcPr>
                  <w:tcW w:w="139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不考虑废气因子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纸浆制造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HW36石棉</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石棉及其他非金属矿采选</w:t>
                  </w:r>
                </w:p>
              </w:tc>
              <w:tc>
                <w:tcPr>
                  <w:tcW w:w="34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石棉不具有挥发性，进场后不进行倒包，不对物料产生扰动，不会产生石棉尘</w:t>
                  </w:r>
                </w:p>
              </w:tc>
              <w:tc>
                <w:tcPr>
                  <w:tcW w:w="139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不考虑废气因子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基础化学原料制造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石膏、水泥制品及类似制品制造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耐火材料制品制造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汽车零部件及配件制造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船舶及相关装置制造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HW37有机磷化合物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基础化学原料制造</w:t>
                  </w:r>
                </w:p>
              </w:tc>
              <w:tc>
                <w:tcPr>
                  <w:tcW w:w="34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多为固态物质，不具有挥发性</w:t>
                  </w:r>
                </w:p>
              </w:tc>
              <w:tc>
                <w:tcPr>
                  <w:tcW w:w="139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不考虑废气因子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HW49其他废物</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石墨及其他非金属矿物制品制造</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多为固态物质，采用桶装或覆膜袋装密封储存，不具有挥发性</w:t>
                  </w:r>
                </w:p>
              </w:tc>
              <w:tc>
                <w:tcPr>
                  <w:tcW w:w="13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不考虑废气因子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废吸附介质可能沾染少量有机物料</w:t>
                  </w:r>
                </w:p>
              </w:tc>
              <w:tc>
                <w:tcPr>
                  <w:tcW w:w="1396"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HW50废催化剂</w:t>
                  </w: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基础化学原料制造</w:t>
                  </w:r>
                </w:p>
              </w:tc>
              <w:tc>
                <w:tcPr>
                  <w:tcW w:w="347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废催化剂中可能沾染少量有机物料，涉及的物料主要有甲醇、苯酚、烃类</w:t>
                  </w:r>
                </w:p>
              </w:tc>
              <w:tc>
                <w:tcPr>
                  <w:tcW w:w="1396" w:type="dxa"/>
                  <w:gridSpan w:val="2"/>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甲醇、非甲烷总烃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农药制造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化学药品原料药制造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兽用药品制造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生物药品制造</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环境治理</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3"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21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非特定行业</w:t>
                  </w:r>
                </w:p>
              </w:tc>
              <w:tc>
                <w:tcPr>
                  <w:tcW w:w="347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c>
                <w:tcPr>
                  <w:tcW w:w="1396" w:type="dxa"/>
                  <w:gridSpan w:val="2"/>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rPr>
                  </w:pP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eastAsia="zh-CN"/>
              </w:rPr>
              <w:t>由上表可知，本项目营运期废气主要为HW02医药废物、HW04农药废物、HW06废有机溶剂与含有有机溶剂废物、HW08废矿物油与含矿物油废物、HW09油/水、烃/水混合物或乳化液、HW11精（蒸）馏残渣、HW12HW染料、涂料废物、HW13有机树脂类废物、HW49其他废物、HW50废催化剂危废暂存区产生的有机废气（以VOC</w:t>
            </w:r>
            <w:r>
              <w:rPr>
                <w:rFonts w:hint="default" w:ascii="Times New Roman" w:hAnsi="Times New Roman" w:eastAsia="宋体" w:cs="Times New Roman"/>
                <w:color w:val="000000"/>
                <w:kern w:val="0"/>
                <w:sz w:val="24"/>
                <w:szCs w:val="24"/>
                <w:vertAlign w:val="subscript"/>
                <w:lang w:eastAsia="zh-CN"/>
              </w:rPr>
              <w:t>S</w:t>
            </w:r>
            <w:r>
              <w:rPr>
                <w:rFonts w:hint="default" w:ascii="Times New Roman" w:hAnsi="Times New Roman" w:eastAsia="宋体" w:cs="Times New Roman"/>
                <w:color w:val="000000"/>
                <w:kern w:val="0"/>
                <w:sz w:val="24"/>
                <w:szCs w:val="24"/>
                <w:lang w:eastAsia="zh-CN"/>
              </w:rPr>
              <w:t>计），HW17表面处理废物、HW34废酸危废暂存区产生氯化氢。</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（1）大气污染因素及源强分析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①有机废气</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由于本项目不对危险废物进行处理，只暂存中转，及时周转运往有危废处置资质单位进行处置，且物料采用桶装或袋装密封储存，不设储罐；同时储存过程中不存在倒罐、重新分装等，因此，正常储存过程中挥发量极小，主要为HW02医药废物、HW04农药废物、HW06废有机溶剂与含有有机溶剂废物、HW08废矿物油与含矿物油废物、HW09油/水、烃/水混合物或乳化液、HW11精（蒸）馏残渣、HW12HW染料、涂料废物、HW13有机树脂类废物、HW49其他废物、HW50废催化剂中有机气体的挥发。根据类比同类企业</w:t>
            </w:r>
            <w:r>
              <w:rPr>
                <w:rFonts w:hint="default" w:ascii="Times New Roman" w:hAnsi="Times New Roman" w:eastAsia="宋体" w:cs="Times New Roman"/>
                <w:color w:val="000000"/>
                <w:kern w:val="0"/>
                <w:sz w:val="24"/>
                <w:szCs w:val="24"/>
                <w:lang w:val="en-US" w:eastAsia="zh-CN"/>
              </w:rPr>
              <w:t>，</w:t>
            </w:r>
            <w:r>
              <w:rPr>
                <w:rFonts w:hint="default" w:ascii="Times New Roman" w:hAnsi="Times New Roman" w:eastAsia="宋体" w:cs="Times New Roman"/>
                <w:color w:val="000000"/>
                <w:kern w:val="0"/>
                <w:sz w:val="24"/>
                <w:szCs w:val="24"/>
                <w:lang w:eastAsia="zh-CN"/>
              </w:rPr>
              <w:t>本次评价污染物产生量按暂存量的0.</w:t>
            </w:r>
            <w:r>
              <w:rPr>
                <w:rFonts w:hint="default" w:ascii="Times New Roman" w:hAnsi="Times New Roman" w:eastAsia="宋体" w:cs="Times New Roman"/>
                <w:color w:val="000000"/>
                <w:kern w:val="0"/>
                <w:sz w:val="24"/>
                <w:szCs w:val="24"/>
                <w:lang w:val="en-US" w:eastAsia="zh-CN"/>
              </w:rPr>
              <w:t>01</w:t>
            </w:r>
            <w:r>
              <w:rPr>
                <w:rFonts w:hint="default" w:ascii="Times New Roman" w:hAnsi="Times New Roman" w:eastAsia="宋体" w:cs="Times New Roman"/>
                <w:color w:val="000000"/>
                <w:kern w:val="0"/>
                <w:sz w:val="24"/>
                <w:szCs w:val="24"/>
                <w:lang w:eastAsia="zh-CN"/>
              </w:rPr>
              <w:t>‰，根据企业提供资料，本项目可能含有机废物的危废最大周转量为</w:t>
            </w:r>
            <w:r>
              <w:rPr>
                <w:rFonts w:hint="eastAsia" w:ascii="Times New Roman" w:hAnsi="Times New Roman" w:eastAsia="宋体" w:cs="Times New Roman"/>
                <w:color w:val="000000"/>
                <w:kern w:val="0"/>
                <w:sz w:val="24"/>
                <w:szCs w:val="24"/>
                <w:lang w:val="en-US" w:eastAsia="zh-CN"/>
              </w:rPr>
              <w:t>29</w:t>
            </w:r>
            <w:r>
              <w:rPr>
                <w:rFonts w:hint="default" w:ascii="Times New Roman" w:hAnsi="Times New Roman" w:eastAsia="宋体" w:cs="Times New Roman"/>
                <w:color w:val="000000"/>
                <w:kern w:val="0"/>
                <w:sz w:val="24"/>
                <w:szCs w:val="24"/>
                <w:lang w:val="en-US" w:eastAsia="zh-CN"/>
              </w:rPr>
              <w:t>00</w:t>
            </w:r>
            <w:r>
              <w:rPr>
                <w:rFonts w:hint="default" w:ascii="Times New Roman" w:hAnsi="Times New Roman" w:eastAsia="宋体" w:cs="Times New Roman"/>
                <w:color w:val="000000"/>
                <w:kern w:val="0"/>
                <w:sz w:val="24"/>
                <w:szCs w:val="24"/>
                <w:lang w:eastAsia="zh-CN"/>
              </w:rPr>
              <w:t>t/a，计算得挥发性有机废气VOC</w:t>
            </w:r>
            <w:r>
              <w:rPr>
                <w:rFonts w:hint="default" w:ascii="Times New Roman" w:hAnsi="Times New Roman" w:eastAsia="宋体" w:cs="Times New Roman"/>
                <w:color w:val="000000"/>
                <w:kern w:val="0"/>
                <w:sz w:val="24"/>
                <w:szCs w:val="24"/>
                <w:vertAlign w:val="subscript"/>
                <w:lang w:eastAsia="zh-CN"/>
              </w:rPr>
              <w:t>S</w:t>
            </w:r>
            <w:r>
              <w:rPr>
                <w:rFonts w:hint="default" w:ascii="Times New Roman" w:hAnsi="Times New Roman" w:eastAsia="宋体" w:cs="Times New Roman"/>
                <w:color w:val="000000"/>
                <w:kern w:val="0"/>
                <w:sz w:val="24"/>
                <w:szCs w:val="24"/>
                <w:lang w:eastAsia="zh-CN"/>
              </w:rPr>
              <w:t>产生量为</w:t>
            </w:r>
            <w:r>
              <w:rPr>
                <w:rFonts w:hint="eastAsia" w:ascii="Times New Roman" w:hAnsi="Times New Roman" w:eastAsia="宋体" w:cs="Times New Roman"/>
                <w:color w:val="000000"/>
                <w:kern w:val="0"/>
                <w:sz w:val="24"/>
                <w:szCs w:val="24"/>
                <w:lang w:val="en-US" w:eastAsia="zh-CN"/>
              </w:rPr>
              <w:t>0.29</w:t>
            </w:r>
            <w:r>
              <w:rPr>
                <w:rFonts w:hint="default" w:ascii="Times New Roman" w:hAnsi="Times New Roman" w:eastAsia="宋体" w:cs="Times New Roman"/>
                <w:color w:val="000000"/>
                <w:kern w:val="0"/>
                <w:sz w:val="24"/>
                <w:szCs w:val="24"/>
                <w:lang w:eastAsia="zh-CN"/>
              </w:rPr>
              <w:t>t/a，折合为0.</w:t>
            </w:r>
            <w:r>
              <w:rPr>
                <w:rFonts w:hint="eastAsia" w:ascii="Times New Roman" w:hAnsi="Times New Roman" w:eastAsia="宋体" w:cs="Times New Roman"/>
                <w:color w:val="000000"/>
                <w:kern w:val="0"/>
                <w:sz w:val="24"/>
                <w:szCs w:val="24"/>
                <w:lang w:val="en-US" w:eastAsia="zh-CN"/>
              </w:rPr>
              <w:t>0403</w:t>
            </w:r>
            <w:r>
              <w:rPr>
                <w:rFonts w:hint="default" w:ascii="Times New Roman" w:hAnsi="Times New Roman" w:eastAsia="宋体" w:cs="Times New Roman"/>
                <w:color w:val="000000"/>
                <w:kern w:val="0"/>
                <w:sz w:val="24"/>
                <w:szCs w:val="24"/>
                <w:lang w:eastAsia="zh-CN"/>
              </w:rPr>
              <w:t>kg/h。</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②氯化氢</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本项目贮存HW17表面处理废物、HW34废酸危废暂存区产生酸雾，主要成分为氯化氢，根据类比同类企业，本次评价污染物产生量按暂存量的</w:t>
            </w:r>
            <w:r>
              <w:rPr>
                <w:rFonts w:hint="eastAsia" w:ascii="Times New Roman" w:hAnsi="Times New Roman" w:eastAsia="宋体" w:cs="Times New Roman"/>
                <w:color w:val="000000"/>
                <w:kern w:val="0"/>
                <w:sz w:val="24"/>
                <w:szCs w:val="24"/>
                <w:lang w:val="en-US" w:eastAsia="zh-CN"/>
              </w:rPr>
              <w:t>0.</w:t>
            </w:r>
            <w:r>
              <w:rPr>
                <w:rFonts w:hint="default" w:ascii="Times New Roman" w:hAnsi="Times New Roman" w:eastAsia="宋体" w:cs="Times New Roman"/>
                <w:color w:val="000000"/>
                <w:kern w:val="0"/>
                <w:sz w:val="24"/>
                <w:szCs w:val="24"/>
                <w:lang w:eastAsia="zh-CN"/>
              </w:rPr>
              <w:t>2‰，根据企业提供资料，本项目可能产生酸雾</w:t>
            </w:r>
            <w:r>
              <w:rPr>
                <w:rFonts w:hint="eastAsia" w:ascii="Times New Roman" w:hAnsi="Times New Roman" w:eastAsia="宋体" w:cs="Times New Roman"/>
                <w:color w:val="000000"/>
                <w:kern w:val="0"/>
                <w:sz w:val="24"/>
                <w:szCs w:val="24"/>
                <w:lang w:eastAsia="zh-CN"/>
              </w:rPr>
              <w:t>（以氯化氢计）</w:t>
            </w:r>
            <w:r>
              <w:rPr>
                <w:rFonts w:hint="default" w:ascii="Times New Roman" w:hAnsi="Times New Roman" w:eastAsia="宋体" w:cs="Times New Roman"/>
                <w:color w:val="000000"/>
                <w:kern w:val="0"/>
                <w:sz w:val="24"/>
                <w:szCs w:val="24"/>
                <w:lang w:eastAsia="zh-CN"/>
              </w:rPr>
              <w:t>的危废最大周转量为</w:t>
            </w:r>
            <w:r>
              <w:rPr>
                <w:rFonts w:hint="eastAsia" w:cs="Times New Roman"/>
                <w:color w:val="000000"/>
                <w:kern w:val="0"/>
                <w:sz w:val="24"/>
                <w:szCs w:val="24"/>
                <w:lang w:val="en-US" w:eastAsia="zh-CN"/>
              </w:rPr>
              <w:t>60</w:t>
            </w:r>
            <w:r>
              <w:rPr>
                <w:rFonts w:hint="default" w:ascii="Times New Roman" w:hAnsi="Times New Roman" w:eastAsia="宋体" w:cs="Times New Roman"/>
                <w:color w:val="000000"/>
                <w:kern w:val="0"/>
                <w:sz w:val="24"/>
                <w:szCs w:val="24"/>
                <w:lang w:eastAsia="zh-CN"/>
              </w:rPr>
              <w:t>0t/a，计算得氯化氢产生量为</w:t>
            </w:r>
            <w:r>
              <w:rPr>
                <w:rFonts w:hint="eastAsia" w:cs="Times New Roman"/>
                <w:color w:val="000000"/>
                <w:kern w:val="0"/>
                <w:sz w:val="24"/>
                <w:szCs w:val="24"/>
                <w:lang w:val="en-US" w:eastAsia="zh-CN"/>
              </w:rPr>
              <w:t>0.12</w:t>
            </w:r>
            <w:r>
              <w:rPr>
                <w:rFonts w:hint="default" w:ascii="Times New Roman" w:hAnsi="Times New Roman" w:eastAsia="宋体" w:cs="Times New Roman"/>
                <w:color w:val="000000"/>
                <w:kern w:val="0"/>
                <w:sz w:val="24"/>
                <w:szCs w:val="24"/>
                <w:lang w:eastAsia="zh-CN"/>
              </w:rPr>
              <w:t>t/a，折合为0.</w:t>
            </w:r>
            <w:r>
              <w:rPr>
                <w:rFonts w:hint="eastAsia" w:cs="Times New Roman"/>
                <w:color w:val="000000"/>
                <w:kern w:val="0"/>
                <w:sz w:val="24"/>
                <w:szCs w:val="24"/>
                <w:lang w:val="en-US" w:eastAsia="zh-CN"/>
              </w:rPr>
              <w:t>0167</w:t>
            </w:r>
            <w:r>
              <w:rPr>
                <w:rFonts w:hint="default" w:ascii="Times New Roman" w:hAnsi="Times New Roman" w:eastAsia="宋体" w:cs="Times New Roman"/>
                <w:color w:val="000000"/>
                <w:kern w:val="0"/>
                <w:sz w:val="24"/>
                <w:szCs w:val="24"/>
                <w:lang w:eastAsia="zh-CN"/>
              </w:rPr>
              <w:t>kg/h。</w:t>
            </w:r>
          </w:p>
          <w:p>
            <w:pPr>
              <w:pStyle w:val="125"/>
              <w:spacing w:line="520" w:lineRule="exact"/>
              <w:ind w:firstLine="454" w:firstLineChars="0"/>
              <w:rPr>
                <w:rFonts w:hint="default" w:ascii="Times New Roman" w:hAnsi="Times New Roman" w:eastAsia="宋体" w:cs="Times New Roman"/>
                <w:b w:val="0"/>
                <w:bCs/>
                <w:color w:val="auto"/>
                <w:szCs w:val="24"/>
              </w:rPr>
            </w:pPr>
            <w:r>
              <w:rPr>
                <w:rFonts w:hint="default" w:ascii="Times New Roman" w:hAnsi="Times New Roman" w:eastAsia="宋体" w:cs="Times New Roman"/>
                <w:b w:val="0"/>
                <w:bCs/>
                <w:color w:val="auto"/>
                <w:szCs w:val="24"/>
                <w:lang w:val="en-US" w:eastAsia="zh-CN"/>
              </w:rPr>
              <w:t>2</w:t>
            </w:r>
            <w:r>
              <w:rPr>
                <w:rFonts w:hint="default" w:ascii="Times New Roman" w:hAnsi="Times New Roman" w:eastAsia="宋体" w:cs="Times New Roman"/>
                <w:b w:val="0"/>
                <w:bCs/>
                <w:color w:val="auto"/>
                <w:szCs w:val="24"/>
              </w:rPr>
              <w:t>、废水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w:t>
            </w:r>
            <w:r>
              <w:rPr>
                <w:rFonts w:hint="default" w:ascii="Times New Roman" w:hAnsi="Times New Roman" w:eastAsia="宋体" w:cs="Times New Roman"/>
                <w:color w:val="000000"/>
                <w:kern w:val="0"/>
                <w:sz w:val="24"/>
                <w:szCs w:val="24"/>
                <w:lang w:val="en-US" w:eastAsia="zh-CN"/>
              </w:rPr>
              <w:t>1</w:t>
            </w:r>
            <w:r>
              <w:rPr>
                <w:rFonts w:hint="default" w:ascii="Times New Roman" w:hAnsi="Times New Roman" w:eastAsia="宋体" w:cs="Times New Roman"/>
                <w:color w:val="000000"/>
                <w:kern w:val="0"/>
                <w:sz w:val="24"/>
                <w:szCs w:val="24"/>
                <w:lang w:eastAsia="zh-CN"/>
              </w:rPr>
              <w:t>）生活废水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eastAsia="zh-CN"/>
              </w:rPr>
              <w:t>项目生活废水主要污染因子为COD、氨氮、SS、总磷、总氮。</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val="en-US" w:eastAsia="zh-CN"/>
              </w:rPr>
              <w:t>生活污水</w:t>
            </w:r>
            <w:r>
              <w:rPr>
                <w:rFonts w:hint="eastAsia" w:cs="Times New Roman"/>
                <w:color w:val="000000"/>
                <w:kern w:val="0"/>
                <w:sz w:val="24"/>
                <w:szCs w:val="24"/>
                <w:lang w:val="en-US" w:eastAsia="zh-CN"/>
              </w:rPr>
              <w:t>通过</w:t>
            </w:r>
            <w:r>
              <w:rPr>
                <w:rFonts w:hint="default" w:ascii="Times New Roman" w:hAnsi="Times New Roman" w:eastAsia="宋体" w:cs="Times New Roman"/>
                <w:color w:val="000000"/>
                <w:kern w:val="0"/>
                <w:sz w:val="24"/>
                <w:szCs w:val="24"/>
                <w:lang w:val="en-US" w:eastAsia="zh-CN"/>
              </w:rPr>
              <w:t>化粪池</w:t>
            </w:r>
            <w:r>
              <w:rPr>
                <w:rFonts w:hint="eastAsia" w:cs="Times New Roman"/>
                <w:color w:val="000000"/>
                <w:kern w:val="0"/>
                <w:sz w:val="24"/>
                <w:szCs w:val="24"/>
                <w:lang w:val="en-US" w:eastAsia="zh-CN"/>
              </w:rPr>
              <w:t>处理后前期</w:t>
            </w:r>
            <w:r>
              <w:rPr>
                <w:rFonts w:hAnsiTheme="majorEastAsia" w:eastAsiaTheme="majorEastAsia"/>
                <w:sz w:val="24"/>
              </w:rPr>
              <w:t>定期清运</w:t>
            </w:r>
            <w:r>
              <w:rPr>
                <w:rFonts w:hAnsiTheme="majorEastAsia" w:eastAsiaTheme="majorEastAsia"/>
                <w:color w:val="000000"/>
                <w:sz w:val="24"/>
              </w:rPr>
              <w:t>，</w:t>
            </w:r>
            <w:r>
              <w:rPr>
                <w:rFonts w:hint="eastAsia" w:hAnsiTheme="majorEastAsia" w:eastAsiaTheme="majorEastAsia"/>
                <w:color w:val="000000"/>
                <w:sz w:val="24"/>
              </w:rPr>
              <w:t>待管网接通后，通入大块镇</w:t>
            </w:r>
            <w:r>
              <w:rPr>
                <w:rFonts w:hAnsiTheme="majorEastAsia" w:eastAsiaTheme="majorEastAsia"/>
                <w:color w:val="000000"/>
                <w:sz w:val="24"/>
              </w:rPr>
              <w:t>污水处理厂进一步处理</w:t>
            </w:r>
            <w:r>
              <w:rPr>
                <w:rFonts w:hint="default" w:ascii="Times New Roman" w:hAnsi="Times New Roman" w:eastAsia="宋体" w:cs="Times New Roman"/>
                <w:color w:val="000000"/>
                <w:kern w:val="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（2）渗滤液</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固体废物堆存过程中，含水率较大的废物如污水处理站污泥，其包装</w:t>
            </w:r>
            <w:r>
              <w:rPr>
                <w:rFonts w:hint="eastAsia" w:cs="Times New Roman"/>
                <w:color w:val="000000"/>
                <w:kern w:val="0"/>
                <w:sz w:val="24"/>
                <w:szCs w:val="24"/>
                <w:lang w:val="en-US" w:eastAsia="zh-CN"/>
              </w:rPr>
              <w:t>有可能</w:t>
            </w:r>
            <w:r>
              <w:rPr>
                <w:rFonts w:hint="default" w:ascii="Times New Roman" w:hAnsi="Times New Roman" w:eastAsia="宋体" w:cs="Times New Roman"/>
                <w:color w:val="000000"/>
                <w:kern w:val="0"/>
                <w:sz w:val="24"/>
                <w:szCs w:val="24"/>
                <w:lang w:eastAsia="zh-CN"/>
              </w:rPr>
              <w:t>出现破损，导致储存过程产生渗滤液，渗滤液经厂房内托盘导流槽收集后进入渗滤液收集桶，作为危险废物交由具有资质的单位处置。</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（3）喷淋水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本项目碱液喷淋塔</w:t>
            </w:r>
            <w:r>
              <w:rPr>
                <w:rFonts w:hint="eastAsia" w:cs="Times New Roman"/>
                <w:color w:val="000000"/>
                <w:kern w:val="0"/>
                <w:sz w:val="24"/>
                <w:szCs w:val="24"/>
                <w:lang w:val="en-US" w:eastAsia="zh-CN"/>
              </w:rPr>
              <w:t>拟设</w:t>
            </w:r>
            <w:r>
              <w:rPr>
                <w:rFonts w:hint="default" w:ascii="Times New Roman" w:hAnsi="Times New Roman" w:eastAsia="宋体" w:cs="Times New Roman"/>
                <w:color w:val="000000"/>
                <w:kern w:val="0"/>
                <w:sz w:val="24"/>
                <w:szCs w:val="24"/>
                <w:lang w:eastAsia="zh-CN"/>
              </w:rPr>
              <w:t>循环水池容积约</w:t>
            </w:r>
            <w:r>
              <w:rPr>
                <w:rFonts w:hint="default" w:ascii="Times New Roman" w:hAnsi="Times New Roman" w:eastAsia="宋体" w:cs="Times New Roman"/>
                <w:color w:val="000000"/>
                <w:kern w:val="0"/>
                <w:sz w:val="24"/>
                <w:szCs w:val="24"/>
                <w:lang w:val="en-US" w:eastAsia="zh-CN"/>
              </w:rPr>
              <w:t>3</w:t>
            </w:r>
            <w:r>
              <w:rPr>
                <w:rFonts w:hint="default" w:ascii="Times New Roman" w:hAnsi="Times New Roman" w:eastAsia="宋体" w:cs="Times New Roman"/>
                <w:color w:val="000000"/>
                <w:kern w:val="0"/>
                <w:sz w:val="24"/>
                <w:szCs w:val="24"/>
                <w:lang w:eastAsia="zh-CN"/>
              </w:rPr>
              <w:t>m</w:t>
            </w:r>
            <w:r>
              <w:rPr>
                <w:rFonts w:hint="default" w:ascii="Times New Roman" w:hAnsi="Times New Roman" w:eastAsia="宋体" w:cs="Times New Roman"/>
                <w:color w:val="000000"/>
                <w:kern w:val="0"/>
                <w:sz w:val="24"/>
                <w:szCs w:val="24"/>
                <w:vertAlign w:val="superscript"/>
                <w:lang w:eastAsia="zh-CN"/>
              </w:rPr>
              <w:t>3</w:t>
            </w:r>
            <w:r>
              <w:rPr>
                <w:rFonts w:hint="default" w:ascii="Times New Roman" w:hAnsi="Times New Roman" w:eastAsia="宋体" w:cs="Times New Roman"/>
                <w:color w:val="000000"/>
                <w:kern w:val="0"/>
                <w:sz w:val="24"/>
                <w:szCs w:val="24"/>
                <w:lang w:eastAsia="zh-CN"/>
              </w:rPr>
              <w:t>，循环水量为</w:t>
            </w:r>
            <w:r>
              <w:rPr>
                <w:rFonts w:hint="default" w:ascii="Times New Roman" w:hAnsi="Times New Roman" w:eastAsia="宋体" w:cs="Times New Roman"/>
                <w:color w:val="000000"/>
                <w:kern w:val="0"/>
                <w:sz w:val="24"/>
                <w:szCs w:val="24"/>
                <w:lang w:val="en-US" w:eastAsia="zh-CN"/>
              </w:rPr>
              <w:t>120</w:t>
            </w:r>
            <w:r>
              <w:rPr>
                <w:rFonts w:hint="default" w:ascii="Times New Roman" w:hAnsi="Times New Roman" w:eastAsia="宋体" w:cs="Times New Roman"/>
                <w:color w:val="000000"/>
                <w:kern w:val="0"/>
                <w:sz w:val="24"/>
                <w:szCs w:val="24"/>
                <w:lang w:eastAsia="zh-CN"/>
              </w:rPr>
              <w:t>m</w:t>
            </w:r>
            <w:r>
              <w:rPr>
                <w:rFonts w:hint="default" w:ascii="Times New Roman" w:hAnsi="Times New Roman" w:eastAsia="宋体" w:cs="Times New Roman"/>
                <w:color w:val="000000"/>
                <w:kern w:val="0"/>
                <w:sz w:val="24"/>
                <w:szCs w:val="24"/>
                <w:vertAlign w:val="superscript"/>
                <w:lang w:eastAsia="zh-CN"/>
              </w:rPr>
              <w:t>3</w:t>
            </w:r>
            <w:r>
              <w:rPr>
                <w:rFonts w:hint="default" w:ascii="Times New Roman" w:hAnsi="Times New Roman" w:eastAsia="宋体" w:cs="Times New Roman"/>
                <w:color w:val="000000"/>
                <w:kern w:val="0"/>
                <w:sz w:val="24"/>
                <w:szCs w:val="24"/>
                <w:lang w:eastAsia="zh-CN"/>
              </w:rPr>
              <w:t>/h，循环水补充量为0.5m</w:t>
            </w:r>
            <w:r>
              <w:rPr>
                <w:rFonts w:hint="default" w:ascii="Times New Roman" w:hAnsi="Times New Roman" w:eastAsia="宋体" w:cs="Times New Roman"/>
                <w:color w:val="000000"/>
                <w:kern w:val="0"/>
                <w:sz w:val="24"/>
                <w:szCs w:val="24"/>
                <w:vertAlign w:val="superscript"/>
                <w:lang w:eastAsia="zh-CN"/>
              </w:rPr>
              <w:t>3</w:t>
            </w:r>
            <w:r>
              <w:rPr>
                <w:rFonts w:hint="default" w:ascii="Times New Roman" w:hAnsi="Times New Roman" w:eastAsia="宋体" w:cs="Times New Roman"/>
                <w:color w:val="000000"/>
                <w:kern w:val="0"/>
                <w:sz w:val="24"/>
                <w:szCs w:val="24"/>
                <w:lang w:eastAsia="zh-CN"/>
              </w:rPr>
              <w:t>/d、150m</w:t>
            </w:r>
            <w:r>
              <w:rPr>
                <w:rFonts w:hint="default" w:ascii="Times New Roman" w:hAnsi="Times New Roman" w:eastAsia="宋体" w:cs="Times New Roman"/>
                <w:color w:val="000000"/>
                <w:kern w:val="0"/>
                <w:sz w:val="24"/>
                <w:szCs w:val="24"/>
                <w:vertAlign w:val="superscript"/>
                <w:lang w:eastAsia="zh-CN"/>
              </w:rPr>
              <w:t>3</w:t>
            </w:r>
            <w:r>
              <w:rPr>
                <w:rFonts w:hint="default" w:ascii="Times New Roman" w:hAnsi="Times New Roman" w:eastAsia="宋体" w:cs="Times New Roman"/>
                <w:color w:val="000000"/>
                <w:kern w:val="0"/>
                <w:sz w:val="24"/>
                <w:szCs w:val="24"/>
                <w:lang w:eastAsia="zh-CN"/>
              </w:rPr>
              <w:t>/a。喷淋塔用水循环利用定期添加碱，</w:t>
            </w:r>
            <w:r>
              <w:rPr>
                <w:rFonts w:hint="eastAsia" w:ascii="Times New Roman" w:hAnsi="Times New Roman" w:eastAsia="宋体" w:cs="Times New Roman"/>
                <w:color w:val="000000"/>
                <w:kern w:val="0"/>
                <w:sz w:val="24"/>
                <w:szCs w:val="24"/>
                <w:lang w:val="en-US" w:eastAsia="zh-CN"/>
              </w:rPr>
              <w:t>3</w:t>
            </w:r>
            <w:r>
              <w:rPr>
                <w:rFonts w:hint="default" w:ascii="Times New Roman" w:hAnsi="Times New Roman" w:eastAsia="宋体" w:cs="Times New Roman"/>
                <w:color w:val="000000"/>
                <w:kern w:val="0"/>
                <w:sz w:val="24"/>
                <w:szCs w:val="24"/>
                <w:lang w:val="en-US" w:eastAsia="zh-CN"/>
              </w:rPr>
              <w:t>个月更换一次</w:t>
            </w:r>
            <w:r>
              <w:rPr>
                <w:rFonts w:hint="default" w:ascii="Times New Roman" w:hAnsi="Times New Roman" w:eastAsia="宋体" w:cs="Times New Roman"/>
                <w:color w:val="000000"/>
                <w:kern w:val="0"/>
                <w:sz w:val="24"/>
                <w:szCs w:val="24"/>
                <w:lang w:eastAsia="zh-CN"/>
              </w:rPr>
              <w:t>，装入收集桶，作为危险废物交有资质的单位处置。</w:t>
            </w:r>
          </w:p>
          <w:p>
            <w:pPr>
              <w:pStyle w:val="125"/>
              <w:spacing w:line="520" w:lineRule="exact"/>
              <w:ind w:firstLine="454" w:firstLineChars="0"/>
              <w:rPr>
                <w:rFonts w:hint="default" w:ascii="Times New Roman" w:hAnsi="Times New Roman" w:eastAsia="宋体" w:cs="Times New Roman"/>
                <w:b w:val="0"/>
                <w:bCs/>
                <w:color w:val="auto"/>
                <w:szCs w:val="24"/>
                <w:lang w:val="en-US" w:eastAsia="zh-CN"/>
              </w:rPr>
            </w:pPr>
            <w:r>
              <w:rPr>
                <w:rFonts w:hint="default" w:ascii="Times New Roman" w:hAnsi="Times New Roman" w:eastAsia="宋体" w:cs="Times New Roman"/>
                <w:b w:val="0"/>
                <w:bCs/>
                <w:color w:val="auto"/>
                <w:szCs w:val="24"/>
                <w:lang w:val="en-US" w:eastAsia="zh-CN"/>
              </w:rPr>
              <w:t>3、噪声</w:t>
            </w:r>
          </w:p>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项目主要噪声源为</w:t>
            </w:r>
            <w:r>
              <w:rPr>
                <w:rFonts w:hint="default" w:ascii="Times New Roman" w:hAnsi="Times New Roman" w:eastAsia="宋体" w:cs="Times New Roman"/>
                <w:color w:val="auto"/>
                <w:sz w:val="24"/>
                <w:lang w:eastAsia="zh-CN"/>
              </w:rPr>
              <w:t>叉车、风机及运输车辆</w:t>
            </w:r>
            <w:r>
              <w:rPr>
                <w:rFonts w:hint="default" w:ascii="Times New Roman" w:hAnsi="Times New Roman" w:eastAsia="宋体" w:cs="Times New Roman"/>
                <w:color w:val="auto"/>
                <w:sz w:val="24"/>
              </w:rPr>
              <w:t>。据类比调查，噪声源强在</w:t>
            </w:r>
            <w:r>
              <w:rPr>
                <w:rFonts w:hint="default" w:ascii="Times New Roman" w:hAnsi="Times New Roman" w:eastAsia="宋体" w:cs="Times New Roman"/>
                <w:color w:val="auto"/>
                <w:sz w:val="24"/>
                <w:lang w:val="en-US" w:eastAsia="zh-CN"/>
              </w:rPr>
              <w:t>65</w:t>
            </w:r>
            <w:r>
              <w:rPr>
                <w:rFonts w:hint="default" w:ascii="Times New Roman" w:hAnsi="Times New Roman" w:eastAsia="宋体" w:cs="Times New Roman"/>
                <w:color w:val="auto"/>
                <w:sz w:val="24"/>
              </w:rPr>
              <w:t>~85dB（A）。</w:t>
            </w:r>
            <w:r>
              <w:rPr>
                <w:rFonts w:hint="default" w:ascii="Times New Roman" w:hAnsi="Times New Roman" w:eastAsia="宋体" w:cs="Times New Roman"/>
                <w:sz w:val="24"/>
              </w:rPr>
              <w:t>项目主要高噪声设备源强及治理措施见下表。</w:t>
            </w:r>
          </w:p>
          <w:p>
            <w:pPr>
              <w:pStyle w:val="121"/>
              <w:numPr>
                <w:ilvl w:val="0"/>
                <w:numId w:val="0"/>
              </w:numPr>
              <w:bidi w:val="0"/>
              <w:ind w:leftChars="0"/>
              <w:jc w:val="center"/>
              <w:rPr>
                <w:rFonts w:hint="default"/>
              </w:rPr>
            </w:pPr>
            <w:r>
              <w:rPr>
                <w:rFonts w:hint="eastAsia"/>
                <w:lang w:val="en-US" w:eastAsia="zh-CN"/>
              </w:rPr>
              <w:t xml:space="preserve">表2-7              </w:t>
            </w:r>
            <w:r>
              <w:rPr>
                <w:rFonts w:hint="default"/>
              </w:rPr>
              <w:t xml:space="preserve">项目主要高噪声设备源强表    </w:t>
            </w:r>
            <w:r>
              <w:rPr>
                <w:rFonts w:hint="eastAsia"/>
                <w:lang w:val="en-US" w:eastAsia="zh-CN"/>
              </w:rPr>
              <w:t xml:space="preserve">    </w:t>
            </w:r>
            <w:r>
              <w:rPr>
                <w:rFonts w:hint="default"/>
              </w:rPr>
              <w:t xml:space="preserve">    单位：dB(A)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566"/>
              <w:gridCol w:w="1175"/>
              <w:gridCol w:w="1321"/>
              <w:gridCol w:w="1679"/>
              <w:gridCol w:w="14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序号</w:t>
                  </w:r>
                </w:p>
              </w:tc>
              <w:tc>
                <w:tcPr>
                  <w:tcW w:w="1474"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设备名称</w:t>
                  </w:r>
                </w:p>
              </w:tc>
              <w:tc>
                <w:tcPr>
                  <w:tcW w:w="1106"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数量</w:t>
                  </w:r>
                </w:p>
              </w:tc>
              <w:tc>
                <w:tcPr>
                  <w:tcW w:w="1244" w:type="dxa"/>
                  <w:tcBorders>
                    <w:tl2br w:val="nil"/>
                    <w:tr2bl w:val="nil"/>
                  </w:tcBorders>
                  <w:vAlign w:val="center"/>
                </w:tcPr>
                <w:p>
                  <w:pPr>
                    <w:adjustRightInd w:val="0"/>
                    <w:snapToGrid w:val="0"/>
                    <w:jc w:val="center"/>
                    <w:rPr>
                      <w:rFonts w:eastAsiaTheme="minorEastAsia"/>
                      <w:b/>
                      <w:bCs/>
                      <w:sz w:val="21"/>
                      <w:szCs w:val="21"/>
                    </w:rPr>
                  </w:pPr>
                  <w:r>
                    <w:rPr>
                      <w:rFonts w:hAnsiTheme="minorEastAsia" w:eastAsiaTheme="minorEastAsia"/>
                      <w:b/>
                      <w:bCs/>
                      <w:sz w:val="21"/>
                      <w:szCs w:val="21"/>
                    </w:rPr>
                    <w:t>强度</w:t>
                  </w:r>
                </w:p>
                <w:p>
                  <w:pPr>
                    <w:adjustRightInd w:val="0"/>
                    <w:snapToGrid w:val="0"/>
                    <w:jc w:val="center"/>
                    <w:rPr>
                      <w:rFonts w:eastAsiaTheme="minorEastAsia"/>
                      <w:b/>
                      <w:sz w:val="21"/>
                      <w:szCs w:val="21"/>
                    </w:rPr>
                  </w:pPr>
                  <w:r>
                    <w:rPr>
                      <w:rFonts w:eastAsiaTheme="minorEastAsia"/>
                      <w:b/>
                      <w:sz w:val="21"/>
                      <w:szCs w:val="21"/>
                    </w:rPr>
                    <w:t>dB(A)</w:t>
                  </w:r>
                </w:p>
              </w:tc>
              <w:tc>
                <w:tcPr>
                  <w:tcW w:w="1581"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治理措施</w:t>
                  </w:r>
                </w:p>
              </w:tc>
              <w:tc>
                <w:tcPr>
                  <w:tcW w:w="1350"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治理后源强</w:t>
                  </w:r>
                  <w:r>
                    <w:rPr>
                      <w:rFonts w:eastAsiaTheme="minorEastAsia"/>
                      <w:b/>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w:t>
                  </w:r>
                </w:p>
              </w:tc>
              <w:tc>
                <w:tcPr>
                  <w:tcW w:w="1474" w:type="dxa"/>
                  <w:tcBorders>
                    <w:tl2br w:val="nil"/>
                    <w:tr2bl w:val="nil"/>
                  </w:tcBorders>
                  <w:vAlign w:val="center"/>
                </w:tcPr>
                <w:p>
                  <w:pPr>
                    <w:adjustRightInd w:val="0"/>
                    <w:snapToGrid w:val="0"/>
                    <w:jc w:val="center"/>
                    <w:rPr>
                      <w:rFonts w:hint="eastAsia" w:eastAsiaTheme="minorEastAsia"/>
                      <w:sz w:val="21"/>
                      <w:szCs w:val="21"/>
                      <w:lang w:eastAsia="zh-CN"/>
                    </w:rPr>
                  </w:pPr>
                  <w:r>
                    <w:rPr>
                      <w:rFonts w:hint="eastAsia" w:hAnsiTheme="minorEastAsia" w:eastAsiaTheme="minorEastAsia"/>
                      <w:sz w:val="21"/>
                      <w:szCs w:val="21"/>
                      <w:lang w:val="en-US" w:eastAsia="zh-CN"/>
                    </w:rPr>
                    <w:t>风机</w:t>
                  </w:r>
                </w:p>
              </w:tc>
              <w:tc>
                <w:tcPr>
                  <w:tcW w:w="1106" w:type="dxa"/>
                  <w:tcBorders>
                    <w:tl2br w:val="nil"/>
                    <w:tr2bl w:val="nil"/>
                  </w:tcBorders>
                  <w:vAlign w:val="center"/>
                </w:tcPr>
                <w:p>
                  <w:pPr>
                    <w:adjustRightInd w:val="0"/>
                    <w:snapToGrid w:val="0"/>
                    <w:jc w:val="center"/>
                    <w:rPr>
                      <w:rFonts w:hint="eastAsia" w:eastAsiaTheme="minorEastAsia"/>
                      <w:sz w:val="21"/>
                      <w:szCs w:val="21"/>
                      <w:lang w:eastAsia="zh-CN"/>
                    </w:rPr>
                  </w:pPr>
                  <w:r>
                    <w:rPr>
                      <w:rFonts w:hint="eastAsia" w:eastAsiaTheme="minorEastAsia"/>
                      <w:sz w:val="21"/>
                      <w:szCs w:val="21"/>
                      <w:lang w:val="en-US" w:eastAsia="zh-CN"/>
                    </w:rPr>
                    <w:t>1</w:t>
                  </w:r>
                </w:p>
              </w:tc>
              <w:tc>
                <w:tcPr>
                  <w:tcW w:w="1244" w:type="dxa"/>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70</w:t>
                  </w:r>
                </w:p>
              </w:tc>
              <w:tc>
                <w:tcPr>
                  <w:tcW w:w="1581" w:type="dxa"/>
                  <w:vMerge w:val="restart"/>
                  <w:tcBorders>
                    <w:tl2br w:val="nil"/>
                    <w:tr2bl w:val="nil"/>
                  </w:tcBorders>
                  <w:vAlign w:val="center"/>
                </w:tcPr>
                <w:p>
                  <w:pPr>
                    <w:adjustRightInd w:val="0"/>
                    <w:snapToGrid w:val="0"/>
                    <w:jc w:val="center"/>
                    <w:rPr>
                      <w:rFonts w:eastAsiaTheme="minorEastAsia"/>
                      <w:sz w:val="21"/>
                      <w:szCs w:val="21"/>
                    </w:rPr>
                  </w:pPr>
                  <w:r>
                    <w:rPr>
                      <w:rFonts w:hAnsiTheme="minorEastAsia" w:eastAsiaTheme="minorEastAsia"/>
                      <w:sz w:val="21"/>
                      <w:szCs w:val="21"/>
                    </w:rPr>
                    <w:t>车间密闭、距离衰减</w:t>
                  </w:r>
                </w:p>
              </w:tc>
              <w:tc>
                <w:tcPr>
                  <w:tcW w:w="1350" w:type="dxa"/>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w:t>
                  </w:r>
                </w:p>
              </w:tc>
              <w:tc>
                <w:tcPr>
                  <w:tcW w:w="1474" w:type="dxa"/>
                  <w:tcBorders>
                    <w:tl2br w:val="nil"/>
                    <w:tr2bl w:val="nil"/>
                  </w:tcBorders>
                  <w:vAlign w:val="center"/>
                </w:tcPr>
                <w:p>
                  <w:pPr>
                    <w:adjustRightInd w:val="0"/>
                    <w:snapToGrid w:val="0"/>
                    <w:jc w:val="center"/>
                    <w:rPr>
                      <w:rFonts w:hint="eastAsia" w:eastAsiaTheme="minorEastAsia"/>
                      <w:sz w:val="21"/>
                      <w:szCs w:val="21"/>
                      <w:lang w:eastAsia="zh-CN"/>
                    </w:rPr>
                  </w:pPr>
                  <w:r>
                    <w:rPr>
                      <w:rFonts w:hint="eastAsia" w:hAnsiTheme="minorEastAsia" w:eastAsiaTheme="minorEastAsia"/>
                      <w:sz w:val="21"/>
                      <w:szCs w:val="21"/>
                      <w:lang w:val="en-US" w:eastAsia="zh-CN"/>
                    </w:rPr>
                    <w:t>叉车</w:t>
                  </w:r>
                </w:p>
              </w:tc>
              <w:tc>
                <w:tcPr>
                  <w:tcW w:w="1106" w:type="dxa"/>
                  <w:tcBorders>
                    <w:tl2br w:val="nil"/>
                    <w:tr2bl w:val="nil"/>
                  </w:tcBorders>
                  <w:vAlign w:val="center"/>
                </w:tcPr>
                <w:p>
                  <w:pPr>
                    <w:adjustRightInd w:val="0"/>
                    <w:snapToGrid w:val="0"/>
                    <w:jc w:val="center"/>
                    <w:rPr>
                      <w:rFonts w:hint="eastAsia" w:eastAsiaTheme="minorEastAsia"/>
                      <w:sz w:val="21"/>
                      <w:szCs w:val="21"/>
                      <w:lang w:eastAsia="zh-CN"/>
                    </w:rPr>
                  </w:pPr>
                  <w:r>
                    <w:rPr>
                      <w:rFonts w:hint="eastAsia" w:eastAsiaTheme="minorEastAsia"/>
                      <w:sz w:val="21"/>
                      <w:szCs w:val="21"/>
                      <w:lang w:val="en-US" w:eastAsia="zh-CN"/>
                    </w:rPr>
                    <w:t>2</w:t>
                  </w:r>
                </w:p>
              </w:tc>
              <w:tc>
                <w:tcPr>
                  <w:tcW w:w="1244" w:type="dxa"/>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75</w:t>
                  </w:r>
                </w:p>
              </w:tc>
              <w:tc>
                <w:tcPr>
                  <w:tcW w:w="1581" w:type="dxa"/>
                  <w:vMerge w:val="continue"/>
                  <w:tcBorders>
                    <w:tl2br w:val="nil"/>
                    <w:tr2bl w:val="nil"/>
                  </w:tcBorders>
                  <w:vAlign w:val="center"/>
                </w:tcPr>
                <w:p>
                  <w:pPr>
                    <w:adjustRightInd w:val="0"/>
                    <w:snapToGrid w:val="0"/>
                    <w:jc w:val="center"/>
                    <w:rPr>
                      <w:rFonts w:eastAsiaTheme="minorEastAsia"/>
                      <w:sz w:val="21"/>
                      <w:szCs w:val="21"/>
                    </w:rPr>
                  </w:pPr>
                </w:p>
              </w:tc>
              <w:tc>
                <w:tcPr>
                  <w:tcW w:w="1350" w:type="dxa"/>
                  <w:tcBorders>
                    <w:tl2br w:val="nil"/>
                    <w:tr2bl w:val="nil"/>
                  </w:tcBorders>
                  <w:vAlign w:val="center"/>
                </w:tcPr>
                <w:p>
                  <w:pPr>
                    <w:adjustRightInd w:val="0"/>
                    <w:snapToGrid w:val="0"/>
                    <w:jc w:val="center"/>
                    <w:rPr>
                      <w:rFonts w:hint="eastAsia" w:eastAsiaTheme="minorEastAsia"/>
                      <w:sz w:val="21"/>
                      <w:szCs w:val="21"/>
                      <w:lang w:val="en-US" w:eastAsia="zh-CN"/>
                    </w:rPr>
                  </w:pPr>
                  <w:r>
                    <w:rPr>
                      <w:rFonts w:hint="eastAsia" w:eastAsiaTheme="minorEastAsia"/>
                      <w:sz w:val="21"/>
                      <w:szCs w:val="21"/>
                    </w:rPr>
                    <w:t>5</w:t>
                  </w:r>
                  <w:r>
                    <w:rPr>
                      <w:rFonts w:hint="eastAsia" w:eastAsiaTheme="minorEastAsia"/>
                      <w:sz w:val="21"/>
                      <w:szCs w:val="21"/>
                      <w:lang w:val="en-US" w:eastAsia="zh-CN"/>
                    </w:rPr>
                    <w:t>4</w:t>
                  </w:r>
                </w:p>
              </w:tc>
            </w:tr>
          </w:tbl>
          <w:p>
            <w:pPr>
              <w:pStyle w:val="125"/>
              <w:spacing w:line="520" w:lineRule="exact"/>
              <w:ind w:firstLine="454" w:firstLineChars="0"/>
              <w:rPr>
                <w:rFonts w:hint="default" w:ascii="Times New Roman" w:hAnsi="Times New Roman" w:eastAsia="宋体" w:cs="Times New Roman"/>
                <w:b w:val="0"/>
                <w:bCs/>
                <w:color w:val="auto"/>
                <w:szCs w:val="24"/>
                <w:lang w:val="en-US" w:eastAsia="zh-CN"/>
              </w:rPr>
            </w:pPr>
            <w:r>
              <w:rPr>
                <w:rFonts w:hint="default" w:ascii="Times New Roman" w:hAnsi="Times New Roman" w:eastAsia="宋体" w:cs="Times New Roman"/>
                <w:b w:val="0"/>
                <w:bCs/>
                <w:color w:val="auto"/>
                <w:szCs w:val="24"/>
                <w:lang w:val="en-US" w:eastAsia="zh-CN"/>
              </w:rPr>
              <w:t>4、固体废物</w:t>
            </w:r>
          </w:p>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eastAsia" w:cs="Times New Roman"/>
                <w:color w:val="auto"/>
                <w:sz w:val="24"/>
                <w:lang w:val="en-US" w:eastAsia="zh-CN"/>
              </w:rPr>
              <w:t>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sz w:val="24"/>
              </w:rPr>
              <w:t>正常工况</w:t>
            </w:r>
          </w:p>
          <w:p>
            <w:pPr>
              <w:adjustRightInd w:val="0"/>
              <w:snapToGrid w:val="0"/>
              <w:spacing w:line="520" w:lineRule="exact"/>
              <w:ind w:firstLine="480" w:firstLineChars="200"/>
              <w:jc w:val="left"/>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正常工况下</w:t>
            </w:r>
            <w:r>
              <w:rPr>
                <w:rFonts w:hint="default" w:ascii="Times New Roman" w:hAnsi="Times New Roman" w:eastAsia="宋体" w:cs="Times New Roman"/>
                <w:color w:val="auto"/>
                <w:sz w:val="24"/>
              </w:rPr>
              <w:t>项目涉及</w:t>
            </w:r>
            <w:r>
              <w:rPr>
                <w:rFonts w:hint="default" w:ascii="Times New Roman" w:hAnsi="Times New Roman" w:eastAsia="宋体" w:cs="Times New Roman"/>
                <w:color w:val="auto"/>
                <w:sz w:val="24"/>
                <w:lang w:eastAsia="zh-CN"/>
              </w:rPr>
              <w:t>固废为危险废物和生活垃圾。</w:t>
            </w:r>
          </w:p>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危险固废主要为废包装桶/袋、废活性炭</w:t>
            </w:r>
            <w:r>
              <w:rPr>
                <w:rFonts w:hint="default" w:ascii="Times New Roman" w:hAnsi="Times New Roman" w:eastAsia="宋体" w:cs="Times New Roman"/>
                <w:color w:val="auto"/>
                <w:sz w:val="24"/>
                <w:lang w:eastAsia="zh-CN"/>
              </w:rPr>
              <w:t>、喷淋</w:t>
            </w:r>
            <w:r>
              <w:rPr>
                <w:rFonts w:hint="eastAsia" w:cs="Times New Roman"/>
                <w:color w:val="auto"/>
                <w:sz w:val="24"/>
                <w:lang w:val="en-US" w:eastAsia="zh-CN"/>
              </w:rPr>
              <w:t>液</w:t>
            </w:r>
            <w:r>
              <w:rPr>
                <w:rFonts w:hint="default" w:ascii="Times New Roman" w:hAnsi="Times New Roman" w:eastAsia="宋体" w:cs="Times New Roman"/>
                <w:color w:val="auto"/>
                <w:sz w:val="24"/>
              </w:rPr>
              <w:t>。</w:t>
            </w:r>
          </w:p>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1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①</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废包装桶/袋</w:t>
            </w:r>
          </w:p>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项目储存危险废物的包装桶/袋使用过程中因损坏、破旧等产生的废旧包装桶/袋，按照项目的储存量和周转情况估算，废旧包装桶/袋产生量为0.</w:t>
            </w:r>
            <w:r>
              <w:rPr>
                <w:rFonts w:hint="eastAsia" w:cs="Times New Roman"/>
                <w:color w:val="auto"/>
                <w:sz w:val="24"/>
                <w:lang w:val="en-US" w:eastAsia="zh-CN"/>
              </w:rPr>
              <w:t>5</w:t>
            </w:r>
            <w:r>
              <w:rPr>
                <w:rFonts w:hint="default" w:ascii="Times New Roman" w:hAnsi="Times New Roman" w:eastAsia="宋体" w:cs="Times New Roman"/>
                <w:color w:val="auto"/>
                <w:sz w:val="24"/>
              </w:rPr>
              <w:t>t/a，根据《国家危险废物名录》（20</w:t>
            </w:r>
            <w:r>
              <w:rPr>
                <w:rFonts w:hint="default" w:ascii="Times New Roman" w:hAnsi="Times New Roman" w:eastAsia="宋体" w:cs="Times New Roman"/>
                <w:color w:val="auto"/>
                <w:sz w:val="24"/>
                <w:lang w:val="en-US" w:eastAsia="zh-CN"/>
              </w:rPr>
              <w:t>21</w:t>
            </w:r>
            <w:r>
              <w:rPr>
                <w:rFonts w:hint="default" w:ascii="Times New Roman" w:hAnsi="Times New Roman" w:eastAsia="宋体" w:cs="Times New Roman"/>
                <w:color w:val="auto"/>
                <w:sz w:val="24"/>
              </w:rPr>
              <w:t>年），废包装桶/袋为危险固废，危废编号HW49，代码为900-041-49，</w:t>
            </w:r>
            <w:r>
              <w:rPr>
                <w:rFonts w:hint="default" w:ascii="Times New Roman" w:hAnsi="Times New Roman" w:eastAsia="宋体" w:cs="Times New Roman"/>
                <w:color w:val="auto"/>
                <w:sz w:val="24"/>
                <w:lang w:eastAsia="zh-CN"/>
              </w:rPr>
              <w:t>在</w:t>
            </w:r>
            <w:r>
              <w:rPr>
                <w:rFonts w:hint="default" w:ascii="Times New Roman" w:hAnsi="Times New Roman" w:eastAsia="宋体" w:cs="Times New Roman"/>
                <w:color w:val="auto"/>
                <w:sz w:val="24"/>
              </w:rPr>
              <w:t>危废暂存区暂存后和仓库贮存的其他危险废物一起定期交由具有资质单位进行处置。</w:t>
            </w:r>
          </w:p>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fldChar w:fldCharType="begin"/>
            </w:r>
            <w:r>
              <w:rPr>
                <w:rFonts w:hint="default" w:ascii="Times New Roman" w:hAnsi="Times New Roman" w:eastAsia="宋体" w:cs="Times New Roman"/>
                <w:color w:val="auto"/>
                <w:sz w:val="24"/>
              </w:rPr>
              <w:instrText xml:space="preserve"> = 2 \* GB3 </w:instrText>
            </w:r>
            <w:r>
              <w:rPr>
                <w:rFonts w:hint="default" w:ascii="Times New Roman" w:hAnsi="Times New Roman" w:eastAsia="宋体" w:cs="Times New Roman"/>
                <w:color w:val="auto"/>
                <w:sz w:val="24"/>
              </w:rPr>
              <w:fldChar w:fldCharType="separate"/>
            </w:r>
            <w:r>
              <w:rPr>
                <w:rFonts w:hint="default" w:ascii="Times New Roman" w:hAnsi="Times New Roman" w:eastAsia="宋体" w:cs="Times New Roman"/>
                <w:color w:val="auto"/>
                <w:sz w:val="24"/>
              </w:rPr>
              <w:t>②</w:t>
            </w:r>
            <w:r>
              <w:rPr>
                <w:rFonts w:hint="default" w:ascii="Times New Roman" w:hAnsi="Times New Roman" w:eastAsia="宋体" w:cs="Times New Roman"/>
                <w:color w:val="auto"/>
                <w:sz w:val="24"/>
              </w:rPr>
              <w:fldChar w:fldCharType="end"/>
            </w:r>
            <w:r>
              <w:rPr>
                <w:rFonts w:hint="default" w:ascii="Times New Roman" w:hAnsi="Times New Roman" w:eastAsia="宋体" w:cs="Times New Roman"/>
                <w:color w:val="auto"/>
                <w:sz w:val="24"/>
              </w:rPr>
              <w:t>废活性炭</w:t>
            </w:r>
          </w:p>
          <w:p>
            <w:pPr>
              <w:adjustRightInd w:val="0"/>
              <w:snapToGrid w:val="0"/>
              <w:spacing w:line="520" w:lineRule="exact"/>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本项目有机废气产生量为</w:t>
            </w:r>
            <w:r>
              <w:rPr>
                <w:rFonts w:hint="eastAsia" w:cs="Times New Roman"/>
                <w:color w:val="auto"/>
                <w:sz w:val="24"/>
                <w:highlight w:val="none"/>
                <w:lang w:val="en-US" w:eastAsia="zh-CN"/>
              </w:rPr>
              <w:t>0.29t</w:t>
            </w:r>
            <w:r>
              <w:rPr>
                <w:rFonts w:hint="default" w:ascii="Times New Roman" w:hAnsi="Times New Roman" w:eastAsia="宋体" w:cs="Times New Roman"/>
                <w:color w:val="auto"/>
                <w:sz w:val="24"/>
                <w:highlight w:val="none"/>
              </w:rPr>
              <w:t>/a，经</w:t>
            </w:r>
            <w:r>
              <w:rPr>
                <w:rFonts w:hint="eastAsia" w:cs="Times New Roman"/>
                <w:color w:val="auto"/>
                <w:sz w:val="24"/>
                <w:highlight w:val="none"/>
                <w:lang w:val="en-US" w:eastAsia="zh-CN"/>
              </w:rPr>
              <w:t>车间密闭收集并经活性炭吸附处理后排放，</w:t>
            </w:r>
            <w:r>
              <w:rPr>
                <w:rFonts w:hint="default" w:ascii="Times New Roman" w:hAnsi="Times New Roman" w:eastAsia="宋体" w:cs="Times New Roman"/>
                <w:color w:val="auto"/>
                <w:sz w:val="24"/>
                <w:highlight w:val="none"/>
              </w:rPr>
              <w:t>按每吨活性炭可吸附0.2t有机废气计，所需活性炭量为</w:t>
            </w:r>
            <w:r>
              <w:rPr>
                <w:rFonts w:hint="eastAsia" w:cs="Times New Roman"/>
                <w:color w:val="auto"/>
                <w:sz w:val="24"/>
                <w:highlight w:val="none"/>
                <w:lang w:val="en-US" w:eastAsia="zh-CN"/>
              </w:rPr>
              <w:t>1.45</w:t>
            </w:r>
            <w:r>
              <w:rPr>
                <w:rFonts w:hint="default" w:ascii="Times New Roman" w:hAnsi="Times New Roman" w:eastAsia="宋体" w:cs="Times New Roman"/>
                <w:color w:val="auto"/>
                <w:sz w:val="24"/>
                <w:highlight w:val="none"/>
              </w:rPr>
              <w:t>t/a；项目设置1套活性炭吸附装置，容积约</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，活性炭填充量为</w:t>
            </w:r>
            <w:r>
              <w:rPr>
                <w:rFonts w:hint="eastAsia" w:cs="Times New Roman"/>
                <w:color w:val="auto"/>
                <w:sz w:val="24"/>
                <w:highlight w:val="none"/>
                <w:lang w:val="en-US" w:eastAsia="zh-CN"/>
              </w:rPr>
              <w:t>0.5</w:t>
            </w:r>
            <w:r>
              <w:rPr>
                <w:rFonts w:hint="default" w:ascii="Times New Roman" w:hAnsi="Times New Roman" w:eastAsia="宋体" w:cs="Times New Roman"/>
                <w:color w:val="auto"/>
                <w:sz w:val="24"/>
                <w:highlight w:val="none"/>
              </w:rPr>
              <w:t>t，为保障活性炭的吸附效率，每季度更换一次，每次更换量为</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rPr>
              <w:t>t，因此，废气处理装置产生的废活性炭约</w:t>
            </w:r>
            <w:r>
              <w:rPr>
                <w:rFonts w:hint="eastAsia" w:cs="Times New Roman"/>
                <w:color w:val="auto"/>
                <w:sz w:val="24"/>
                <w:highlight w:val="none"/>
                <w:lang w:val="en-US" w:eastAsia="zh-CN"/>
              </w:rPr>
              <w:t>2.3</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根据《国家危险废物名录》（</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年），废包装桶/袋为危险固废，危废编号HW49，代码为900-041-49，</w:t>
            </w:r>
            <w:r>
              <w:rPr>
                <w:rFonts w:hint="default" w:ascii="Times New Roman" w:hAnsi="Times New Roman" w:eastAsia="宋体" w:cs="Times New Roman"/>
                <w:color w:val="auto"/>
                <w:sz w:val="24"/>
                <w:highlight w:val="none"/>
                <w:lang w:eastAsia="zh-CN"/>
              </w:rPr>
              <w:t>在</w:t>
            </w:r>
            <w:r>
              <w:rPr>
                <w:rFonts w:hint="default" w:ascii="Times New Roman" w:hAnsi="Times New Roman" w:eastAsia="宋体" w:cs="Times New Roman"/>
                <w:color w:val="auto"/>
                <w:sz w:val="24"/>
                <w:highlight w:val="none"/>
              </w:rPr>
              <w:t>危废暂存区暂存后和仓库贮存的其他危险废物一起定期交由具有资质单位处置。</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③喷淋水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eastAsia="zh-CN"/>
              </w:rPr>
            </w:pPr>
            <w:r>
              <w:rPr>
                <w:rFonts w:hint="default" w:ascii="Times New Roman" w:hAnsi="Times New Roman" w:eastAsia="宋体" w:cs="Times New Roman"/>
                <w:color w:val="000000"/>
                <w:kern w:val="0"/>
                <w:sz w:val="24"/>
                <w:szCs w:val="24"/>
                <w:lang w:eastAsia="zh-CN"/>
              </w:rPr>
              <w:t>本项目碱液喷淋塔自带循环水池容积约</w:t>
            </w:r>
            <w:r>
              <w:rPr>
                <w:rFonts w:hint="default" w:ascii="Times New Roman" w:hAnsi="Times New Roman" w:eastAsia="宋体" w:cs="Times New Roman"/>
                <w:color w:val="000000"/>
                <w:kern w:val="0"/>
                <w:sz w:val="24"/>
                <w:szCs w:val="24"/>
                <w:lang w:val="en-US" w:eastAsia="zh-CN"/>
              </w:rPr>
              <w:t>3</w:t>
            </w:r>
            <w:r>
              <w:rPr>
                <w:rFonts w:hint="default" w:ascii="Times New Roman" w:hAnsi="Times New Roman" w:eastAsia="宋体" w:cs="Times New Roman"/>
                <w:color w:val="000000"/>
                <w:kern w:val="0"/>
                <w:sz w:val="24"/>
                <w:szCs w:val="24"/>
                <w:lang w:eastAsia="zh-CN"/>
              </w:rPr>
              <w:t>m</w:t>
            </w:r>
            <w:r>
              <w:rPr>
                <w:rFonts w:hint="default" w:ascii="Times New Roman" w:hAnsi="Times New Roman" w:eastAsia="宋体" w:cs="Times New Roman"/>
                <w:color w:val="000000"/>
                <w:kern w:val="0"/>
                <w:sz w:val="24"/>
                <w:szCs w:val="24"/>
                <w:vertAlign w:val="superscript"/>
                <w:lang w:eastAsia="zh-CN"/>
              </w:rPr>
              <w:t>3</w:t>
            </w:r>
            <w:r>
              <w:rPr>
                <w:rFonts w:hint="default" w:ascii="Times New Roman" w:hAnsi="Times New Roman" w:eastAsia="宋体" w:cs="Times New Roman"/>
                <w:color w:val="000000"/>
                <w:kern w:val="0"/>
                <w:sz w:val="24"/>
                <w:szCs w:val="24"/>
                <w:lang w:eastAsia="zh-CN"/>
              </w:rPr>
              <w:t>，喷淋塔用水循环利用定期添加碱，</w:t>
            </w:r>
            <w:r>
              <w:rPr>
                <w:rFonts w:hint="eastAsia" w:ascii="Times New Roman" w:hAnsi="Times New Roman" w:eastAsia="宋体" w:cs="Times New Roman"/>
                <w:color w:val="000000"/>
                <w:kern w:val="0"/>
                <w:sz w:val="24"/>
                <w:szCs w:val="24"/>
                <w:lang w:val="en-US" w:eastAsia="zh-CN"/>
              </w:rPr>
              <w:t>3</w:t>
            </w:r>
            <w:r>
              <w:rPr>
                <w:rFonts w:hint="default" w:ascii="Times New Roman" w:hAnsi="Times New Roman" w:eastAsia="宋体" w:cs="Times New Roman"/>
                <w:color w:val="000000"/>
                <w:kern w:val="0"/>
                <w:sz w:val="24"/>
                <w:szCs w:val="24"/>
                <w:lang w:val="en-US" w:eastAsia="zh-CN"/>
              </w:rPr>
              <w:t>个月更换一次</w:t>
            </w:r>
            <w:r>
              <w:rPr>
                <w:rFonts w:hint="default" w:ascii="Times New Roman" w:hAnsi="Times New Roman" w:eastAsia="宋体" w:cs="Times New Roman"/>
                <w:color w:val="000000"/>
                <w:kern w:val="0"/>
                <w:sz w:val="24"/>
                <w:szCs w:val="24"/>
                <w:lang w:eastAsia="zh-CN"/>
              </w:rPr>
              <w:t>，装入收集桶，</w:t>
            </w:r>
            <w:r>
              <w:rPr>
                <w:rFonts w:hint="default" w:ascii="Times New Roman" w:hAnsi="Times New Roman" w:eastAsia="宋体" w:cs="Times New Roman"/>
                <w:color w:val="auto"/>
                <w:sz w:val="24"/>
                <w:highlight w:val="none"/>
              </w:rPr>
              <w:t>危废编号HW49，根据《国家危险废物名录》（</w:t>
            </w:r>
            <w:r>
              <w:rPr>
                <w:rFonts w:hint="default" w:ascii="Times New Roman" w:hAnsi="Times New Roman" w:eastAsia="宋体" w:cs="Times New Roman"/>
                <w:color w:val="auto"/>
                <w:sz w:val="24"/>
                <w:highlight w:val="none"/>
                <w:lang w:val="en-US" w:eastAsia="zh-CN"/>
              </w:rPr>
              <w:t>2021</w:t>
            </w:r>
            <w:r>
              <w:rPr>
                <w:rFonts w:hint="default" w:ascii="Times New Roman" w:hAnsi="Times New Roman" w:eastAsia="宋体" w:cs="Times New Roman"/>
                <w:color w:val="auto"/>
                <w:sz w:val="24"/>
                <w:highlight w:val="none"/>
              </w:rPr>
              <w:t>年），代码为900-041-49，</w:t>
            </w:r>
            <w:r>
              <w:rPr>
                <w:rFonts w:hint="default" w:ascii="Times New Roman" w:hAnsi="Times New Roman" w:eastAsia="宋体" w:cs="Times New Roman"/>
                <w:color w:val="000000"/>
                <w:kern w:val="0"/>
                <w:sz w:val="24"/>
                <w:szCs w:val="24"/>
                <w:lang w:eastAsia="zh-CN"/>
              </w:rPr>
              <w:t>在</w:t>
            </w:r>
            <w:r>
              <w:rPr>
                <w:rFonts w:hint="default" w:ascii="Times New Roman" w:hAnsi="Times New Roman" w:eastAsia="宋体" w:cs="Times New Roman"/>
                <w:color w:val="auto"/>
                <w:sz w:val="24"/>
                <w:highlight w:val="none"/>
              </w:rPr>
              <w:t>危废暂存区暂存后和仓库贮存的其他危险废物一起定期交由具有资质单位处置。</w:t>
            </w:r>
          </w:p>
          <w:p>
            <w:pPr>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④</w:t>
            </w:r>
            <w:r>
              <w:rPr>
                <w:rFonts w:hint="default" w:ascii="Times New Roman" w:hAnsi="Times New Roman" w:eastAsia="宋体" w:cs="Times New Roman"/>
                <w:color w:val="auto"/>
                <w:sz w:val="24"/>
                <w:szCs w:val="24"/>
              </w:rPr>
              <w:t>生活垃圾</w:t>
            </w:r>
          </w:p>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eastAsia="zh-CN"/>
              </w:rPr>
              <w:t>劳动定员</w:t>
            </w:r>
            <w:r>
              <w:rPr>
                <w:rFonts w:hint="eastAsia" w:cs="Times New Roman"/>
                <w:color w:val="auto"/>
                <w:sz w:val="24"/>
                <w:lang w:val="en-US" w:eastAsia="zh-CN"/>
              </w:rPr>
              <w:t>5</w:t>
            </w:r>
            <w:r>
              <w:rPr>
                <w:rFonts w:hint="default" w:ascii="Times New Roman" w:hAnsi="Times New Roman" w:eastAsia="宋体" w:cs="Times New Roman"/>
                <w:color w:val="auto"/>
                <w:sz w:val="24"/>
                <w:lang w:eastAsia="zh-CN"/>
              </w:rPr>
              <w:t>人</w:t>
            </w:r>
            <w:r>
              <w:rPr>
                <w:rFonts w:hint="default" w:ascii="Times New Roman" w:hAnsi="Times New Roman" w:eastAsia="宋体" w:cs="Times New Roman"/>
                <w:color w:val="auto"/>
                <w:sz w:val="24"/>
              </w:rPr>
              <w:t>，以每人每天产生生活垃圾0.5kg计，则生活垃圾产生量为</w:t>
            </w:r>
            <w:r>
              <w:rPr>
                <w:rFonts w:hint="eastAsia" w:cs="Times New Roman"/>
                <w:color w:val="auto"/>
                <w:sz w:val="24"/>
                <w:lang w:val="en-US" w:eastAsia="zh-CN"/>
              </w:rPr>
              <w:t>0.75</w:t>
            </w:r>
            <w:r>
              <w:rPr>
                <w:rFonts w:hint="default" w:ascii="Times New Roman" w:hAnsi="Times New Roman" w:eastAsia="宋体" w:cs="Times New Roman"/>
                <w:color w:val="auto"/>
                <w:sz w:val="24"/>
              </w:rPr>
              <w:t>t/a。</w:t>
            </w:r>
          </w:p>
          <w:p>
            <w:pPr>
              <w:adjustRightInd w:val="0"/>
              <w:snapToGrid w:val="0"/>
              <w:spacing w:line="520" w:lineRule="exact"/>
              <w:ind w:firstLine="480" w:firstLineChars="200"/>
              <w:jc w:val="left"/>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eastAsia" w:cs="Times New Roman"/>
                <w:color w:val="auto"/>
                <w:sz w:val="24"/>
                <w:highlight w:val="none"/>
                <w:lang w:val="en-US" w:eastAsia="zh-CN"/>
              </w:rPr>
              <w:t>2</w:t>
            </w:r>
            <w:r>
              <w:rPr>
                <w:rFonts w:hint="default" w:ascii="Times New Roman" w:hAnsi="Times New Roman" w:eastAsia="宋体" w:cs="Times New Roman"/>
                <w:color w:val="auto"/>
                <w:sz w:val="24"/>
                <w:highlight w:val="none"/>
                <w:lang w:eastAsia="zh-CN"/>
              </w:rPr>
              <w:t>）非</w:t>
            </w:r>
            <w:r>
              <w:rPr>
                <w:rFonts w:hint="default" w:ascii="Times New Roman" w:hAnsi="Times New Roman" w:eastAsia="宋体" w:cs="Times New Roman"/>
                <w:sz w:val="24"/>
                <w:highlight w:val="none"/>
              </w:rPr>
              <w:t>正常工况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AnsiTheme="minorEastAsia" w:eastAsiaTheme="minorEastAsia"/>
                <w:color w:val="000000"/>
                <w:sz w:val="21"/>
                <w:szCs w:val="21"/>
              </w:rPr>
            </w:pPr>
            <w:r>
              <w:rPr>
                <w:rFonts w:hint="default" w:ascii="Times New Roman" w:hAnsi="Times New Roman" w:eastAsia="宋体" w:cs="Times New Roman"/>
                <w:color w:val="000000"/>
                <w:kern w:val="0"/>
                <w:sz w:val="24"/>
                <w:szCs w:val="24"/>
                <w:lang w:eastAsia="zh-CN"/>
              </w:rPr>
              <w:t>固体废物堆存过程中，含水率较大的废物如污水处理站污泥，其包装出现破损，导致储存过程产生渗滤液，渗滤液经厂房内托盘导流槽收集后进入渗滤液收集桶，作为危险废物交由具有资质的单位处置</w:t>
            </w:r>
            <w:r>
              <w:rPr>
                <w:rFonts w:hint="eastAsia" w:cs="Times New Roman"/>
                <w:color w:val="000000"/>
                <w:kern w:val="0"/>
                <w:sz w:val="24"/>
                <w:szCs w:val="24"/>
                <w:lang w:eastAsia="zh-CN"/>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56" w:type="dxa"/>
            <w:tcBorders>
              <w:top w:val="single" w:color="auto" w:sz="4" w:space="0"/>
              <w:bottom w:val="single" w:color="auto" w:sz="8" w:space="0"/>
              <w:right w:val="single" w:color="auto" w:sz="4" w:space="0"/>
            </w:tcBorders>
            <w:vAlign w:val="center"/>
          </w:tcPr>
          <w:p>
            <w:pPr>
              <w:jc w:val="center"/>
              <w:rPr>
                <w:color w:val="000000"/>
                <w:sz w:val="24"/>
                <w:szCs w:val="24"/>
              </w:rPr>
            </w:pPr>
            <w:r>
              <w:rPr>
                <w:rFonts w:hint="eastAsia"/>
                <w:color w:val="000000"/>
                <w:sz w:val="24"/>
                <w:szCs w:val="24"/>
              </w:rPr>
              <w:t>与项目有关的原有环境污染问题</w:t>
            </w:r>
          </w:p>
        </w:tc>
        <w:tc>
          <w:tcPr>
            <w:tcW w:w="8607" w:type="dxa"/>
            <w:tcBorders>
              <w:top w:val="single" w:color="auto" w:sz="4" w:space="0"/>
              <w:left w:val="single" w:color="auto" w:sz="4" w:space="0"/>
              <w:bottom w:val="single" w:color="auto" w:sz="8" w:space="0"/>
            </w:tcBorders>
            <w:vAlign w:val="center"/>
          </w:tcPr>
          <w:p>
            <w:pPr>
              <w:adjustRightInd w:val="0"/>
              <w:snapToGrid w:val="0"/>
              <w:spacing w:line="400" w:lineRule="exact"/>
              <w:ind w:firstLine="480" w:firstLineChars="200"/>
              <w:jc w:val="left"/>
              <w:rPr>
                <w:sz w:val="24"/>
              </w:rPr>
            </w:pPr>
            <w:r>
              <w:rPr>
                <w:sz w:val="24"/>
              </w:rPr>
              <w:t>本项目</w:t>
            </w:r>
            <w:r>
              <w:rPr>
                <w:rFonts w:hint="eastAsia"/>
                <w:sz w:val="24"/>
              </w:rPr>
              <w:t>为</w:t>
            </w:r>
            <w:r>
              <w:rPr>
                <w:sz w:val="24"/>
              </w:rPr>
              <w:t>新建项目，</w:t>
            </w:r>
            <w:r>
              <w:rPr>
                <w:rFonts w:hint="eastAsia"/>
                <w:sz w:val="24"/>
              </w:rPr>
              <w:t>不涉及原有环境污染问题</w:t>
            </w:r>
            <w:r>
              <w:rPr>
                <w:sz w:val="24"/>
              </w:rPr>
              <w:t>。</w:t>
            </w:r>
          </w:p>
          <w:p>
            <w:pPr>
              <w:tabs>
                <w:tab w:val="left" w:pos="2350"/>
              </w:tabs>
              <w:spacing w:line="440" w:lineRule="exact"/>
              <w:jc w:val="left"/>
              <w:rPr>
                <w:b/>
                <w:bCs/>
                <w:color w:val="000000"/>
                <w:sz w:val="24"/>
                <w:szCs w:val="24"/>
              </w:rPr>
            </w:pPr>
          </w:p>
        </w:tc>
      </w:tr>
    </w:tbl>
    <w:p>
      <w:pPr>
        <w:adjustRightInd w:val="0"/>
        <w:snapToGrid w:val="0"/>
        <w:jc w:val="center"/>
        <w:rPr>
          <w:rFonts w:hint="eastAsia" w:ascii="黑体" w:hAnsi="黑体" w:eastAsia="黑体" w:cs="黑体"/>
          <w:b w:val="0"/>
          <w:bCs/>
          <w:color w:val="000000"/>
          <w:sz w:val="30"/>
          <w:szCs w:val="30"/>
        </w:rPr>
      </w:pPr>
    </w:p>
    <w:p>
      <w:pPr>
        <w:adjustRightInd w:val="0"/>
        <w:snapToGrid w:val="0"/>
        <w:jc w:val="center"/>
        <w:rPr>
          <w:rFonts w:hint="eastAsia" w:ascii="黑体" w:hAnsi="黑体" w:eastAsia="黑体" w:cs="黑体"/>
          <w:b w:val="0"/>
          <w:bCs/>
          <w:color w:val="000000"/>
          <w:sz w:val="30"/>
          <w:szCs w:val="30"/>
        </w:rPr>
      </w:pPr>
      <w:r>
        <w:rPr>
          <w:rFonts w:hint="eastAsia" w:ascii="黑体" w:hAnsi="黑体" w:eastAsia="黑体" w:cs="黑体"/>
          <w:b w:val="0"/>
          <w:bCs/>
          <w:color w:val="000000"/>
          <w:sz w:val="30"/>
          <w:szCs w:val="30"/>
        </w:rPr>
        <w:t>三、区域环境质量现状、环境保护目标及评价标准</w:t>
      </w:r>
    </w:p>
    <w:tbl>
      <w:tblPr>
        <w:tblStyle w:val="26"/>
        <w:tblW w:w="900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2"/>
        <w:gridCol w:w="85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vAlign w:val="center"/>
          </w:tcPr>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left"/>
              <w:rPr>
                <w:sz w:val="21"/>
                <w:szCs w:val="21"/>
              </w:rPr>
            </w:pPr>
          </w:p>
          <w:p>
            <w:pPr>
              <w:spacing w:line="440" w:lineRule="exact"/>
              <w:jc w:val="center"/>
              <w:rPr>
                <w:sz w:val="24"/>
                <w:szCs w:val="24"/>
              </w:rPr>
            </w:pPr>
            <w:r>
              <w:rPr>
                <w:rFonts w:hint="eastAsia"/>
                <w:sz w:val="24"/>
                <w:szCs w:val="24"/>
              </w:rPr>
              <w:t>区</w:t>
            </w:r>
          </w:p>
          <w:p>
            <w:pPr>
              <w:spacing w:line="440" w:lineRule="exact"/>
              <w:jc w:val="center"/>
              <w:rPr>
                <w:sz w:val="24"/>
                <w:szCs w:val="24"/>
              </w:rPr>
            </w:pPr>
            <w:r>
              <w:rPr>
                <w:rFonts w:hint="eastAsia"/>
                <w:sz w:val="24"/>
                <w:szCs w:val="24"/>
              </w:rPr>
              <w:t>域</w:t>
            </w:r>
          </w:p>
          <w:p>
            <w:pPr>
              <w:spacing w:line="440" w:lineRule="exact"/>
              <w:jc w:val="center"/>
              <w:rPr>
                <w:sz w:val="24"/>
                <w:szCs w:val="24"/>
              </w:rPr>
            </w:pPr>
            <w:r>
              <w:rPr>
                <w:rFonts w:hint="eastAsia"/>
                <w:sz w:val="24"/>
                <w:szCs w:val="24"/>
              </w:rPr>
              <w:t>环</w:t>
            </w:r>
          </w:p>
          <w:p>
            <w:pPr>
              <w:spacing w:line="440" w:lineRule="exact"/>
              <w:jc w:val="center"/>
              <w:rPr>
                <w:sz w:val="24"/>
                <w:szCs w:val="24"/>
              </w:rPr>
            </w:pPr>
            <w:r>
              <w:rPr>
                <w:rFonts w:hint="eastAsia"/>
                <w:sz w:val="24"/>
                <w:szCs w:val="24"/>
              </w:rPr>
              <w:t>境</w:t>
            </w:r>
          </w:p>
          <w:p>
            <w:pPr>
              <w:spacing w:line="440" w:lineRule="exact"/>
              <w:jc w:val="center"/>
              <w:rPr>
                <w:sz w:val="24"/>
                <w:szCs w:val="24"/>
              </w:rPr>
            </w:pPr>
            <w:r>
              <w:rPr>
                <w:rFonts w:hint="eastAsia"/>
                <w:sz w:val="24"/>
                <w:szCs w:val="24"/>
              </w:rPr>
              <w:t>质</w:t>
            </w:r>
          </w:p>
          <w:p>
            <w:pPr>
              <w:spacing w:line="440" w:lineRule="exact"/>
              <w:jc w:val="center"/>
              <w:rPr>
                <w:sz w:val="24"/>
                <w:szCs w:val="24"/>
              </w:rPr>
            </w:pPr>
            <w:r>
              <w:rPr>
                <w:rFonts w:hint="eastAsia"/>
                <w:sz w:val="24"/>
                <w:szCs w:val="24"/>
              </w:rPr>
              <w:t>量</w:t>
            </w:r>
          </w:p>
          <w:p>
            <w:pPr>
              <w:spacing w:line="440" w:lineRule="exact"/>
              <w:jc w:val="center"/>
              <w:rPr>
                <w:sz w:val="24"/>
                <w:szCs w:val="24"/>
              </w:rPr>
            </w:pPr>
            <w:r>
              <w:rPr>
                <w:rFonts w:hint="eastAsia"/>
                <w:sz w:val="24"/>
                <w:szCs w:val="24"/>
              </w:rPr>
              <w:t>现</w:t>
            </w:r>
          </w:p>
          <w:p>
            <w:pPr>
              <w:spacing w:line="440" w:lineRule="exact"/>
              <w:jc w:val="center"/>
              <w:rPr>
                <w:sz w:val="21"/>
                <w:szCs w:val="21"/>
              </w:rPr>
            </w:pPr>
            <w:r>
              <w:rPr>
                <w:rFonts w:hint="eastAsia"/>
                <w:sz w:val="24"/>
                <w:szCs w:val="24"/>
              </w:rPr>
              <w:t>状</w:t>
            </w:r>
          </w:p>
          <w:p>
            <w:pPr>
              <w:spacing w:line="440" w:lineRule="exact"/>
              <w:ind w:firstLine="420" w:firstLineChars="200"/>
              <w:jc w:val="left"/>
              <w:rPr>
                <w:sz w:val="21"/>
                <w:szCs w:val="21"/>
              </w:rPr>
            </w:pPr>
          </w:p>
          <w:p>
            <w:pPr>
              <w:spacing w:line="440" w:lineRule="exact"/>
              <w:ind w:firstLine="420" w:firstLineChars="200"/>
              <w:jc w:val="left"/>
              <w:rPr>
                <w:sz w:val="21"/>
                <w:szCs w:val="21"/>
              </w:rPr>
            </w:pPr>
          </w:p>
          <w:p>
            <w:pPr>
              <w:spacing w:line="440" w:lineRule="exact"/>
              <w:ind w:firstLine="420" w:firstLineChars="200"/>
              <w:jc w:val="left"/>
              <w:rPr>
                <w:sz w:val="21"/>
                <w:szCs w:val="21"/>
              </w:rPr>
            </w:pPr>
          </w:p>
          <w:p>
            <w:pPr>
              <w:spacing w:line="440" w:lineRule="exact"/>
              <w:ind w:firstLine="562" w:firstLineChars="200"/>
              <w:jc w:val="left"/>
              <w:rPr>
                <w:b/>
                <w:color w:val="000000"/>
              </w:rPr>
            </w:pPr>
          </w:p>
        </w:tc>
        <w:tc>
          <w:tcPr>
            <w:tcW w:w="8553"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520" w:lineRule="exact"/>
              <w:ind w:firstLine="482" w:firstLineChars="200"/>
              <w:jc w:val="left"/>
              <w:textAlignment w:val="auto"/>
              <w:rPr>
                <w:b/>
                <w:color w:val="000000"/>
                <w:sz w:val="24"/>
                <w:szCs w:val="24"/>
              </w:rPr>
            </w:pPr>
            <w:r>
              <w:rPr>
                <w:b/>
                <w:color w:val="000000"/>
                <w:sz w:val="24"/>
                <w:szCs w:val="24"/>
              </w:rPr>
              <w:t>1、环境空气质量现状</w:t>
            </w:r>
          </w:p>
          <w:p>
            <w:pPr>
              <w:keepNext w:val="0"/>
              <w:keepLines w:val="0"/>
              <w:pageBreakBefore w:val="0"/>
              <w:kinsoku/>
              <w:wordWrap/>
              <w:overflowPunct/>
              <w:topLinePunct w:val="0"/>
              <w:autoSpaceDE/>
              <w:autoSpaceDN/>
              <w:bidi w:val="0"/>
              <w:adjustRightInd/>
              <w:snapToGrid/>
              <w:spacing w:line="520" w:lineRule="exact"/>
              <w:ind w:firstLine="480" w:firstLineChars="200"/>
              <w:jc w:val="left"/>
              <w:textAlignment w:val="auto"/>
              <w:rPr>
                <w:color w:val="000000"/>
                <w:sz w:val="24"/>
                <w:szCs w:val="24"/>
              </w:rPr>
            </w:pPr>
            <w:r>
              <w:rPr>
                <w:bCs/>
                <w:color w:val="000000"/>
                <w:sz w:val="24"/>
                <w:szCs w:val="24"/>
              </w:rPr>
              <w:t>（1）基本污染物环境质量现状评价</w:t>
            </w:r>
          </w:p>
          <w:p>
            <w:pPr>
              <w:keepNext w:val="0"/>
              <w:keepLines w:val="0"/>
              <w:pageBreakBefore w:val="0"/>
              <w:widowControl/>
              <w:kinsoku/>
              <w:wordWrap/>
              <w:overflowPunct/>
              <w:topLinePunct w:val="0"/>
              <w:autoSpaceDE/>
              <w:autoSpaceDN/>
              <w:bidi w:val="0"/>
              <w:adjustRightInd/>
              <w:snapToGrid/>
              <w:spacing w:line="520" w:lineRule="exact"/>
              <w:ind w:firstLine="436" w:firstLineChars="182"/>
              <w:textAlignment w:val="auto"/>
              <w:rPr>
                <w:kern w:val="0"/>
                <w:sz w:val="24"/>
                <w:szCs w:val="24"/>
              </w:rPr>
            </w:pPr>
            <w:r>
              <w:rPr>
                <w:rFonts w:hint="eastAsia"/>
                <w:sz w:val="24"/>
                <w:szCs w:val="24"/>
              </w:rPr>
              <w:t>根据大气功能区划分原则，项目所在区域为二类功能区，环境空气质量应执行《环境空气质量标准》（</w:t>
            </w:r>
            <w:r>
              <w:rPr>
                <w:sz w:val="24"/>
                <w:szCs w:val="24"/>
              </w:rPr>
              <w:t>GB3095-2012</w:t>
            </w:r>
            <w:r>
              <w:rPr>
                <w:rFonts w:hint="eastAsia"/>
                <w:sz w:val="24"/>
                <w:szCs w:val="24"/>
              </w:rPr>
              <w:t>）二级标准。</w:t>
            </w:r>
            <w:r>
              <w:rPr>
                <w:rFonts w:hint="eastAsia" w:ascii="宋体" w:hAnsi="宋体" w:cs="宋体"/>
                <w:kern w:val="0"/>
                <w:sz w:val="24"/>
                <w:szCs w:val="24"/>
              </w:rPr>
              <w:t>根据</w:t>
            </w:r>
            <w:r>
              <w:rPr>
                <w:rFonts w:hint="eastAsia" w:ascii="宋体" w:hAnsi="宋体" w:cs="宋体"/>
                <w:color w:val="000000"/>
                <w:kern w:val="0"/>
                <w:sz w:val="24"/>
                <w:szCs w:val="24"/>
              </w:rPr>
              <w:t>新乡市生态环境局</w:t>
            </w:r>
            <w:r>
              <w:rPr>
                <w:rFonts w:hint="eastAsia" w:ascii="宋体" w:hAnsi="宋体" w:cs="宋体"/>
                <w:kern w:val="0"/>
                <w:sz w:val="24"/>
                <w:szCs w:val="24"/>
              </w:rPr>
              <w:t>发布的</w:t>
            </w:r>
            <w:r>
              <w:rPr>
                <w:rFonts w:hint="eastAsia" w:hAnsi="宋体"/>
                <w:kern w:val="0"/>
                <w:sz w:val="24"/>
                <w:szCs w:val="24"/>
              </w:rPr>
              <w:t>《新乡市</w:t>
            </w:r>
            <w:r>
              <w:rPr>
                <w:kern w:val="0"/>
                <w:sz w:val="24"/>
                <w:szCs w:val="24"/>
              </w:rPr>
              <w:t>20</w:t>
            </w:r>
            <w:r>
              <w:rPr>
                <w:rFonts w:hint="eastAsia"/>
                <w:kern w:val="0"/>
                <w:sz w:val="24"/>
                <w:szCs w:val="24"/>
                <w:lang w:val="en-US" w:eastAsia="zh-CN"/>
              </w:rPr>
              <w:t>20</w:t>
            </w:r>
            <w:r>
              <w:rPr>
                <w:rFonts w:hint="eastAsia" w:hAnsi="宋体"/>
                <w:kern w:val="0"/>
                <w:sz w:val="24"/>
                <w:szCs w:val="24"/>
              </w:rPr>
              <w:t>年环境质量年报》，</w:t>
            </w:r>
            <w:r>
              <w:rPr>
                <w:rFonts w:hint="default" w:ascii="Times New Roman" w:hAnsi="Times New Roman" w:cs="Times New Roman"/>
                <w:sz w:val="24"/>
              </w:rPr>
              <w:t>新乡市PM</w:t>
            </w:r>
            <w:r>
              <w:rPr>
                <w:rFonts w:hint="default" w:ascii="Times New Roman" w:hAnsi="Times New Roman" w:cs="Times New Roman"/>
                <w:sz w:val="24"/>
                <w:vertAlign w:val="subscript"/>
              </w:rPr>
              <w:t>10</w:t>
            </w:r>
            <w:r>
              <w:rPr>
                <w:rFonts w:hint="default" w:ascii="Times New Roman" w:hAnsi="Times New Roman" w:cs="Times New Roman"/>
                <w:sz w:val="24"/>
              </w:rPr>
              <w:t>平均浓度</w:t>
            </w:r>
            <w:r>
              <w:rPr>
                <w:rFonts w:hint="eastAsia" w:ascii="Times New Roman" w:hAnsi="Times New Roman" w:cs="Times New Roman"/>
                <w:sz w:val="24"/>
                <w:lang w:val="en-US" w:eastAsia="zh-CN"/>
              </w:rPr>
              <w:t>89</w:t>
            </w:r>
            <w:r>
              <w:rPr>
                <w:rFonts w:hint="default" w:ascii="Times New Roman" w:hAnsi="Times New Roman" w:cs="Times New Roman"/>
                <w:sz w:val="24"/>
              </w:rPr>
              <w:t>微克/立方米，同比下降</w:t>
            </w:r>
            <w:r>
              <w:rPr>
                <w:rFonts w:hint="eastAsia" w:ascii="Times New Roman" w:hAnsi="Times New Roman" w:cs="Times New Roman"/>
                <w:sz w:val="24"/>
                <w:lang w:val="en-US" w:eastAsia="zh-CN"/>
              </w:rPr>
              <w:t>12</w:t>
            </w:r>
            <w:r>
              <w:rPr>
                <w:rFonts w:hint="default" w:ascii="Times New Roman" w:hAnsi="Times New Roman" w:cs="Times New Roman"/>
                <w:sz w:val="24"/>
              </w:rPr>
              <w:t>微克/立方米，降幅</w:t>
            </w:r>
            <w:r>
              <w:rPr>
                <w:rFonts w:hint="eastAsia" w:ascii="Times New Roman" w:hAnsi="Times New Roman" w:cs="Times New Roman"/>
                <w:sz w:val="24"/>
                <w:lang w:val="en-US" w:eastAsia="zh-CN"/>
              </w:rPr>
              <w:t>11.9</w:t>
            </w:r>
            <w:r>
              <w:rPr>
                <w:rFonts w:hint="default" w:ascii="Times New Roman" w:hAnsi="Times New Roman" w:cs="Times New Roman"/>
                <w:sz w:val="24"/>
              </w:rPr>
              <w:t>%；PM</w:t>
            </w:r>
            <w:r>
              <w:rPr>
                <w:rFonts w:hint="default" w:ascii="Times New Roman" w:hAnsi="Times New Roman" w:cs="Times New Roman"/>
                <w:sz w:val="24"/>
                <w:vertAlign w:val="subscript"/>
              </w:rPr>
              <w:t>2.5</w:t>
            </w:r>
            <w:r>
              <w:rPr>
                <w:rFonts w:hint="default" w:ascii="Times New Roman" w:hAnsi="Times New Roman" w:cs="Times New Roman"/>
                <w:sz w:val="24"/>
              </w:rPr>
              <w:t>平均浓度56微克/立方米，同比下降5微克/立方米，降幅</w:t>
            </w:r>
            <w:r>
              <w:rPr>
                <w:rFonts w:hint="eastAsia" w:ascii="Times New Roman" w:hAnsi="Times New Roman" w:cs="Times New Roman"/>
                <w:sz w:val="24"/>
                <w:lang w:val="en-US" w:eastAsia="zh-CN"/>
              </w:rPr>
              <w:t>8.9</w:t>
            </w:r>
            <w:r>
              <w:rPr>
                <w:rFonts w:hint="default" w:ascii="Times New Roman" w:hAnsi="Times New Roman" w:cs="Times New Roman"/>
                <w:sz w:val="24"/>
              </w:rPr>
              <w:t>%。气态污染物SO</w:t>
            </w:r>
            <w:r>
              <w:rPr>
                <w:rFonts w:hint="default" w:ascii="Times New Roman" w:hAnsi="Times New Roman" w:cs="Times New Roman"/>
                <w:sz w:val="24"/>
                <w:vertAlign w:val="subscript"/>
              </w:rPr>
              <w:t>2</w:t>
            </w:r>
            <w:r>
              <w:rPr>
                <w:rFonts w:hint="default" w:ascii="Times New Roman" w:hAnsi="Times New Roman" w:cs="Times New Roman"/>
                <w:sz w:val="24"/>
              </w:rPr>
              <w:t>平均浓度1</w:t>
            </w:r>
            <w:r>
              <w:rPr>
                <w:rFonts w:hint="eastAsia" w:ascii="Times New Roman" w:hAnsi="Times New Roman" w:cs="Times New Roman"/>
                <w:sz w:val="24"/>
                <w:lang w:val="en-US" w:eastAsia="zh-CN"/>
              </w:rPr>
              <w:t>3</w:t>
            </w:r>
            <w:r>
              <w:rPr>
                <w:rFonts w:hint="default" w:ascii="Times New Roman" w:hAnsi="Times New Roman" w:cs="Times New Roman"/>
                <w:sz w:val="24"/>
              </w:rPr>
              <w:t>微克/立方米，同比下降3微克/立方米，降幅</w:t>
            </w:r>
            <w:r>
              <w:rPr>
                <w:rFonts w:hint="eastAsia" w:ascii="Times New Roman" w:hAnsi="Times New Roman" w:cs="Times New Roman"/>
                <w:sz w:val="24"/>
                <w:lang w:val="en-US" w:eastAsia="zh-CN"/>
              </w:rPr>
              <w:t>18.8</w:t>
            </w:r>
            <w:r>
              <w:rPr>
                <w:rFonts w:hint="default" w:ascii="Times New Roman" w:hAnsi="Times New Roman" w:cs="Times New Roman"/>
                <w:sz w:val="24"/>
              </w:rPr>
              <w:t>%；NO</w:t>
            </w:r>
            <w:r>
              <w:rPr>
                <w:rFonts w:hint="default" w:ascii="Times New Roman" w:hAnsi="Times New Roman" w:cs="Times New Roman"/>
                <w:sz w:val="24"/>
                <w:vertAlign w:val="subscript"/>
              </w:rPr>
              <w:t>2</w:t>
            </w:r>
            <w:r>
              <w:rPr>
                <w:rFonts w:hint="default" w:ascii="Times New Roman" w:hAnsi="Times New Roman" w:cs="Times New Roman"/>
                <w:sz w:val="24"/>
              </w:rPr>
              <w:t>平均浓度</w:t>
            </w:r>
            <w:r>
              <w:rPr>
                <w:rFonts w:hint="eastAsia" w:ascii="Times New Roman" w:hAnsi="Times New Roman" w:cs="Times New Roman"/>
                <w:sz w:val="24"/>
                <w:lang w:val="en-US" w:eastAsia="zh-CN"/>
              </w:rPr>
              <w:t>35</w:t>
            </w:r>
            <w:r>
              <w:rPr>
                <w:rFonts w:hint="default" w:ascii="Times New Roman" w:hAnsi="Times New Roman" w:cs="Times New Roman"/>
                <w:sz w:val="24"/>
              </w:rPr>
              <w:t>微克/立方米，同比下降</w:t>
            </w:r>
            <w:r>
              <w:rPr>
                <w:rFonts w:hint="eastAsia" w:ascii="Times New Roman" w:hAnsi="Times New Roman" w:cs="Times New Roman"/>
                <w:sz w:val="24"/>
                <w:lang w:val="en-US" w:eastAsia="zh-CN"/>
              </w:rPr>
              <w:t>9</w:t>
            </w:r>
            <w:r>
              <w:rPr>
                <w:rFonts w:hint="default" w:ascii="Times New Roman" w:hAnsi="Times New Roman" w:cs="Times New Roman"/>
                <w:sz w:val="24"/>
              </w:rPr>
              <w:t>微克/立方米，降幅</w:t>
            </w:r>
            <w:r>
              <w:rPr>
                <w:rFonts w:hint="eastAsia" w:ascii="Times New Roman" w:hAnsi="Times New Roman" w:cs="Times New Roman"/>
                <w:sz w:val="24"/>
                <w:lang w:val="en-US" w:eastAsia="zh-CN"/>
              </w:rPr>
              <w:t>20.5</w:t>
            </w:r>
            <w:r>
              <w:rPr>
                <w:rFonts w:hint="default" w:ascii="Times New Roman" w:hAnsi="Times New Roman" w:cs="Times New Roman"/>
                <w:sz w:val="24"/>
              </w:rPr>
              <w:t>%；O</w:t>
            </w:r>
            <w:r>
              <w:rPr>
                <w:rFonts w:hint="default" w:ascii="Times New Roman" w:hAnsi="Times New Roman" w:cs="Times New Roman"/>
                <w:sz w:val="24"/>
                <w:vertAlign w:val="subscript"/>
              </w:rPr>
              <w:t>3</w:t>
            </w:r>
            <w:r>
              <w:rPr>
                <w:rFonts w:hint="default" w:ascii="Times New Roman" w:hAnsi="Times New Roman" w:cs="Times New Roman"/>
                <w:sz w:val="24"/>
              </w:rPr>
              <w:t>第90百分位浓度为178微克/立方米，同比下降</w:t>
            </w:r>
            <w:r>
              <w:rPr>
                <w:rFonts w:hint="eastAsia" w:ascii="Times New Roman" w:hAnsi="Times New Roman" w:cs="Times New Roman"/>
                <w:sz w:val="24"/>
                <w:lang w:val="en-US" w:eastAsia="zh-CN"/>
              </w:rPr>
              <w:t>12</w:t>
            </w:r>
            <w:r>
              <w:rPr>
                <w:rFonts w:hint="default" w:ascii="Times New Roman" w:hAnsi="Times New Roman" w:cs="Times New Roman"/>
                <w:sz w:val="24"/>
              </w:rPr>
              <w:t>微克/立方米，降幅</w:t>
            </w:r>
            <w:r>
              <w:rPr>
                <w:rFonts w:hint="eastAsia" w:ascii="Times New Roman" w:hAnsi="Times New Roman" w:cs="Times New Roman"/>
                <w:sz w:val="24"/>
                <w:lang w:val="en-US" w:eastAsia="zh-CN"/>
              </w:rPr>
              <w:t>6.5</w:t>
            </w:r>
            <w:r>
              <w:rPr>
                <w:rFonts w:hint="default" w:ascii="Times New Roman" w:hAnsi="Times New Roman" w:cs="Times New Roman"/>
                <w:sz w:val="24"/>
              </w:rPr>
              <w:t>%，CO第95百分位浓度2.08毫克/立方米，同比下降0.</w:t>
            </w:r>
            <w:r>
              <w:rPr>
                <w:rFonts w:hint="eastAsia" w:ascii="Times New Roman" w:hAnsi="Times New Roman" w:cs="Times New Roman"/>
                <w:sz w:val="24"/>
                <w:lang w:val="en-US" w:eastAsia="zh-CN"/>
              </w:rPr>
              <w:t>405</w:t>
            </w:r>
            <w:r>
              <w:rPr>
                <w:rFonts w:hint="default" w:ascii="Times New Roman" w:hAnsi="Times New Roman" w:cs="Times New Roman"/>
                <w:sz w:val="24"/>
              </w:rPr>
              <w:t>毫克/立方米，降幅</w:t>
            </w:r>
            <w:r>
              <w:rPr>
                <w:rFonts w:hint="eastAsia" w:ascii="Times New Roman" w:hAnsi="Times New Roman" w:cs="Times New Roman"/>
                <w:sz w:val="24"/>
                <w:lang w:val="en-US" w:eastAsia="zh-CN"/>
              </w:rPr>
              <w:t>19.5</w:t>
            </w:r>
            <w:r>
              <w:rPr>
                <w:rFonts w:hint="default" w:ascii="Times New Roman" w:hAnsi="Times New Roman" w:cs="Times New Roman"/>
                <w:sz w:val="24"/>
              </w:rPr>
              <w:t>%。</w:t>
            </w:r>
            <w:r>
              <w:rPr>
                <w:color w:val="000000"/>
                <w:sz w:val="24"/>
                <w:szCs w:val="24"/>
              </w:rPr>
              <w:t>区域空气质量现状数据如下表所示。</w:t>
            </w:r>
          </w:p>
          <w:p>
            <w:pPr>
              <w:pStyle w:val="40"/>
              <w:keepNext w:val="0"/>
              <w:keepLines w:val="0"/>
              <w:pageBreakBefore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cs="Times New Roman"/>
                <w:b/>
                <w:bCs/>
                <w:color w:val="000000"/>
                <w:sz w:val="24"/>
                <w:szCs w:val="24"/>
                <w:lang w:val="en-US" w:eastAsia="zh-CN"/>
              </w:rPr>
              <w:t>3-1</w:t>
            </w:r>
            <w:r>
              <w:rPr>
                <w:rFonts w:hint="default" w:ascii="Times New Roman" w:hAnsi="Times New Roman" w:eastAsia="宋体" w:cs="Times New Roman"/>
                <w:b/>
                <w:bCs/>
                <w:color w:val="000000"/>
                <w:sz w:val="24"/>
                <w:szCs w:val="24"/>
              </w:rPr>
              <w:t xml:space="preserve">           区域空气质量现状评价表</w:t>
            </w:r>
          </w:p>
          <w:tbl>
            <w:tblPr>
              <w:tblStyle w:val="25"/>
              <w:tblW w:w="8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28"/>
              <w:gridCol w:w="1867"/>
              <w:gridCol w:w="1538"/>
              <w:gridCol w:w="1645"/>
              <w:gridCol w:w="1160"/>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353" w:hRule="atLeast"/>
                <w:jc w:val="center"/>
              </w:trPr>
              <w:tc>
                <w:tcPr>
                  <w:tcW w:w="1028"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w:t>
                  </w:r>
                </w:p>
              </w:tc>
              <w:tc>
                <w:tcPr>
                  <w:tcW w:w="1867"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年评价指标</w:t>
                  </w:r>
                </w:p>
              </w:tc>
              <w:tc>
                <w:tcPr>
                  <w:tcW w:w="1538"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现状浓度/（μg/m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p>
              </w:tc>
              <w:tc>
                <w:tcPr>
                  <w:tcW w:w="1645"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标准值/（μg/m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rPr>
                    <w:t>）</w:t>
                  </w:r>
                </w:p>
              </w:tc>
              <w:tc>
                <w:tcPr>
                  <w:tcW w:w="1160"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占标率</w:t>
                  </w:r>
                </w:p>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w:t>
                  </w:r>
                </w:p>
              </w:tc>
              <w:tc>
                <w:tcPr>
                  <w:tcW w:w="1120"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68" w:hRule="atLeast"/>
                <w:jc w:val="center"/>
              </w:trPr>
              <w:tc>
                <w:tcPr>
                  <w:tcW w:w="1028"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10</w:t>
                  </w:r>
                </w:p>
              </w:tc>
              <w:tc>
                <w:tcPr>
                  <w:tcW w:w="1867"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538"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89</w:t>
                  </w:r>
                </w:p>
              </w:tc>
              <w:tc>
                <w:tcPr>
                  <w:tcW w:w="1645"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116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rPr>
                    <w:t>127.1</w:t>
                  </w:r>
                </w:p>
              </w:tc>
              <w:tc>
                <w:tcPr>
                  <w:tcW w:w="112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color w:val="auto"/>
                      <w:kern w:val="2"/>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68" w:hRule="atLeast"/>
                <w:jc w:val="center"/>
              </w:trPr>
              <w:tc>
                <w:tcPr>
                  <w:tcW w:w="1028"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PM</w:t>
                  </w:r>
                  <w:r>
                    <w:rPr>
                      <w:rFonts w:hint="default" w:ascii="Times New Roman" w:hAnsi="Times New Roman" w:eastAsia="宋体" w:cs="Times New Roman"/>
                      <w:sz w:val="21"/>
                      <w:szCs w:val="21"/>
                      <w:vertAlign w:val="subscript"/>
                    </w:rPr>
                    <w:t>2.5</w:t>
                  </w:r>
                </w:p>
              </w:tc>
              <w:tc>
                <w:tcPr>
                  <w:tcW w:w="1867"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538"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51</w:t>
                  </w:r>
                </w:p>
              </w:tc>
              <w:tc>
                <w:tcPr>
                  <w:tcW w:w="1645"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35</w:t>
                  </w:r>
                </w:p>
              </w:tc>
              <w:tc>
                <w:tcPr>
                  <w:tcW w:w="116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rPr>
                    <w:t>145.7</w:t>
                  </w:r>
                </w:p>
              </w:tc>
              <w:tc>
                <w:tcPr>
                  <w:tcW w:w="112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color w:val="auto"/>
                      <w:kern w:val="2"/>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68" w:hRule="atLeast"/>
                <w:jc w:val="center"/>
              </w:trPr>
              <w:tc>
                <w:tcPr>
                  <w:tcW w:w="1028"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SO</w:t>
                  </w:r>
                  <w:r>
                    <w:rPr>
                      <w:rFonts w:hint="default" w:ascii="Times New Roman" w:hAnsi="Times New Roman" w:eastAsia="宋体" w:cs="Times New Roman"/>
                      <w:sz w:val="21"/>
                      <w:szCs w:val="21"/>
                      <w:vertAlign w:val="subscript"/>
                    </w:rPr>
                    <w:t>2</w:t>
                  </w:r>
                </w:p>
              </w:tc>
              <w:tc>
                <w:tcPr>
                  <w:tcW w:w="1867"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538"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13</w:t>
                  </w:r>
                </w:p>
              </w:tc>
              <w:tc>
                <w:tcPr>
                  <w:tcW w:w="1645"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60</w:t>
                  </w:r>
                </w:p>
              </w:tc>
              <w:tc>
                <w:tcPr>
                  <w:tcW w:w="116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rPr>
                    <w:t>21.7</w:t>
                  </w:r>
                </w:p>
              </w:tc>
              <w:tc>
                <w:tcPr>
                  <w:tcW w:w="112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68" w:hRule="atLeast"/>
                <w:jc w:val="center"/>
              </w:trPr>
              <w:tc>
                <w:tcPr>
                  <w:tcW w:w="1028"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NO</w:t>
                  </w:r>
                  <w:r>
                    <w:rPr>
                      <w:rFonts w:hint="default" w:ascii="Times New Roman" w:hAnsi="Times New Roman" w:eastAsia="宋体" w:cs="Times New Roman"/>
                      <w:sz w:val="21"/>
                      <w:szCs w:val="21"/>
                      <w:vertAlign w:val="subscript"/>
                    </w:rPr>
                    <w:t>2</w:t>
                  </w:r>
                </w:p>
              </w:tc>
              <w:tc>
                <w:tcPr>
                  <w:tcW w:w="1867"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年平均质量浓度</w:t>
                  </w:r>
                </w:p>
              </w:tc>
              <w:tc>
                <w:tcPr>
                  <w:tcW w:w="1538"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35</w:t>
                  </w:r>
                </w:p>
              </w:tc>
              <w:tc>
                <w:tcPr>
                  <w:tcW w:w="1645"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116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rPr>
                    <w:t>87.5</w:t>
                  </w:r>
                </w:p>
              </w:tc>
              <w:tc>
                <w:tcPr>
                  <w:tcW w:w="112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color w:val="auto"/>
                      <w:kern w:val="2"/>
                      <w:sz w:val="21"/>
                      <w:szCs w:val="21"/>
                      <w:lang w:val="en-US" w:eastAsia="zh-CN"/>
                    </w:rPr>
                    <w:t>达</w:t>
                  </w:r>
                  <w:r>
                    <w:rPr>
                      <w:rFonts w:hint="default" w:ascii="Times New Roman" w:hAnsi="Times New Roman" w:eastAsia="宋体" w:cs="Times New Roman"/>
                      <w:color w:val="auto"/>
                      <w:kern w:val="2"/>
                      <w:sz w:val="21"/>
                      <w:szCs w:val="21"/>
                    </w:rPr>
                    <w:t>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68" w:hRule="atLeast"/>
                <w:jc w:val="center"/>
              </w:trPr>
              <w:tc>
                <w:tcPr>
                  <w:tcW w:w="1028"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w:t>
                  </w:r>
                </w:p>
              </w:tc>
              <w:tc>
                <w:tcPr>
                  <w:tcW w:w="1867"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第95百分位浓度</w:t>
                  </w:r>
                </w:p>
              </w:tc>
              <w:tc>
                <w:tcPr>
                  <w:tcW w:w="1538"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1.675</w:t>
                  </w: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p>
              </w:tc>
              <w:tc>
                <w:tcPr>
                  <w:tcW w:w="1645"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4mg/m</w:t>
                  </w:r>
                  <w:r>
                    <w:rPr>
                      <w:rFonts w:hint="default" w:ascii="Times New Roman" w:hAnsi="Times New Roman" w:eastAsia="宋体" w:cs="Times New Roman"/>
                      <w:sz w:val="21"/>
                      <w:szCs w:val="21"/>
                      <w:vertAlign w:val="superscript"/>
                    </w:rPr>
                    <w:t>3</w:t>
                  </w:r>
                </w:p>
              </w:tc>
              <w:tc>
                <w:tcPr>
                  <w:tcW w:w="116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rPr>
                    <w:t>41.9</w:t>
                  </w:r>
                </w:p>
              </w:tc>
              <w:tc>
                <w:tcPr>
                  <w:tcW w:w="112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color w:val="auto"/>
                      <w:kern w:val="2"/>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278" w:hRule="atLeast"/>
                <w:jc w:val="center"/>
              </w:trPr>
              <w:tc>
                <w:tcPr>
                  <w:tcW w:w="1028"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O</w:t>
                  </w:r>
                  <w:r>
                    <w:rPr>
                      <w:rFonts w:hint="default" w:ascii="Times New Roman" w:hAnsi="Times New Roman" w:eastAsia="宋体" w:cs="Times New Roman"/>
                      <w:sz w:val="21"/>
                      <w:szCs w:val="21"/>
                      <w:vertAlign w:val="subscript"/>
                    </w:rPr>
                    <w:t>3</w:t>
                  </w:r>
                </w:p>
              </w:tc>
              <w:tc>
                <w:tcPr>
                  <w:tcW w:w="1867" w:type="dxa"/>
                  <w:tcBorders>
                    <w:tl2br w:val="nil"/>
                    <w:tr2bl w:val="nil"/>
                  </w:tcBorders>
                  <w:tcMar>
                    <w:top w:w="57" w:type="dxa"/>
                    <w:left w:w="85" w:type="dxa"/>
                    <w:bottom w:w="57" w:type="dxa"/>
                    <w:right w:w="85" w:type="dxa"/>
                  </w:tcMar>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第90百分位浓度</w:t>
                  </w:r>
                </w:p>
              </w:tc>
              <w:tc>
                <w:tcPr>
                  <w:tcW w:w="1538"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r>
                    <w:rPr>
                      <w:rFonts w:hint="default" w:ascii="Times New Roman" w:hAnsi="Times New Roman" w:eastAsia="宋体" w:cs="Times New Roman"/>
                      <w:sz w:val="21"/>
                      <w:szCs w:val="21"/>
                      <w:lang w:val="en-US" w:eastAsia="zh-CN"/>
                    </w:rPr>
                    <w:t>3</w:t>
                  </w:r>
                </w:p>
              </w:tc>
              <w:tc>
                <w:tcPr>
                  <w:tcW w:w="1645" w:type="dxa"/>
                  <w:tcBorders>
                    <w:tl2br w:val="nil"/>
                    <w:tr2bl w:val="nil"/>
                  </w:tcBorders>
                  <w:tcMar>
                    <w:top w:w="57" w:type="dxa"/>
                    <w:left w:w="85" w:type="dxa"/>
                    <w:bottom w:w="57" w:type="dxa"/>
                    <w:right w:w="85" w:type="dxa"/>
                  </w:tcMar>
                  <w:vAlign w:val="center"/>
                </w:tcPr>
                <w:p>
                  <w:pPr>
                    <w:autoSpaceDE w:val="0"/>
                    <w:autoSpaceDN w:val="0"/>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160</w:t>
                  </w:r>
                </w:p>
              </w:tc>
              <w:tc>
                <w:tcPr>
                  <w:tcW w:w="116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rPr>
                    <w:t>108.1</w:t>
                  </w:r>
                </w:p>
              </w:tc>
              <w:tc>
                <w:tcPr>
                  <w:tcW w:w="1120" w:type="dxa"/>
                  <w:tcBorders>
                    <w:tl2br w:val="nil"/>
                    <w:tr2bl w:val="nil"/>
                  </w:tcBorders>
                  <w:tcMar>
                    <w:top w:w="57" w:type="dxa"/>
                    <w:left w:w="85" w:type="dxa"/>
                    <w:bottom w:w="57" w:type="dxa"/>
                    <w:right w:w="85" w:type="dxa"/>
                  </w:tcMar>
                  <w:vAlign w:val="center"/>
                </w:tcPr>
                <w:p>
                  <w:pPr>
                    <w:pStyle w:val="107"/>
                    <w:rPr>
                      <w:rFonts w:hint="default" w:ascii="Times New Roman" w:hAnsi="Times New Roman" w:eastAsia="宋体" w:cs="Times New Roman"/>
                      <w:sz w:val="21"/>
                      <w:szCs w:val="21"/>
                    </w:rPr>
                  </w:pPr>
                  <w:r>
                    <w:rPr>
                      <w:rFonts w:hint="default" w:ascii="Times New Roman" w:hAnsi="Times New Roman" w:eastAsia="宋体" w:cs="Times New Roman"/>
                      <w:color w:val="auto"/>
                      <w:kern w:val="2"/>
                      <w:sz w:val="21"/>
                      <w:szCs w:val="21"/>
                    </w:rPr>
                    <w:t>超标</w:t>
                  </w:r>
                </w:p>
              </w:tc>
            </w:tr>
          </w:tbl>
          <w:p>
            <w:pPr>
              <w:pageBreakBefore w:val="0"/>
              <w:widowControl w:val="0"/>
              <w:kinsoku/>
              <w:wordWrap/>
              <w:overflowPunct/>
              <w:topLinePunct w:val="0"/>
              <w:autoSpaceDE/>
              <w:autoSpaceDN/>
              <w:bidi w:val="0"/>
              <w:adjustRightInd/>
              <w:snapToGrid/>
              <w:spacing w:line="520" w:lineRule="exact"/>
              <w:ind w:firstLine="480" w:firstLineChars="200"/>
              <w:textAlignment w:val="auto"/>
              <w:rPr>
                <w:sz w:val="24"/>
                <w:szCs w:val="24"/>
              </w:rPr>
            </w:pPr>
            <w:r>
              <w:rPr>
                <w:rFonts w:hint="eastAsia"/>
                <w:sz w:val="24"/>
                <w:szCs w:val="24"/>
              </w:rPr>
              <w:t>由上表可知，其中PM</w:t>
            </w:r>
            <w:r>
              <w:rPr>
                <w:rFonts w:hint="eastAsia"/>
                <w:sz w:val="24"/>
                <w:szCs w:val="24"/>
                <w:vertAlign w:val="subscript"/>
              </w:rPr>
              <w:t>10</w:t>
            </w:r>
            <w:r>
              <w:rPr>
                <w:rFonts w:hint="eastAsia"/>
                <w:sz w:val="24"/>
                <w:szCs w:val="24"/>
              </w:rPr>
              <w:t>、PM</w:t>
            </w:r>
            <w:r>
              <w:rPr>
                <w:rFonts w:hint="eastAsia"/>
                <w:sz w:val="24"/>
                <w:szCs w:val="24"/>
                <w:vertAlign w:val="subscript"/>
              </w:rPr>
              <w:t>2.5</w:t>
            </w:r>
            <w:r>
              <w:rPr>
                <w:rFonts w:hint="eastAsia"/>
                <w:sz w:val="24"/>
                <w:szCs w:val="24"/>
              </w:rPr>
              <w:t>、O</w:t>
            </w:r>
            <w:r>
              <w:rPr>
                <w:rFonts w:hint="eastAsia"/>
                <w:sz w:val="24"/>
                <w:szCs w:val="24"/>
                <w:vertAlign w:val="subscript"/>
              </w:rPr>
              <w:t>3</w:t>
            </w:r>
            <w:r>
              <w:rPr>
                <w:rFonts w:hint="eastAsia"/>
                <w:sz w:val="24"/>
                <w:szCs w:val="24"/>
              </w:rPr>
              <w:t>均不能够满足《环境空气质量标准》（GB3095-2012）二级标准要求。根据《环境影响评价技术导则  大气环境》(HJ2.2-2018)，本项目所在区域属于不达标区。</w:t>
            </w:r>
          </w:p>
          <w:p>
            <w:pPr>
              <w:pageBreakBefore w:val="0"/>
              <w:widowControl w:val="0"/>
              <w:kinsoku/>
              <w:wordWrap/>
              <w:overflowPunct/>
              <w:topLinePunct w:val="0"/>
              <w:autoSpaceDE/>
              <w:autoSpaceDN/>
              <w:bidi w:val="0"/>
              <w:adjustRightInd/>
              <w:snapToGrid/>
              <w:spacing w:line="520" w:lineRule="exact"/>
              <w:ind w:firstLine="480" w:firstLineChars="200"/>
              <w:textAlignment w:val="auto"/>
              <w:rPr>
                <w:sz w:val="24"/>
                <w:szCs w:val="24"/>
              </w:rPr>
            </w:pPr>
            <w:r>
              <w:rPr>
                <w:sz w:val="24"/>
                <w:szCs w:val="24"/>
              </w:rPr>
              <w:t>目前，新乡市正在实施《新乡市蓝天工程行动计划》、《</w:t>
            </w:r>
            <w:r>
              <w:rPr>
                <w:rFonts w:hint="eastAsia"/>
                <w:sz w:val="24"/>
                <w:szCs w:val="24"/>
                <w:lang w:eastAsia="zh-CN"/>
              </w:rPr>
              <w:t>“</w:t>
            </w:r>
            <w:r>
              <w:rPr>
                <w:sz w:val="24"/>
                <w:szCs w:val="24"/>
              </w:rPr>
              <w:t>十三五</w:t>
            </w:r>
            <w:r>
              <w:rPr>
                <w:rFonts w:hint="eastAsia"/>
                <w:sz w:val="24"/>
                <w:szCs w:val="24"/>
                <w:lang w:eastAsia="zh-CN"/>
              </w:rPr>
              <w:t>”</w:t>
            </w:r>
            <w:r>
              <w:rPr>
                <w:sz w:val="24"/>
                <w:szCs w:val="24"/>
              </w:rPr>
              <w:t>挥发性有机物污染防治工作方案》、《新乡市环境污染防治攻坚战三年行动实施方案（2018-2020年）》等一系列措施，将不断改善区域大气环境质量。</w:t>
            </w:r>
          </w:p>
          <w:p>
            <w:pPr>
              <w:pStyle w:val="4"/>
              <w:pageBreakBefore w:val="0"/>
              <w:widowControl w:val="0"/>
              <w:kinsoku/>
              <w:wordWrap/>
              <w:overflowPunct/>
              <w:topLinePunct w:val="0"/>
              <w:autoSpaceDE/>
              <w:autoSpaceDN/>
              <w:bidi w:val="0"/>
              <w:adjustRightInd/>
              <w:snapToGrid/>
              <w:spacing w:before="0" w:after="0" w:line="520" w:lineRule="exact"/>
              <w:ind w:firstLine="480" w:firstLineChars="200"/>
              <w:textAlignment w:val="auto"/>
              <w:rPr>
                <w:b w:val="0"/>
                <w:sz w:val="24"/>
              </w:rPr>
            </w:pPr>
            <w:r>
              <w:rPr>
                <w:b w:val="0"/>
                <w:sz w:val="24"/>
                <w:szCs w:val="24"/>
              </w:rPr>
              <w:t>（2）其他污染物环境质量现状评价</w:t>
            </w:r>
          </w:p>
          <w:p>
            <w:pPr>
              <w:pageBreakBefore w:val="0"/>
              <w:widowControl w:val="0"/>
              <w:kinsoku/>
              <w:wordWrap/>
              <w:overflowPunct/>
              <w:topLinePunct w:val="0"/>
              <w:autoSpaceDE/>
              <w:autoSpaceDN/>
              <w:bidi w:val="0"/>
              <w:adjustRightInd/>
              <w:snapToGrid/>
              <w:spacing w:line="520" w:lineRule="exact"/>
              <w:ind w:firstLine="480" w:firstLineChars="200"/>
              <w:rPr>
                <w:kern w:val="0"/>
                <w:sz w:val="24"/>
              </w:rPr>
            </w:pPr>
            <w:r>
              <w:rPr>
                <w:sz w:val="24"/>
                <w:szCs w:val="20"/>
              </w:rPr>
              <w:t>本项目其他污染物为非甲烷总烃，本次评价引用陈堡村（</w:t>
            </w:r>
            <w:r>
              <w:rPr>
                <w:rFonts w:hint="eastAsia"/>
                <w:sz w:val="24"/>
                <w:szCs w:val="20"/>
                <w:lang w:val="en-US" w:eastAsia="zh-CN"/>
              </w:rPr>
              <w:t>北7</w:t>
            </w:r>
            <w:r>
              <w:rPr>
                <w:sz w:val="24"/>
                <w:szCs w:val="20"/>
              </w:rPr>
              <w:t>00m）处的现状</w:t>
            </w:r>
            <w:r>
              <w:rPr>
                <w:sz w:val="24"/>
              </w:rPr>
              <w:t>监测数据。新乡市东旭汽车制造有限公司于2020年3月9日~15日委托河南贝纳检测技术服务有限公司对陈堡村处的非甲烷总烃进行了连续7天的</w:t>
            </w:r>
            <w:r>
              <w:rPr>
                <w:kern w:val="0"/>
                <w:sz w:val="24"/>
              </w:rPr>
              <w:t>环境空气质量现状监测（监测点位图见附图4），监测结果如下：</w:t>
            </w:r>
          </w:p>
          <w:p>
            <w:pPr>
              <w:pStyle w:val="40"/>
              <w:keepNext w:val="0"/>
              <w:keepLines w:val="0"/>
              <w:pageBreakBefore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3-2</w:t>
            </w:r>
            <w:r>
              <w:rPr>
                <w:rFonts w:hint="default" w:ascii="Times New Roman" w:hAnsi="Times New Roman" w:eastAsia="宋体" w:cs="Times New Roman"/>
                <w:b/>
                <w:bCs/>
                <w:color w:val="000000"/>
                <w:sz w:val="24"/>
                <w:szCs w:val="24"/>
              </w:rPr>
              <w:t xml:space="preserve">         非甲烷总烃1小时平均浓度统计结果</w:t>
            </w:r>
          </w:p>
          <w:tbl>
            <w:tblPr>
              <w:tblStyle w:val="25"/>
              <w:tblW w:w="84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468"/>
              <w:gridCol w:w="1581"/>
              <w:gridCol w:w="1839"/>
              <w:gridCol w:w="1554"/>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72" w:type="dxa"/>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序号</w:t>
                  </w:r>
                </w:p>
              </w:tc>
              <w:tc>
                <w:tcPr>
                  <w:tcW w:w="1468" w:type="dxa"/>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污染因子</w:t>
                  </w:r>
                </w:p>
              </w:tc>
              <w:tc>
                <w:tcPr>
                  <w:tcW w:w="1581" w:type="dxa"/>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点位</w:t>
                  </w:r>
                </w:p>
              </w:tc>
              <w:tc>
                <w:tcPr>
                  <w:tcW w:w="1839" w:type="dxa"/>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距离及方位</w:t>
                  </w:r>
                </w:p>
              </w:tc>
              <w:tc>
                <w:tcPr>
                  <w:tcW w:w="1554" w:type="dxa"/>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监测值范围</w:t>
                  </w:r>
                </w:p>
              </w:tc>
              <w:tc>
                <w:tcPr>
                  <w:tcW w:w="1202" w:type="dxa"/>
                  <w:tcBorders>
                    <w:tl2br w:val="nil"/>
                    <w:tr2bl w:val="nil"/>
                  </w:tcBorders>
                  <w:vAlign w:val="center"/>
                </w:tcPr>
                <w:p>
                  <w:pPr>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72" w:type="dxa"/>
                  <w:tcBorders>
                    <w:tl2br w:val="nil"/>
                    <w:tr2bl w:val="nil"/>
                  </w:tcBorders>
                  <w:vAlign w:val="center"/>
                </w:tcPr>
                <w:p>
                  <w:pPr>
                    <w:contextualSpacing/>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w:t>
                  </w:r>
                </w:p>
              </w:tc>
              <w:tc>
                <w:tcPr>
                  <w:tcW w:w="1468" w:type="dxa"/>
                  <w:tcBorders>
                    <w:tl2br w:val="nil"/>
                    <w:tr2bl w:val="nil"/>
                  </w:tcBorders>
                  <w:vAlign w:val="center"/>
                </w:tcPr>
                <w:p>
                  <w:pPr>
                    <w:contextualSpacing/>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非甲烷总烃</w:t>
                  </w:r>
                </w:p>
              </w:tc>
              <w:tc>
                <w:tcPr>
                  <w:tcW w:w="1581" w:type="dxa"/>
                  <w:tcBorders>
                    <w:tl2br w:val="nil"/>
                    <w:tr2bl w:val="nil"/>
                  </w:tcBorders>
                  <w:vAlign w:val="center"/>
                </w:tcPr>
                <w:p>
                  <w:pPr>
                    <w:contextualSpacing/>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陈堡村</w:t>
                  </w:r>
                </w:p>
              </w:tc>
              <w:tc>
                <w:tcPr>
                  <w:tcW w:w="1839" w:type="dxa"/>
                  <w:tcBorders>
                    <w:tl2br w:val="nil"/>
                    <w:tr2bl w:val="nil"/>
                  </w:tcBorders>
                  <w:vAlign w:val="center"/>
                </w:tcPr>
                <w:p>
                  <w:pPr>
                    <w:contextualSpacing/>
                    <w:jc w:val="center"/>
                    <w:textAlignment w:val="baseline"/>
                    <w:rPr>
                      <w:rFonts w:hint="default" w:ascii="Times New Roman" w:hAnsi="Times New Roman" w:eastAsia="宋体" w:cs="Times New Roman"/>
                      <w:kern w:val="0"/>
                      <w:sz w:val="21"/>
                      <w:szCs w:val="21"/>
                    </w:rPr>
                  </w:pPr>
                  <w:r>
                    <w:rPr>
                      <w:rFonts w:hint="eastAsia" w:cs="Times New Roman"/>
                      <w:kern w:val="0"/>
                      <w:sz w:val="21"/>
                      <w:szCs w:val="21"/>
                      <w:lang w:val="en-US" w:eastAsia="zh-CN"/>
                    </w:rPr>
                    <w:t>北7</w:t>
                  </w:r>
                  <w:r>
                    <w:rPr>
                      <w:rFonts w:hint="default" w:ascii="Times New Roman" w:hAnsi="Times New Roman" w:eastAsia="宋体" w:cs="Times New Roman"/>
                      <w:kern w:val="0"/>
                      <w:sz w:val="21"/>
                      <w:szCs w:val="21"/>
                    </w:rPr>
                    <w:t>00m</w:t>
                  </w:r>
                </w:p>
              </w:tc>
              <w:tc>
                <w:tcPr>
                  <w:tcW w:w="155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0.77~1.07</w:t>
                  </w:r>
                </w:p>
              </w:tc>
              <w:tc>
                <w:tcPr>
                  <w:tcW w:w="1202" w:type="dxa"/>
                  <w:tcBorders>
                    <w:tl2br w:val="nil"/>
                    <w:tr2bl w:val="nil"/>
                  </w:tcBorders>
                  <w:vAlign w:val="center"/>
                </w:tcPr>
                <w:p>
                  <w:pPr>
                    <w:contextualSpacing/>
                    <w:jc w:val="center"/>
                    <w:textAlignment w:val="baseline"/>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2.0mg/m</w:t>
                  </w:r>
                  <w:r>
                    <w:rPr>
                      <w:rFonts w:hint="default" w:ascii="Times New Roman" w:hAnsi="Times New Roman" w:eastAsia="宋体" w:cs="Times New Roman"/>
                      <w:kern w:val="0"/>
                      <w:sz w:val="21"/>
                      <w:szCs w:val="21"/>
                      <w:vertAlign w:val="superscript"/>
                    </w:rPr>
                    <w:t>3</w:t>
                  </w:r>
                </w:p>
              </w:tc>
            </w:tr>
          </w:tbl>
          <w:p>
            <w:pPr>
              <w:pStyle w:val="24"/>
              <w:keepNext w:val="0"/>
              <w:keepLines w:val="0"/>
              <w:pageBreakBefore w:val="0"/>
              <w:widowControl w:val="0"/>
              <w:kinsoku/>
              <w:wordWrap/>
              <w:overflowPunct/>
              <w:topLinePunct w:val="0"/>
              <w:autoSpaceDE/>
              <w:autoSpaceDN/>
              <w:bidi w:val="0"/>
              <w:spacing w:after="0" w:line="520" w:lineRule="exact"/>
              <w:ind w:left="0" w:leftChars="0" w:firstLine="480"/>
              <w:textAlignment w:val="auto"/>
              <w:rPr>
                <w:sz w:val="24"/>
              </w:rPr>
            </w:pPr>
            <w:r>
              <w:rPr>
                <w:sz w:val="24"/>
              </w:rPr>
              <w:t>由上表可以看出，监测点</w:t>
            </w:r>
            <w:r>
              <w:rPr>
                <w:rFonts w:hint="eastAsia"/>
                <w:sz w:val="24"/>
              </w:rPr>
              <w:t>（陈堡村）</w:t>
            </w:r>
            <w:r>
              <w:rPr>
                <w:sz w:val="24"/>
              </w:rPr>
              <w:t>非甲烷总烃1小时平均浓度为0.77~1.07mg/m</w:t>
            </w:r>
            <w:r>
              <w:rPr>
                <w:sz w:val="24"/>
                <w:vertAlign w:val="superscript"/>
              </w:rPr>
              <w:t>3</w:t>
            </w:r>
            <w:r>
              <w:rPr>
                <w:sz w:val="24"/>
              </w:rPr>
              <w:t>，满足《大气污染物综合排放标准详解》第四章标准值说明—三十一、非甲烷总烃1小时平均：2.0mg/m</w:t>
            </w:r>
            <w:r>
              <w:rPr>
                <w:sz w:val="24"/>
                <w:vertAlign w:val="superscript"/>
              </w:rPr>
              <w:t>3</w:t>
            </w:r>
            <w:r>
              <w:rPr>
                <w:sz w:val="24"/>
              </w:rPr>
              <w:t>的限值要求。</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b/>
                <w:sz w:val="24"/>
                <w:szCs w:val="24"/>
              </w:rPr>
            </w:pPr>
            <w:r>
              <w:rPr>
                <w:b/>
                <w:sz w:val="24"/>
                <w:szCs w:val="24"/>
              </w:rPr>
              <w:t>2、地表水</w:t>
            </w:r>
          </w:p>
          <w:p>
            <w:pPr>
              <w:pageBreakBefore w:val="0"/>
              <w:widowControl w:val="0"/>
              <w:kinsoku/>
              <w:wordWrap/>
              <w:overflowPunct/>
              <w:topLinePunct w:val="0"/>
              <w:bidi w:val="0"/>
              <w:spacing w:line="520" w:lineRule="exact"/>
              <w:ind w:firstLine="480" w:firstLineChars="200"/>
              <w:textAlignment w:val="auto"/>
              <w:rPr>
                <w:sz w:val="24"/>
                <w:szCs w:val="20"/>
              </w:rPr>
            </w:pPr>
            <w:r>
              <w:rPr>
                <w:sz w:val="24"/>
                <w:szCs w:val="20"/>
              </w:rPr>
              <w:t>本项目</w:t>
            </w:r>
            <w:r>
              <w:rPr>
                <w:rFonts w:hint="eastAsia"/>
                <w:sz w:val="24"/>
                <w:szCs w:val="20"/>
                <w:lang w:val="en-US" w:eastAsia="zh-CN"/>
              </w:rPr>
              <w:t>所在区域纳污水体为共产主义渠</w:t>
            </w:r>
            <w:r>
              <w:rPr>
                <w:sz w:val="24"/>
                <w:szCs w:val="20"/>
              </w:rPr>
              <w:t>，规划功能为V类。距离</w:t>
            </w:r>
            <w:r>
              <w:rPr>
                <w:rFonts w:hint="eastAsia"/>
                <w:sz w:val="24"/>
                <w:szCs w:val="20"/>
                <w:lang w:val="en-US" w:eastAsia="zh-CN"/>
              </w:rPr>
              <w:t>本项目最近监控</w:t>
            </w:r>
            <w:r>
              <w:rPr>
                <w:sz w:val="24"/>
                <w:szCs w:val="20"/>
              </w:rPr>
              <w:t>断面为</w:t>
            </w:r>
            <w:r>
              <w:rPr>
                <w:rFonts w:hint="eastAsia"/>
                <w:sz w:val="24"/>
                <w:szCs w:val="20"/>
                <w:lang w:val="en-US" w:eastAsia="zh-CN"/>
              </w:rPr>
              <w:t>共产主义渠</w:t>
            </w:r>
            <w:r>
              <w:rPr>
                <w:sz w:val="24"/>
                <w:szCs w:val="20"/>
              </w:rPr>
              <w:t>下马营断面。</w:t>
            </w:r>
            <w:r>
              <w:rPr>
                <w:sz w:val="24"/>
              </w:rPr>
              <w:t>根据新乡市环境监测站对共渠下马营责任断面的监测2020年1</w:t>
            </w:r>
            <w:r>
              <w:rPr>
                <w:rFonts w:hint="eastAsia"/>
                <w:sz w:val="24"/>
              </w:rPr>
              <w:t>0~</w:t>
            </w:r>
            <w:r>
              <w:rPr>
                <w:sz w:val="24"/>
              </w:rPr>
              <w:t>12月周报数据见</w:t>
            </w:r>
            <w:r>
              <w:rPr>
                <w:rFonts w:hint="eastAsia"/>
                <w:sz w:val="24"/>
              </w:rPr>
              <w:t>下表</w:t>
            </w:r>
            <w:r>
              <w:rPr>
                <w:sz w:val="24"/>
              </w:rPr>
              <w:t>。</w:t>
            </w:r>
          </w:p>
          <w:p>
            <w:pPr>
              <w:pStyle w:val="40"/>
              <w:keepNext w:val="0"/>
              <w:keepLines w:val="0"/>
              <w:pageBreakBefore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表</w:t>
            </w:r>
            <w:r>
              <w:rPr>
                <w:rFonts w:hint="eastAsia" w:ascii="Times New Roman" w:hAnsi="Times New Roman" w:eastAsia="宋体" w:cs="Times New Roman"/>
                <w:b/>
                <w:bCs/>
                <w:color w:val="000000"/>
                <w:sz w:val="24"/>
                <w:szCs w:val="24"/>
                <w:lang w:val="en-US" w:eastAsia="zh-CN"/>
              </w:rPr>
              <w:t xml:space="preserve">3-3    </w:t>
            </w:r>
            <w:r>
              <w:rPr>
                <w:rFonts w:hint="default" w:ascii="Times New Roman" w:hAnsi="Times New Roman" w:eastAsia="宋体" w:cs="Times New Roman"/>
                <w:b/>
                <w:bCs/>
                <w:color w:val="000000"/>
                <w:sz w:val="24"/>
                <w:szCs w:val="24"/>
              </w:rPr>
              <w:t>共渠下马营断面监测数据（2020年1</w:t>
            </w:r>
            <w:r>
              <w:rPr>
                <w:rFonts w:hint="eastAsia" w:ascii="Times New Roman" w:hAnsi="Times New Roman" w:eastAsia="宋体" w:cs="Times New Roman"/>
                <w:b/>
                <w:bCs/>
                <w:color w:val="000000"/>
                <w:sz w:val="24"/>
                <w:szCs w:val="24"/>
              </w:rPr>
              <w:t>0</w:t>
            </w:r>
            <w:r>
              <w:rPr>
                <w:rFonts w:hint="default" w:ascii="Times New Roman" w:hAnsi="Times New Roman" w:eastAsia="宋体" w:cs="Times New Roman"/>
                <w:b/>
                <w:bCs/>
                <w:color w:val="000000"/>
                <w:sz w:val="24"/>
                <w:szCs w:val="24"/>
              </w:rPr>
              <w:t xml:space="preserve">月-12月） </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rPr>
              <w:t xml:space="preserve"> 单位：mg/L</w:t>
            </w:r>
          </w:p>
          <w:tbl>
            <w:tblPr>
              <w:tblStyle w:val="25"/>
              <w:tblW w:w="8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6"/>
              <w:gridCol w:w="2223"/>
              <w:gridCol w:w="2094"/>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096" w:type="dxa"/>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监测因子</w:t>
                  </w:r>
                </w:p>
              </w:tc>
              <w:tc>
                <w:tcPr>
                  <w:tcW w:w="2223" w:type="dxa"/>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COD</w:t>
                  </w:r>
                </w:p>
              </w:tc>
              <w:tc>
                <w:tcPr>
                  <w:tcW w:w="2094" w:type="dxa"/>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NH</w:t>
                  </w:r>
                  <w:r>
                    <w:rPr>
                      <w:rFonts w:hint="default" w:ascii="Times New Roman" w:hAnsi="Times New Roman" w:eastAsia="宋体" w:cs="Times New Roman"/>
                      <w:b/>
                      <w:sz w:val="21"/>
                      <w:szCs w:val="21"/>
                      <w:vertAlign w:val="subscript"/>
                    </w:rPr>
                    <w:t>3</w:t>
                  </w:r>
                  <w:r>
                    <w:rPr>
                      <w:rFonts w:hint="default" w:ascii="Times New Roman" w:hAnsi="Times New Roman" w:eastAsia="宋体" w:cs="Times New Roman"/>
                      <w:b/>
                      <w:sz w:val="21"/>
                      <w:szCs w:val="21"/>
                    </w:rPr>
                    <w:t>-N</w:t>
                  </w:r>
                </w:p>
              </w:tc>
              <w:tc>
                <w:tcPr>
                  <w:tcW w:w="1965" w:type="dxa"/>
                  <w:tcBorders>
                    <w:tl2br w:val="nil"/>
                    <w:tr2bl w:val="nil"/>
                  </w:tcBorders>
                  <w:vAlign w:val="center"/>
                </w:tcPr>
                <w:p>
                  <w:pPr>
                    <w:adjustRightInd w:val="0"/>
                    <w:snapToGrid w:val="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096"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监测数据</w:t>
                  </w:r>
                </w:p>
              </w:tc>
              <w:tc>
                <w:tcPr>
                  <w:tcW w:w="2223"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18.7~24.1</w:t>
                  </w:r>
                </w:p>
              </w:tc>
              <w:tc>
                <w:tcPr>
                  <w:tcW w:w="209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0.09~0.73</w:t>
                  </w:r>
                </w:p>
              </w:tc>
              <w:tc>
                <w:tcPr>
                  <w:tcW w:w="196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0.086~0.39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2096"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断面标准</w:t>
                  </w:r>
                </w:p>
              </w:tc>
              <w:tc>
                <w:tcPr>
                  <w:tcW w:w="22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w:t>
                  </w:r>
                </w:p>
              </w:tc>
              <w:tc>
                <w:tcPr>
                  <w:tcW w:w="209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196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096" w:type="dxa"/>
                  <w:tcBorders>
                    <w:tl2br w:val="nil"/>
                    <w:tr2bl w:val="nil"/>
                  </w:tcBorders>
                  <w:vAlign w:val="center"/>
                </w:tcPr>
                <w:p>
                  <w:pPr>
                    <w:adjustRightInd w:val="0"/>
                    <w:snapToGrid w:val="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达标情况</w:t>
                  </w:r>
                </w:p>
              </w:tc>
              <w:tc>
                <w:tcPr>
                  <w:tcW w:w="2223"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2094"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c>
                <w:tcPr>
                  <w:tcW w:w="1965" w:type="dxa"/>
                  <w:tcBorders>
                    <w:tl2br w:val="nil"/>
                    <w:tr2bl w:val="nil"/>
                  </w:tcBorders>
                  <w:vAlign w:val="center"/>
                </w:tcPr>
                <w:p>
                  <w:pPr>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adjustRightInd w:val="0"/>
              <w:snapToGrid w:val="0"/>
              <w:spacing w:line="460" w:lineRule="exact"/>
              <w:ind w:firstLine="480" w:firstLineChars="200"/>
              <w:jc w:val="left"/>
              <w:rPr>
                <w:kern w:val="0"/>
                <w:sz w:val="24"/>
              </w:rPr>
            </w:pPr>
            <w:r>
              <w:rPr>
                <w:kern w:val="0"/>
                <w:sz w:val="24"/>
              </w:rPr>
              <w:t>由上表可知，共渠下马营断面COD、NH</w:t>
            </w:r>
            <w:r>
              <w:rPr>
                <w:kern w:val="0"/>
                <w:sz w:val="24"/>
                <w:vertAlign w:val="subscript"/>
              </w:rPr>
              <w:t>3</w:t>
            </w:r>
            <w:r>
              <w:rPr>
                <w:kern w:val="0"/>
                <w:sz w:val="24"/>
              </w:rPr>
              <w:t>-N、TP浓度均达标。</w:t>
            </w:r>
          </w:p>
          <w:p>
            <w:pPr>
              <w:keepNext w:val="0"/>
              <w:keepLines w:val="0"/>
              <w:pageBreakBefore w:val="0"/>
              <w:widowControl w:val="0"/>
              <w:kinsoku/>
              <w:wordWrap/>
              <w:overflowPunct/>
              <w:topLinePunct w:val="0"/>
              <w:autoSpaceDE/>
              <w:autoSpaceDN/>
              <w:bidi w:val="0"/>
              <w:adjustRightInd w:val="0"/>
              <w:snapToGrid w:val="0"/>
              <w:spacing w:line="520" w:lineRule="exact"/>
              <w:ind w:firstLine="479" w:firstLineChars="199"/>
              <w:jc w:val="left"/>
              <w:textAlignment w:val="auto"/>
              <w:rPr>
                <w:b/>
                <w:sz w:val="24"/>
                <w:szCs w:val="24"/>
              </w:rPr>
            </w:pPr>
            <w:r>
              <w:rPr>
                <w:rFonts w:hint="eastAsia"/>
                <w:b/>
                <w:sz w:val="24"/>
                <w:szCs w:val="24"/>
              </w:rPr>
              <w:t>3</w:t>
            </w:r>
            <w:r>
              <w:rPr>
                <w:b/>
                <w:sz w:val="24"/>
                <w:szCs w:val="24"/>
              </w:rPr>
              <w:t>、声环境</w:t>
            </w:r>
          </w:p>
          <w:p>
            <w:pPr>
              <w:keepNext w:val="0"/>
              <w:keepLines w:val="0"/>
              <w:pageBreakBefore w:val="0"/>
              <w:widowControl w:val="0"/>
              <w:kinsoku/>
              <w:wordWrap/>
              <w:overflowPunct/>
              <w:topLinePunct w:val="0"/>
              <w:autoSpaceDE/>
              <w:autoSpaceDN/>
              <w:bidi w:val="0"/>
              <w:spacing w:line="520" w:lineRule="exact"/>
              <w:ind w:firstLine="477" w:firstLineChars="199"/>
              <w:textAlignment w:val="auto"/>
              <w:rPr>
                <w:sz w:val="24"/>
                <w:szCs w:val="24"/>
              </w:rPr>
            </w:pPr>
            <w:r>
              <w:rPr>
                <w:sz w:val="24"/>
                <w:szCs w:val="24"/>
              </w:rPr>
              <w:t>本项目所在地处于2类声环境功能区。根据现场实测，项目所在区域昼间噪声为47.5~52.6dB(A)、夜间41.2~44.3dB(A)，现状值均满足《声环境质量标准》（GB3096-2008）2类标准昼间60dB(A)、夜间50dB(A)要求，区域声环境质量较好。</w:t>
            </w:r>
          </w:p>
          <w:p>
            <w:pPr>
              <w:keepNext w:val="0"/>
              <w:keepLines w:val="0"/>
              <w:pageBreakBefore w:val="0"/>
              <w:widowControl w:val="0"/>
              <w:kinsoku/>
              <w:wordWrap/>
              <w:overflowPunct/>
              <w:topLinePunct w:val="0"/>
              <w:autoSpaceDE/>
              <w:autoSpaceDN/>
              <w:bidi w:val="0"/>
              <w:adjustRightInd w:val="0"/>
              <w:snapToGrid w:val="0"/>
              <w:spacing w:line="520" w:lineRule="exact"/>
              <w:ind w:firstLine="479" w:firstLineChars="199"/>
              <w:jc w:val="left"/>
              <w:textAlignment w:val="auto"/>
              <w:rPr>
                <w:b/>
                <w:sz w:val="24"/>
                <w:szCs w:val="24"/>
              </w:rPr>
            </w:pPr>
            <w:r>
              <w:rPr>
                <w:rFonts w:hint="eastAsia"/>
                <w:b/>
                <w:sz w:val="24"/>
                <w:szCs w:val="24"/>
              </w:rPr>
              <w:t>4、生态环境</w:t>
            </w:r>
          </w:p>
          <w:p>
            <w:pPr>
              <w:keepNext w:val="0"/>
              <w:keepLines w:val="0"/>
              <w:pageBreakBefore w:val="0"/>
              <w:widowControl w:val="0"/>
              <w:kinsoku/>
              <w:wordWrap/>
              <w:overflowPunct/>
              <w:topLinePunct w:val="0"/>
              <w:autoSpaceDE/>
              <w:autoSpaceDN/>
              <w:bidi w:val="0"/>
              <w:spacing w:line="520" w:lineRule="exact"/>
              <w:ind w:firstLine="477" w:firstLineChars="199"/>
              <w:textAlignment w:val="auto"/>
              <w:rPr>
                <w:sz w:val="24"/>
                <w:szCs w:val="24"/>
              </w:rPr>
            </w:pPr>
            <w:r>
              <w:rPr>
                <w:rFonts w:hint="eastAsia"/>
                <w:sz w:val="24"/>
                <w:szCs w:val="24"/>
              </w:rPr>
              <w:t>评价区域内生态环境主要以自然生态环境为主，主要植被为自然生长的树木以及植被，区域内无珍稀野生植被和野生动物。</w:t>
            </w:r>
          </w:p>
          <w:p>
            <w:pPr>
              <w:keepNext w:val="0"/>
              <w:keepLines w:val="0"/>
              <w:pageBreakBefore w:val="0"/>
              <w:widowControl w:val="0"/>
              <w:kinsoku/>
              <w:wordWrap/>
              <w:overflowPunct/>
              <w:topLinePunct w:val="0"/>
              <w:autoSpaceDE/>
              <w:autoSpaceDN/>
              <w:bidi w:val="0"/>
              <w:spacing w:line="520" w:lineRule="exact"/>
              <w:ind w:firstLine="479" w:firstLineChars="199"/>
              <w:textAlignment w:val="auto"/>
              <w:rPr>
                <w:b/>
                <w:sz w:val="24"/>
                <w:szCs w:val="24"/>
              </w:rPr>
            </w:pPr>
            <w:r>
              <w:rPr>
                <w:rFonts w:hint="eastAsia"/>
                <w:b/>
                <w:sz w:val="24"/>
                <w:szCs w:val="24"/>
              </w:rPr>
              <w:t>5、电磁辐射</w:t>
            </w:r>
          </w:p>
          <w:p>
            <w:pPr>
              <w:keepNext w:val="0"/>
              <w:keepLines w:val="0"/>
              <w:pageBreakBefore w:val="0"/>
              <w:widowControl w:val="0"/>
              <w:kinsoku/>
              <w:wordWrap/>
              <w:overflowPunct/>
              <w:topLinePunct w:val="0"/>
              <w:autoSpaceDE/>
              <w:autoSpaceDN/>
              <w:bidi w:val="0"/>
              <w:spacing w:line="520" w:lineRule="exact"/>
              <w:ind w:firstLine="477" w:firstLineChars="199"/>
              <w:textAlignment w:val="auto"/>
              <w:rPr>
                <w:sz w:val="24"/>
                <w:szCs w:val="24"/>
              </w:rPr>
            </w:pPr>
            <w:r>
              <w:rPr>
                <w:rFonts w:hint="eastAsia"/>
                <w:sz w:val="24"/>
                <w:szCs w:val="24"/>
              </w:rPr>
              <w:t>本项目不属于电磁辐射类项目。</w:t>
            </w:r>
          </w:p>
          <w:p>
            <w:pPr>
              <w:keepNext w:val="0"/>
              <w:keepLines w:val="0"/>
              <w:pageBreakBefore w:val="0"/>
              <w:widowControl w:val="0"/>
              <w:kinsoku/>
              <w:wordWrap/>
              <w:overflowPunct/>
              <w:topLinePunct w:val="0"/>
              <w:autoSpaceDE/>
              <w:autoSpaceDN/>
              <w:bidi w:val="0"/>
              <w:spacing w:line="520" w:lineRule="exact"/>
              <w:ind w:firstLine="479" w:firstLineChars="199"/>
              <w:textAlignment w:val="auto"/>
              <w:rPr>
                <w:sz w:val="24"/>
                <w:szCs w:val="24"/>
              </w:rPr>
            </w:pPr>
            <w:r>
              <w:rPr>
                <w:rFonts w:hint="eastAsia"/>
                <w:b/>
                <w:color w:val="000000"/>
                <w:sz w:val="24"/>
                <w:szCs w:val="24"/>
              </w:rPr>
              <w:t>6</w:t>
            </w:r>
            <w:r>
              <w:rPr>
                <w:b/>
                <w:color w:val="000000"/>
                <w:sz w:val="24"/>
                <w:szCs w:val="24"/>
              </w:rPr>
              <w:t>、</w:t>
            </w:r>
            <w:r>
              <w:rPr>
                <w:rFonts w:hint="eastAsia"/>
                <w:b/>
                <w:color w:val="000000"/>
                <w:sz w:val="24"/>
                <w:szCs w:val="24"/>
              </w:rPr>
              <w:t>地</w:t>
            </w:r>
            <w:r>
              <w:rPr>
                <w:b/>
                <w:color w:val="000000"/>
                <w:sz w:val="24"/>
                <w:szCs w:val="24"/>
              </w:rPr>
              <w:t>下水</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项目位于新乡市动力电池专业园区西片区</w:t>
            </w:r>
            <w:r>
              <w:rPr>
                <w:rFonts w:hint="eastAsia" w:cs="Times New Roman"/>
                <w:sz w:val="24"/>
                <w:szCs w:val="24"/>
                <w:lang w:val="en-US" w:eastAsia="zh-CN"/>
              </w:rPr>
              <w:t>环宇大道西侧</w:t>
            </w:r>
            <w:r>
              <w:rPr>
                <w:rFonts w:hint="default" w:ascii="Times New Roman" w:hAnsi="Times New Roman" w:eastAsia="宋体" w:cs="Times New Roman"/>
                <w:sz w:val="24"/>
                <w:szCs w:val="24"/>
              </w:rPr>
              <w:t>，地下水数据引用《新乡市动力电池专业园区发展规划（2017-2020）环境影响报告书》地下水监测数据，根据河南和阳环境科技有限公司于2018年10月17日~18日对园区区域内的地下水进行监测出具的监测报告，项目所在区域地下水的水质指标pH、耗氧量、氨氮等均能够达到《地下水质量标准》（GB/T14848-2017）Ⅲ类标准、总硬度出现超标情况。</w:t>
            </w:r>
          </w:p>
          <w:p>
            <w:pPr>
              <w:pStyle w:val="40"/>
              <w:keepNext w:val="0"/>
              <w:keepLines w:val="0"/>
              <w:pageBreakBefore w:val="0"/>
              <w:kinsoku/>
              <w:wordWrap/>
              <w:overflowPunct/>
              <w:topLinePunct w:val="0"/>
              <w:autoSpaceDE/>
              <w:autoSpaceDN/>
              <w:bidi w:val="0"/>
              <w:adjustRightInd/>
              <w:snapToGrid/>
              <w:spacing w:line="520" w:lineRule="exact"/>
              <w:ind w:firstLine="482" w:firstLineChars="200"/>
              <w:jc w:val="center"/>
              <w:textAlignment w:val="auto"/>
              <w:rPr>
                <w:rFonts w:hint="default" w:ascii="Times New Roman" w:hAnsi="Times New Roman" w:eastAsia="宋体" w:cs="Times New Roman"/>
                <w:b/>
                <w:bCs/>
                <w:color w:val="000000"/>
                <w:sz w:val="24"/>
                <w:szCs w:val="24"/>
                <w:lang w:val="en-US" w:eastAsia="zh-CN"/>
              </w:rPr>
            </w:pPr>
            <w:r>
              <w:rPr>
                <w:rFonts w:hint="default" w:ascii="Times New Roman" w:hAnsi="Times New Roman" w:eastAsia="宋体" w:cs="Times New Roman"/>
                <w:b/>
                <w:bCs/>
                <w:color w:val="000000"/>
                <w:sz w:val="24"/>
                <w:szCs w:val="24"/>
                <w:lang w:val="en-US" w:eastAsia="zh-CN"/>
              </w:rPr>
              <w:t>表</w:t>
            </w:r>
            <w:r>
              <w:rPr>
                <w:rFonts w:hint="eastAsia" w:ascii="Times New Roman" w:hAnsi="Times New Roman" w:eastAsia="宋体" w:cs="Times New Roman"/>
                <w:b/>
                <w:bCs/>
                <w:color w:val="000000"/>
                <w:sz w:val="24"/>
                <w:szCs w:val="24"/>
                <w:lang w:val="en-US" w:eastAsia="zh-CN"/>
              </w:rPr>
              <w:t>3-4</w:t>
            </w:r>
            <w:r>
              <w:rPr>
                <w:rFonts w:hint="default"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val="en-US" w:eastAsia="zh-CN"/>
              </w:rPr>
              <w:t xml:space="preserve">地下水现状监测结果     </w:t>
            </w:r>
            <w:r>
              <w:rPr>
                <w:rFonts w:hint="eastAsia" w:ascii="Times New Roman" w:hAnsi="Times New Roman" w:eastAsia="宋体" w:cs="Times New Roman"/>
                <w:b/>
                <w:bCs/>
                <w:color w:val="000000"/>
                <w:sz w:val="24"/>
                <w:szCs w:val="24"/>
                <w:lang w:val="en-US" w:eastAsia="zh-CN"/>
              </w:rPr>
              <w:t xml:space="preserve">  </w:t>
            </w:r>
            <w:r>
              <w:rPr>
                <w:rFonts w:hint="default" w:ascii="Times New Roman" w:hAnsi="Times New Roman" w:eastAsia="宋体" w:cs="Times New Roman"/>
                <w:b/>
                <w:bCs/>
                <w:color w:val="000000"/>
                <w:sz w:val="24"/>
                <w:szCs w:val="24"/>
                <w:lang w:val="en-US" w:eastAsia="zh-CN"/>
              </w:rPr>
              <w:t xml:space="preserve">    单位：mg/L</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590"/>
              <w:gridCol w:w="1560"/>
              <w:gridCol w:w="938"/>
              <w:gridCol w:w="1410"/>
              <w:gridCol w:w="810"/>
              <w:gridCol w:w="10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607" w:type="pct"/>
                  <w:tcBorders>
                    <w:tl2br w:val="nil"/>
                    <w:tr2bl w:val="nil"/>
                  </w:tcBorders>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采样地点</w:t>
                  </w: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采样因子</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测值范围</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均值</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均值标准指数</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超标率</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陈堡村</w:t>
                  </w: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7.35~7.37</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耗氧量</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0.7~0.8</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总硬度</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1097~1108</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1102.5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2.45</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1.45</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0.171~0.175</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0.173</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0.865</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硫酸盐</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102~105</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103.5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0.414</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氯化物</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122~125</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123.5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0.494</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溶解性总固体</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2106~2128</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2117</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2.117</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1.117</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钴</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锰</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砷</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铅</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铁</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总大肠菌群</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&lt;2</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挥发酚</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汞</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银</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总镍</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镉</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六价铬</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氰化物</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硝酸盐</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2.73~2.77</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0.1375</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K</w:t>
                  </w:r>
                  <w:r>
                    <w:rPr>
                      <w:rFonts w:hint="default" w:ascii="Times New Roman" w:hAnsi="Times New Roman" w:eastAsia="宋体" w:cs="Times New Roman"/>
                      <w:b w:val="0"/>
                      <w:bCs/>
                      <w:sz w:val="21"/>
                      <w:szCs w:val="21"/>
                      <w:vertAlign w:val="superscript"/>
                    </w:rPr>
                    <w:t>+</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8.66~8.76</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8.71</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Na</w:t>
                  </w:r>
                  <w:r>
                    <w:rPr>
                      <w:rFonts w:hint="default" w:ascii="Times New Roman" w:hAnsi="Times New Roman" w:eastAsia="宋体" w:cs="Times New Roman"/>
                      <w:b w:val="0"/>
                      <w:bCs/>
                      <w:sz w:val="21"/>
                      <w:szCs w:val="21"/>
                      <w:vertAlign w:val="superscript"/>
                    </w:rPr>
                    <w:t>+</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19.9</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Ca</w:t>
                  </w:r>
                  <w:r>
                    <w:rPr>
                      <w:rFonts w:hint="default" w:ascii="Times New Roman" w:hAnsi="Times New Roman" w:eastAsia="宋体" w:cs="Times New Roman"/>
                      <w:b w:val="0"/>
                      <w:bCs/>
                      <w:sz w:val="21"/>
                      <w:szCs w:val="21"/>
                      <w:vertAlign w:val="superscript"/>
                    </w:rPr>
                    <w:t>2+</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978~1012</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995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Mg</w:t>
                  </w:r>
                  <w:r>
                    <w:rPr>
                      <w:rFonts w:hint="default" w:ascii="Times New Roman" w:hAnsi="Times New Roman" w:eastAsia="宋体" w:cs="Times New Roman"/>
                      <w:b w:val="0"/>
                      <w:bCs/>
                      <w:sz w:val="21"/>
                      <w:szCs w:val="21"/>
                      <w:vertAlign w:val="superscript"/>
                    </w:rPr>
                    <w:t>2+</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44~44.8</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44.4</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CO</w:t>
                  </w:r>
                  <w:r>
                    <w:rPr>
                      <w:rFonts w:hint="default" w:ascii="Times New Roman" w:hAnsi="Times New Roman" w:eastAsia="宋体" w:cs="Times New Roman"/>
                      <w:b w:val="0"/>
                      <w:bCs/>
                      <w:sz w:val="21"/>
                      <w:szCs w:val="21"/>
                      <w:vertAlign w:val="subscript"/>
                    </w:rPr>
                    <w:t>3</w:t>
                  </w:r>
                  <w:r>
                    <w:rPr>
                      <w:rFonts w:hint="default" w:ascii="Times New Roman" w:hAnsi="Times New Roman" w:eastAsia="宋体" w:cs="Times New Roman"/>
                      <w:b w:val="0"/>
                      <w:bCs/>
                      <w:sz w:val="21"/>
                      <w:szCs w:val="21"/>
                      <w:vertAlign w:val="superscript"/>
                    </w:rPr>
                    <w:t>2-</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HCO</w:t>
                  </w:r>
                  <w:r>
                    <w:rPr>
                      <w:rFonts w:hint="default" w:ascii="Times New Roman" w:hAnsi="Times New Roman" w:eastAsia="宋体" w:cs="Times New Roman"/>
                      <w:b w:val="0"/>
                      <w:bCs/>
                      <w:sz w:val="21"/>
                      <w:szCs w:val="21"/>
                      <w:vertAlign w:val="superscript"/>
                    </w:rPr>
                    <w:t>3-</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5.5~5.8</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5.65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埋深</w:t>
                  </w:r>
                </w:p>
              </w:tc>
              <w:tc>
                <w:tcPr>
                  <w:tcW w:w="93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b w:val="0"/>
                      <w:bCs/>
                      <w:sz w:val="21"/>
                      <w:szCs w:val="21"/>
                    </w:rPr>
                    <w:t>21.8m</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水深</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45m</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水温</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园区西片区中部</w:t>
                  </w: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pH</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7.36~7.39</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耗氧量</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0.7~0.8</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0.75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0.25</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总硬度</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972~980</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976</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2.17</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0.17</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氨氮</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0.168~0.173</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0.17</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0.85</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硫酸盐</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106~107</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106.5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0.43</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氯化物</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126~133</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129.5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0.52</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溶解性总固体</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1842~1866</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1854</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1.85</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0.85</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钴</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锰</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砷</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铅</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铁</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总大肠菌群</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&lt;2</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挥发酚</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汞</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银</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总镍</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镉</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六价铬</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氰化物</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硝酸盐</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2.76~2.79</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2.775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0.14</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604" w:type="pct"/>
                  <w:tcBorders>
                    <w:tl2br w:val="nil"/>
                    <w:tr2bl w:val="nil"/>
                  </w:tcBorders>
                  <w:noWrap w:val="0"/>
                  <w:vAlign w:val="center"/>
                </w:tcPr>
                <w:p>
                  <w:pPr>
                    <w:tabs>
                      <w:tab w:val="left" w:pos="5910"/>
                    </w:tabs>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K</w:t>
                  </w:r>
                  <w:r>
                    <w:rPr>
                      <w:rFonts w:hint="default" w:ascii="Times New Roman" w:hAnsi="Times New Roman" w:eastAsia="宋体" w:cs="Times New Roman"/>
                      <w:b w:val="0"/>
                      <w:bCs/>
                      <w:sz w:val="21"/>
                      <w:szCs w:val="21"/>
                      <w:vertAlign w:val="superscript"/>
                    </w:rPr>
                    <w:t>+</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8.64~8.77</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8.71</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Na</w:t>
                  </w:r>
                  <w:r>
                    <w:rPr>
                      <w:rFonts w:hint="default" w:ascii="Times New Roman" w:hAnsi="Times New Roman" w:eastAsia="宋体" w:cs="Times New Roman"/>
                      <w:b w:val="0"/>
                      <w:bCs/>
                      <w:sz w:val="21"/>
                      <w:szCs w:val="21"/>
                      <w:vertAlign w:val="superscript"/>
                    </w:rPr>
                    <w:t>+</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19.3</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19.3</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Ca</w:t>
                  </w:r>
                  <w:r>
                    <w:rPr>
                      <w:rFonts w:hint="default" w:ascii="Times New Roman" w:hAnsi="Times New Roman" w:eastAsia="宋体" w:cs="Times New Roman"/>
                      <w:b w:val="0"/>
                      <w:bCs/>
                      <w:sz w:val="21"/>
                      <w:szCs w:val="21"/>
                      <w:vertAlign w:val="superscript"/>
                    </w:rPr>
                    <w:t>2+</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918~924</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921</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Mg</w:t>
                  </w:r>
                  <w:r>
                    <w:rPr>
                      <w:rFonts w:hint="default" w:ascii="Times New Roman" w:hAnsi="Times New Roman" w:eastAsia="宋体" w:cs="Times New Roman"/>
                      <w:b w:val="0"/>
                      <w:bCs/>
                      <w:sz w:val="21"/>
                      <w:szCs w:val="21"/>
                      <w:vertAlign w:val="superscript"/>
                    </w:rPr>
                    <w:t>2+</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31.7~31.8</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31.75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CO</w:t>
                  </w:r>
                  <w:r>
                    <w:rPr>
                      <w:rFonts w:hint="default" w:ascii="Times New Roman" w:hAnsi="Times New Roman" w:eastAsia="宋体" w:cs="Times New Roman"/>
                      <w:b w:val="0"/>
                      <w:bCs/>
                      <w:sz w:val="21"/>
                      <w:szCs w:val="21"/>
                      <w:vertAlign w:val="subscript"/>
                    </w:rPr>
                    <w:t>3</w:t>
                  </w:r>
                  <w:r>
                    <w:rPr>
                      <w:rFonts w:hint="default" w:ascii="Times New Roman" w:hAnsi="Times New Roman" w:eastAsia="宋体" w:cs="Times New Roman"/>
                      <w:b w:val="0"/>
                      <w:bCs/>
                      <w:sz w:val="21"/>
                      <w:szCs w:val="21"/>
                      <w:vertAlign w:val="superscript"/>
                    </w:rPr>
                    <w:t>2-</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未检出</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HCO</w:t>
                  </w:r>
                  <w:r>
                    <w:rPr>
                      <w:rFonts w:hint="default" w:ascii="Times New Roman" w:hAnsi="Times New Roman" w:eastAsia="宋体" w:cs="Times New Roman"/>
                      <w:b w:val="0"/>
                      <w:bCs/>
                      <w:sz w:val="21"/>
                      <w:szCs w:val="21"/>
                      <w:vertAlign w:val="superscript"/>
                    </w:rPr>
                    <w:t>3-</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5.3~5.4</w:t>
                  </w:r>
                </w:p>
              </w:tc>
              <w:tc>
                <w:tcPr>
                  <w:tcW w:w="563"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5.35</w:t>
                  </w:r>
                </w:p>
              </w:tc>
              <w:tc>
                <w:tcPr>
                  <w:tcW w:w="84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埋深</w:t>
                  </w:r>
                </w:p>
              </w:tc>
              <w:tc>
                <w:tcPr>
                  <w:tcW w:w="93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b w:val="0"/>
                      <w:bCs/>
                      <w:sz w:val="21"/>
                      <w:szCs w:val="21"/>
                    </w:rPr>
                    <w:t>22.2m</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水深</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40m</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水温</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17℃</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大块污水处理厂</w:t>
                  </w: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埋深</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22.6</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水温</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607" w:type="pct"/>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西鲁堡村</w:t>
                  </w: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埋深</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25.2</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607"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sz w:val="21"/>
                      <w:szCs w:val="21"/>
                    </w:rPr>
                  </w:pPr>
                </w:p>
              </w:tc>
              <w:tc>
                <w:tcPr>
                  <w:tcW w:w="95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水温</w:t>
                  </w:r>
                </w:p>
              </w:tc>
              <w:tc>
                <w:tcPr>
                  <w:tcW w:w="936" w:type="pct"/>
                  <w:tcBorders>
                    <w:tl2br w:val="nil"/>
                    <w:tr2bl w:val="nil"/>
                  </w:tcBorders>
                  <w:noWrap w:val="0"/>
                  <w:vAlign w:val="center"/>
                </w:tcPr>
                <w:p>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18℃</w:t>
                  </w:r>
                </w:p>
              </w:tc>
              <w:tc>
                <w:tcPr>
                  <w:tcW w:w="563"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4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86"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04" w:type="pct"/>
                  <w:tcBorders>
                    <w:tl2br w:val="nil"/>
                    <w:tr2bl w:val="nil"/>
                  </w:tcBorders>
                  <w:noWrap w:val="0"/>
                  <w:vAlign w:val="center"/>
                </w:tcPr>
                <w:p>
                  <w:pPr>
                    <w:pStyle w:val="59"/>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pPr>
              <w:pStyle w:val="40"/>
              <w:keepNext w:val="0"/>
              <w:keepLines w:val="0"/>
              <w:pageBreakBefore w:val="0"/>
              <w:widowControl w:val="0"/>
              <w:kinsoku/>
              <w:wordWrap/>
              <w:overflowPunct/>
              <w:topLinePunct w:val="0"/>
              <w:autoSpaceDE/>
              <w:autoSpaceDN/>
              <w:bidi w:val="0"/>
              <w:spacing w:line="520" w:lineRule="exact"/>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由统计结果可得，各监测点的总硬度和溶解性总固体存在超标现象，其他监测因子监测值均能满足《地下水质量标准》（GB/T14848-2017）Ⅲ类的标准要求。监测数据表明，区域地下水环境状况良好。</w:t>
            </w:r>
          </w:p>
          <w:p>
            <w:pPr>
              <w:keepNext w:val="0"/>
              <w:keepLines w:val="0"/>
              <w:pageBreakBefore w:val="0"/>
              <w:widowControl w:val="0"/>
              <w:numPr>
                <w:ilvl w:val="0"/>
                <w:numId w:val="4"/>
              </w:numPr>
              <w:kinsoku/>
              <w:wordWrap/>
              <w:overflowPunct/>
              <w:topLinePunct w:val="0"/>
              <w:autoSpaceDE/>
              <w:autoSpaceDN/>
              <w:bidi w:val="0"/>
              <w:adjustRightInd w:val="0"/>
              <w:snapToGrid w:val="0"/>
              <w:spacing w:line="520" w:lineRule="exact"/>
              <w:ind w:firstLine="482" w:firstLineChars="200"/>
              <w:textAlignment w:val="auto"/>
              <w:rPr>
                <w:rFonts w:hint="eastAsia" w:ascii="Times New Roman" w:hAnsi="Times New Roman" w:eastAsia="宋体" w:cs="Times New Roman"/>
                <w:b/>
                <w:bCs w:val="0"/>
                <w:snapToGrid w:val="0"/>
                <w:color w:val="auto"/>
                <w:kern w:val="0"/>
                <w:sz w:val="24"/>
                <w:szCs w:val="24"/>
                <w:u w:val="none" w:color="auto"/>
                <w:lang w:val="en-US" w:eastAsia="zh-CN"/>
              </w:rPr>
            </w:pPr>
            <w:r>
              <w:rPr>
                <w:rFonts w:hint="eastAsia" w:ascii="Times New Roman" w:hAnsi="Times New Roman" w:eastAsia="宋体" w:cs="Times New Roman"/>
                <w:b/>
                <w:bCs w:val="0"/>
                <w:snapToGrid w:val="0"/>
                <w:color w:val="auto"/>
                <w:kern w:val="0"/>
                <w:sz w:val="24"/>
                <w:szCs w:val="24"/>
                <w:u w:val="none" w:color="auto"/>
                <w:lang w:val="en-US" w:eastAsia="zh-CN"/>
              </w:rPr>
              <w:t>土壤</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color w:val="auto"/>
                <w:u w:val="none" w:color="auto"/>
              </w:rPr>
            </w:pPr>
            <w:r>
              <w:rPr>
                <w:rFonts w:hint="eastAsia" w:ascii="Times New Roman" w:hAnsi="Times New Roman" w:eastAsia="宋体" w:cs="Times New Roman"/>
                <w:bCs/>
                <w:snapToGrid w:val="0"/>
                <w:color w:val="auto"/>
                <w:kern w:val="0"/>
                <w:sz w:val="24"/>
                <w:szCs w:val="24"/>
                <w:u w:val="none" w:color="auto"/>
                <w:lang w:val="en-US" w:eastAsia="zh-CN"/>
              </w:rPr>
              <w:t>项目选址原为新乡市通泰化工有限公司仓库，新乡市凤泉区大块镇陈堡村村委会在其搬迁后，委托河南恒科检测技术有限公司2021年5月4日对院内采集了3个表层土壤样品</w:t>
            </w:r>
            <w:r>
              <w:rPr>
                <w:rFonts w:hint="eastAsia" w:ascii="Times New Roman" w:hAnsi="Times New Roman" w:eastAsia="宋体" w:cs="Times New Roman"/>
                <w:bCs/>
                <w:color w:val="auto"/>
                <w:kern w:val="28"/>
                <w:sz w:val="24"/>
                <w:szCs w:val="24"/>
                <w:u w:val="none" w:color="auto"/>
                <w:lang w:eastAsia="zh-CN"/>
              </w:rPr>
              <w:t>，</w:t>
            </w:r>
            <w:r>
              <w:rPr>
                <w:rFonts w:hint="eastAsia" w:ascii="Times New Roman" w:hAnsi="Times New Roman" w:eastAsia="宋体" w:cs="Times New Roman"/>
                <w:bCs/>
                <w:color w:val="auto"/>
                <w:kern w:val="28"/>
                <w:sz w:val="24"/>
                <w:szCs w:val="24"/>
                <w:u w:val="none" w:color="auto"/>
                <w:lang w:val="en-US" w:eastAsia="zh-CN"/>
              </w:rPr>
              <w:t>对可能涉及的污染因子进行了检测，检测结果见表3-5（检测报告见附件6）</w:t>
            </w:r>
            <w:r>
              <w:rPr>
                <w:rFonts w:hint="default" w:ascii="Times New Roman" w:hAnsi="Times New Roman" w:eastAsia="宋体" w:cs="Times New Roman"/>
                <w:snapToGrid w:val="0"/>
                <w:color w:val="auto"/>
                <w:kern w:val="0"/>
                <w:sz w:val="24"/>
                <w:szCs w:val="24"/>
                <w:u w:val="none" w:color="auto"/>
              </w:rPr>
              <w:t>。</w:t>
            </w:r>
          </w:p>
          <w:p>
            <w:pPr>
              <w:spacing w:line="520" w:lineRule="exact"/>
              <w:jc w:val="center"/>
              <w:rPr>
                <w:rFonts w:hint="default" w:ascii="Times New Roman" w:hAnsi="Times New Roman" w:eastAsia="宋体" w:cs="Times New Roman"/>
                <w:b/>
                <w:bCs/>
                <w:color w:val="auto"/>
                <w:sz w:val="24"/>
                <w:szCs w:val="22"/>
                <w:u w:val="none" w:color="auto"/>
              </w:rPr>
            </w:pPr>
            <w:r>
              <w:rPr>
                <w:rFonts w:hint="default" w:ascii="Times New Roman" w:hAnsi="Times New Roman" w:eastAsia="宋体" w:cs="Times New Roman"/>
                <w:b/>
                <w:snapToGrid w:val="0"/>
                <w:color w:val="auto"/>
                <w:kern w:val="0"/>
                <w:sz w:val="24"/>
                <w:szCs w:val="22"/>
                <w:u w:val="none" w:color="auto"/>
              </w:rPr>
              <w:t>表</w:t>
            </w:r>
            <w:r>
              <w:rPr>
                <w:rFonts w:hint="eastAsia" w:ascii="Times New Roman" w:hAnsi="Times New Roman" w:eastAsia="宋体" w:cs="Times New Roman"/>
                <w:b/>
                <w:snapToGrid w:val="0"/>
                <w:color w:val="auto"/>
                <w:kern w:val="0"/>
                <w:sz w:val="24"/>
                <w:szCs w:val="22"/>
                <w:u w:val="none" w:color="auto"/>
                <w:lang w:val="en-US" w:eastAsia="zh-CN"/>
              </w:rPr>
              <w:t>3-5</w:t>
            </w:r>
            <w:r>
              <w:rPr>
                <w:rFonts w:hint="default" w:ascii="Times New Roman" w:hAnsi="Times New Roman" w:eastAsia="宋体" w:cs="Times New Roman"/>
                <w:b/>
                <w:snapToGrid w:val="0"/>
                <w:color w:val="auto"/>
                <w:kern w:val="0"/>
                <w:sz w:val="24"/>
                <w:szCs w:val="22"/>
                <w:u w:val="none" w:color="auto"/>
              </w:rPr>
              <w:t xml:space="preserve">  </w:t>
            </w:r>
            <w:r>
              <w:rPr>
                <w:rFonts w:hint="eastAsia" w:ascii="Times New Roman" w:hAnsi="Times New Roman" w:eastAsia="宋体" w:cs="Times New Roman"/>
                <w:b/>
                <w:snapToGrid w:val="0"/>
                <w:color w:val="auto"/>
                <w:kern w:val="0"/>
                <w:sz w:val="24"/>
                <w:szCs w:val="22"/>
                <w:u w:val="none" w:color="auto"/>
                <w:lang w:val="en-US" w:eastAsia="zh-CN"/>
              </w:rPr>
              <w:t xml:space="preserve">         </w:t>
            </w:r>
            <w:r>
              <w:rPr>
                <w:rFonts w:hint="default" w:ascii="Times New Roman" w:hAnsi="Times New Roman" w:eastAsia="宋体" w:cs="Times New Roman"/>
                <w:b/>
                <w:snapToGrid w:val="0"/>
                <w:color w:val="auto"/>
                <w:kern w:val="0"/>
                <w:sz w:val="24"/>
                <w:szCs w:val="22"/>
                <w:u w:val="none" w:color="auto"/>
              </w:rPr>
              <w:t xml:space="preserve"> 土壤环境质量现状监测数据统计表</w:t>
            </w:r>
            <w:r>
              <w:rPr>
                <w:rFonts w:hint="eastAsia" w:ascii="Times New Roman" w:hAnsi="Times New Roman" w:eastAsia="宋体" w:cs="Times New Roman"/>
                <w:b/>
                <w:snapToGrid w:val="0"/>
                <w:color w:val="auto"/>
                <w:kern w:val="0"/>
                <w:sz w:val="24"/>
                <w:szCs w:val="22"/>
                <w:u w:val="none" w:color="auto"/>
                <w:lang w:val="en-US" w:eastAsia="zh-CN"/>
              </w:rPr>
              <w:t xml:space="preserve">         </w:t>
            </w:r>
            <w:r>
              <w:rPr>
                <w:rFonts w:hint="default" w:ascii="Times New Roman" w:hAnsi="Times New Roman" w:eastAsia="宋体" w:cs="Times New Roman"/>
                <w:b/>
                <w:snapToGrid w:val="0"/>
                <w:color w:val="auto"/>
                <w:kern w:val="0"/>
                <w:sz w:val="24"/>
                <w:szCs w:val="22"/>
                <w:u w:val="none" w:color="auto"/>
              </w:rPr>
              <w:t>（mg/kg</w:t>
            </w:r>
            <w:r>
              <w:rPr>
                <w:rFonts w:hint="default" w:ascii="Times New Roman" w:hAnsi="Times New Roman" w:eastAsia="宋体" w:cs="Times New Roman"/>
                <w:b/>
                <w:bCs/>
                <w:color w:val="auto"/>
                <w:sz w:val="24"/>
                <w:szCs w:val="22"/>
                <w:u w:val="none" w:color="auto"/>
              </w:rPr>
              <w:t>）</w:t>
            </w:r>
          </w:p>
          <w:tbl>
            <w:tblPr>
              <w:tblStyle w:val="25"/>
              <w:tblW w:w="7939" w:type="dxa"/>
              <w:jc w:val="center"/>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513"/>
              <w:gridCol w:w="1572"/>
              <w:gridCol w:w="1538"/>
              <w:gridCol w:w="1542"/>
              <w:gridCol w:w="999"/>
              <w:gridCol w:w="775"/>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24" w:hRule="atLeast"/>
                <w:jc w:val="center"/>
              </w:trPr>
              <w:tc>
                <w:tcPr>
                  <w:tcW w:w="1513" w:type="dxa"/>
                  <w:vMerge w:val="restart"/>
                  <w:tcBorders>
                    <w:right w:val="single" w:color="auto" w:sz="4" w:space="0"/>
                  </w:tcBorders>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pPr>
                    <w:snapToGrid w:val="0"/>
                    <w:spacing w:line="240" w:lineRule="auto"/>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因子</w:t>
                  </w:r>
                </w:p>
                <w:p>
                  <w:pPr>
                    <w:snapToGrid w:val="0"/>
                    <w:spacing w:line="240" w:lineRule="auto"/>
                    <w:jc w:val="center"/>
                    <mc:AlternateContent>
                      <mc:Choice Requires="wpsCustomData">
                        <wpsCustomData:diagonalParaType/>
                      </mc:Choice>
                    </mc:AlternateContent>
                    <w:rPr>
                      <w:rFonts w:hint="default" w:ascii="Times New Roman" w:hAnsi="Times New Roman" w:eastAsia="宋体" w:cs="Times New Roman"/>
                      <w:color w:val="auto"/>
                      <w:sz w:val="21"/>
                      <w:szCs w:val="21"/>
                      <w:u w:val="none" w:color="auto"/>
                      <w:lang w:val="en-US" w:eastAsia="zh-CN"/>
                    </w:rPr>
                  </w:pPr>
                </w:p>
                <w:p>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项目</w:t>
                  </w:r>
                </w:p>
              </w:tc>
              <w:tc>
                <w:tcPr>
                  <w:tcW w:w="4652" w:type="dxa"/>
                  <w:gridSpan w:val="3"/>
                  <w:tcBorders>
                    <w:left w:val="single" w:color="auto" w:sz="4" w:space="0"/>
                    <w:bottom w:val="single" w:color="auto" w:sz="8" w:space="0"/>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厂区南侧水井周边</w:t>
                  </w:r>
                </w:p>
              </w:tc>
              <w:tc>
                <w:tcPr>
                  <w:tcW w:w="999" w:type="dxa"/>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执行标准（mg/kg）</w:t>
                  </w:r>
                </w:p>
              </w:tc>
              <w:tc>
                <w:tcPr>
                  <w:tcW w:w="775" w:type="dxa"/>
                  <w:vMerge w:val="restart"/>
                  <w:tcBorders>
                    <w:lef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达标分析</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293" w:hRule="atLeast"/>
                <w:jc w:val="center"/>
              </w:trPr>
              <w:tc>
                <w:tcPr>
                  <w:tcW w:w="1513" w:type="dxa"/>
                  <w:vMerge w:val="continue"/>
                  <w:tcBorders>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tc>
              <w:tc>
                <w:tcPr>
                  <w:tcW w:w="1572" w:type="dxa"/>
                  <w:tcBorders>
                    <w:top w:val="single" w:color="auto" w:sz="8"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样深</w:t>
                  </w:r>
                  <w:r>
                    <w:rPr>
                      <w:rFonts w:hint="default" w:ascii="Times New Roman" w:hAnsi="Times New Roman" w:eastAsia="宋体" w:cs="Times New Roman"/>
                      <w:color w:val="auto"/>
                      <w:sz w:val="21"/>
                      <w:szCs w:val="21"/>
                      <w:u w:val="none" w:color="auto"/>
                    </w:rPr>
                    <w:t>0.2m</w:t>
                  </w:r>
                </w:p>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(E:11</w:t>
                  </w:r>
                  <w:r>
                    <w:rPr>
                      <w:rFonts w:hint="eastAsia" w:ascii="Times New Roman" w:hAnsi="Times New Roman" w:eastAsia="宋体" w:cs="Times New Roman"/>
                      <w:color w:val="auto"/>
                      <w:sz w:val="21"/>
                      <w:szCs w:val="21"/>
                      <w:u w:val="none" w:color="auto"/>
                      <w:lang w:val="en-US" w:eastAsia="zh-CN"/>
                    </w:rPr>
                    <w:t>3</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848100</w:t>
                  </w:r>
                </w:p>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N:35.</w:t>
                  </w:r>
                  <w:r>
                    <w:rPr>
                      <w:rFonts w:hint="eastAsia" w:ascii="Times New Roman" w:hAnsi="Times New Roman" w:eastAsia="宋体" w:cs="Times New Roman"/>
                      <w:color w:val="auto"/>
                      <w:sz w:val="21"/>
                      <w:szCs w:val="21"/>
                      <w:u w:val="none" w:color="auto"/>
                      <w:lang w:val="en-US" w:eastAsia="zh-CN"/>
                    </w:rPr>
                    <w:t>364788</w:t>
                  </w:r>
                  <w:r>
                    <w:rPr>
                      <w:rFonts w:hint="default" w:ascii="Times New Roman" w:hAnsi="Times New Roman" w:eastAsia="宋体" w:cs="Times New Roman"/>
                      <w:color w:val="auto"/>
                      <w:sz w:val="21"/>
                      <w:szCs w:val="21"/>
                      <w:u w:val="none" w:color="auto"/>
                    </w:rPr>
                    <w:t>)</w:t>
                  </w:r>
                </w:p>
              </w:tc>
              <w:tc>
                <w:tcPr>
                  <w:tcW w:w="1538" w:type="dxa"/>
                  <w:tcBorders>
                    <w:top w:val="single" w:color="auto" w:sz="8"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w:t>
                  </w:r>
                </w:p>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样深</w:t>
                  </w:r>
                  <w:r>
                    <w:rPr>
                      <w:rFonts w:hint="default" w:ascii="Times New Roman" w:hAnsi="Times New Roman" w:eastAsia="宋体" w:cs="Times New Roman"/>
                      <w:color w:val="auto"/>
                      <w:sz w:val="21"/>
                      <w:szCs w:val="21"/>
                      <w:u w:val="none" w:color="auto"/>
                    </w:rPr>
                    <w:t>0.2m</w:t>
                  </w:r>
                </w:p>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(E:11</w:t>
                  </w:r>
                  <w:r>
                    <w:rPr>
                      <w:rFonts w:hint="eastAsia" w:ascii="Times New Roman" w:hAnsi="Times New Roman" w:eastAsia="宋体" w:cs="Times New Roman"/>
                      <w:color w:val="auto"/>
                      <w:sz w:val="21"/>
                      <w:szCs w:val="21"/>
                      <w:u w:val="none" w:color="auto"/>
                      <w:lang w:val="en-US" w:eastAsia="zh-CN"/>
                    </w:rPr>
                    <w:t>3</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848095</w:t>
                  </w:r>
                </w:p>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N:35.</w:t>
                  </w:r>
                  <w:r>
                    <w:rPr>
                      <w:rFonts w:hint="eastAsia" w:ascii="Times New Roman" w:hAnsi="Times New Roman" w:eastAsia="宋体" w:cs="Times New Roman"/>
                      <w:color w:val="auto"/>
                      <w:sz w:val="21"/>
                      <w:szCs w:val="21"/>
                      <w:u w:val="none" w:color="auto"/>
                      <w:lang w:val="en-US" w:eastAsia="zh-CN"/>
                    </w:rPr>
                    <w:t>364791</w:t>
                  </w:r>
                  <w:r>
                    <w:rPr>
                      <w:rFonts w:hint="default" w:ascii="Times New Roman" w:hAnsi="Times New Roman" w:eastAsia="宋体" w:cs="Times New Roman"/>
                      <w:color w:val="auto"/>
                      <w:sz w:val="21"/>
                      <w:szCs w:val="21"/>
                      <w:u w:val="none" w:color="auto"/>
                    </w:rPr>
                    <w:t>)</w:t>
                  </w:r>
                </w:p>
              </w:tc>
              <w:tc>
                <w:tcPr>
                  <w:tcW w:w="1542" w:type="dxa"/>
                  <w:tcBorders>
                    <w:top w:val="single" w:color="auto" w:sz="8" w:space="0"/>
                    <w:left w:val="single" w:color="auto" w:sz="4" w:space="0"/>
                    <w:bottom w:val="single" w:color="auto" w:sz="4" w:space="0"/>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样深</w:t>
                  </w:r>
                  <w:r>
                    <w:rPr>
                      <w:rFonts w:hint="default" w:ascii="Times New Roman" w:hAnsi="Times New Roman" w:eastAsia="宋体" w:cs="Times New Roman"/>
                      <w:color w:val="auto"/>
                      <w:sz w:val="21"/>
                      <w:szCs w:val="21"/>
                      <w:u w:val="none" w:color="auto"/>
                    </w:rPr>
                    <w:t>0.2m</w:t>
                  </w:r>
                </w:p>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(E:11</w:t>
                  </w:r>
                  <w:r>
                    <w:rPr>
                      <w:rFonts w:hint="eastAsia" w:ascii="Times New Roman" w:hAnsi="Times New Roman" w:eastAsia="宋体" w:cs="Times New Roman"/>
                      <w:color w:val="auto"/>
                      <w:sz w:val="21"/>
                      <w:szCs w:val="21"/>
                      <w:u w:val="none" w:color="auto"/>
                      <w:lang w:val="en-US" w:eastAsia="zh-CN"/>
                    </w:rPr>
                    <w:t>3</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848117</w:t>
                  </w:r>
                </w:p>
                <w:p>
                  <w:pPr>
                    <w:keepNext w:val="0"/>
                    <w:keepLines w:val="0"/>
                    <w:widowControl/>
                    <w:suppressLineNumbers w:val="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N:35.</w:t>
                  </w:r>
                  <w:r>
                    <w:rPr>
                      <w:rFonts w:hint="eastAsia" w:ascii="Times New Roman" w:hAnsi="Times New Roman" w:eastAsia="宋体" w:cs="Times New Roman"/>
                      <w:color w:val="auto"/>
                      <w:sz w:val="21"/>
                      <w:szCs w:val="21"/>
                      <w:u w:val="none" w:color="auto"/>
                      <w:lang w:val="en-US" w:eastAsia="zh-CN"/>
                    </w:rPr>
                    <w:t>364728</w:t>
                  </w:r>
                  <w:r>
                    <w:rPr>
                      <w:rFonts w:hint="default" w:ascii="Times New Roman" w:hAnsi="Times New Roman" w:eastAsia="宋体" w:cs="Times New Roman"/>
                      <w:color w:val="auto"/>
                      <w:sz w:val="21"/>
                      <w:szCs w:val="21"/>
                      <w:u w:val="none" w:color="auto"/>
                    </w:rPr>
                    <w:t>)</w:t>
                  </w:r>
                </w:p>
              </w:tc>
              <w:tc>
                <w:tcPr>
                  <w:tcW w:w="999" w:type="dxa"/>
                  <w:vMerge w:val="continue"/>
                  <w:tcBorders>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tc>
              <w:tc>
                <w:tcPr>
                  <w:tcW w:w="775" w:type="dxa"/>
                  <w:vMerge w:val="continue"/>
                  <w:tcBorders>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u w:val="none" w:color="auto"/>
                      <w:lang w:val="en-US" w:eastAsia="zh-CN"/>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2"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PH</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7.93</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7.96</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7.84</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w:t>
                  </w:r>
                </w:p>
              </w:tc>
              <w:tc>
                <w:tcPr>
                  <w:tcW w:w="775" w:type="dxa"/>
                  <w:tcBorders>
                    <w:top w:val="single" w:color="auto" w:sz="4" w:space="0"/>
                    <w:left w:val="single" w:color="auto" w:sz="4" w:space="0"/>
                    <w:bottom w:val="single" w:color="auto" w:sz="4" w:space="0"/>
                  </w:tcBorders>
                  <w:noWrap w:val="0"/>
                  <w:vAlign w:val="center"/>
                </w:tcPr>
                <w:p>
                  <w:pPr>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02"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砷</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10.2</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8.7</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6.8</w:t>
                  </w:r>
                </w:p>
              </w:tc>
              <w:tc>
                <w:tcPr>
                  <w:tcW w:w="999" w:type="dxa"/>
                  <w:tcBorders>
                    <w:top w:val="single" w:color="auto" w:sz="4" w:space="0"/>
                    <w:left w:val="single" w:color="auto" w:sz="4" w:space="0"/>
                    <w:bottom w:val="single" w:color="auto" w:sz="4" w:space="0"/>
                  </w:tcBorders>
                  <w:noWrap w:val="0"/>
                  <w:vAlign w:val="center"/>
                </w:tcPr>
                <w:p>
                  <w:pPr>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60</w:t>
                  </w:r>
                </w:p>
              </w:tc>
              <w:tc>
                <w:tcPr>
                  <w:tcW w:w="775" w:type="dxa"/>
                  <w:tcBorders>
                    <w:top w:val="single" w:color="auto" w:sz="4" w:space="0"/>
                    <w:left w:val="single" w:color="auto" w:sz="4" w:space="0"/>
                    <w:bottom w:val="single" w:color="auto" w:sz="4" w:space="0"/>
                  </w:tcBorders>
                  <w:noWrap w:val="0"/>
                  <w:vAlign w:val="center"/>
                </w:tcPr>
                <w:p>
                  <w:pPr>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镉</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0.24</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0.18</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0.20</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65</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六价铬</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1.1</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1.8</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5.7</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铜</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46</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44</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40</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18000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铅</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45</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51</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53</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800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汞</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0.062</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0.060</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0.037</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38</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镍</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57</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42</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50</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900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氯乙烯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0.43</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氯苯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270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1,2-二氯苯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560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1,4-二氯苯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乙苯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28</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苯乙烯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1290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甲苯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1200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648"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间二甲苯+对二甲苯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570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邻二甲苯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640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硝基苯</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76</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苯胺</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260</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11" w:hRule="atLeast"/>
                <w:jc w:val="center"/>
              </w:trPr>
              <w:tc>
                <w:tcPr>
                  <w:tcW w:w="1513" w:type="dxa"/>
                  <w:tcBorders>
                    <w:top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苯并[a]芘</w:t>
                  </w:r>
                </w:p>
              </w:tc>
              <w:tc>
                <w:tcPr>
                  <w:tcW w:w="1572"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38"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1542"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未检出</w:t>
                  </w:r>
                </w:p>
              </w:tc>
              <w:tc>
                <w:tcPr>
                  <w:tcW w:w="999"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1.5</w:t>
                  </w:r>
                </w:p>
              </w:tc>
              <w:tc>
                <w:tcPr>
                  <w:tcW w:w="775" w:type="dxa"/>
                  <w:tcBorders>
                    <w:top w:val="single" w:color="auto" w:sz="4" w:space="0"/>
                    <w:left w:val="single" w:color="auto" w:sz="4" w:space="0"/>
                    <w:bottom w:val="single" w:color="auto" w:sz="4" w:space="0"/>
                  </w:tcBorders>
                  <w:noWrap w:val="0"/>
                  <w:vAlign w:val="center"/>
                </w:tcPr>
                <w:p>
                  <w:pPr>
                    <w:jc w:val="center"/>
                    <w:rPr>
                      <w:rFonts w:hint="default" w:ascii="Times New Roman" w:hAnsi="Times New Roman" w:eastAsia="宋体" w:cs="Times New Roman"/>
                      <w:color w:val="auto"/>
                      <w:sz w:val="21"/>
                      <w:szCs w:val="21"/>
                      <w:highlight w:val="none"/>
                      <w:u w:val="none" w:color="auto"/>
                    </w:rPr>
                  </w:pPr>
                  <w:r>
                    <w:rPr>
                      <w:rFonts w:hint="eastAsia" w:ascii="Times New Roman" w:hAnsi="Times New Roman" w:eastAsia="宋体" w:cs="Times New Roman"/>
                      <w:color w:val="auto"/>
                      <w:sz w:val="21"/>
                      <w:szCs w:val="21"/>
                      <w:highlight w:val="none"/>
                      <w:u w:val="none" w:color="auto"/>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textAlignment w:val="auto"/>
              <w:outlineLvl w:val="9"/>
              <w:rPr>
                <w:color w:val="000000"/>
                <w:sz w:val="24"/>
                <w:szCs w:val="24"/>
              </w:rPr>
            </w:pPr>
            <w:r>
              <w:rPr>
                <w:rFonts w:hint="eastAsia" w:eastAsia="宋体"/>
                <w:b w:val="0"/>
                <w:bCs w:val="0"/>
                <w:snapToGrid w:val="0"/>
                <w:color w:val="auto"/>
                <w:kern w:val="0"/>
                <w:sz w:val="24"/>
                <w:szCs w:val="24"/>
                <w:u w:val="none" w:color="auto"/>
                <w:lang w:eastAsia="zh-CN"/>
              </w:rPr>
              <w:t>由上表可知，厂区内各监测点位表层样监测因子均能够满足</w:t>
            </w:r>
            <w:r>
              <w:rPr>
                <w:rFonts w:hint="eastAsia" w:ascii="Times New Roman" w:hAnsi="Times New Roman" w:eastAsia="宋体" w:cs="Times New Roman"/>
                <w:b w:val="0"/>
                <w:bCs w:val="0"/>
                <w:color w:val="auto"/>
                <w:sz w:val="24"/>
                <w:szCs w:val="24"/>
                <w:u w:val="none" w:color="auto"/>
                <w:lang w:eastAsia="zh-CN"/>
              </w:rPr>
              <w:t>《土壤环境质量</w:t>
            </w:r>
            <w:r>
              <w:rPr>
                <w:rFonts w:hint="eastAsia" w:ascii="Times New Roman" w:hAnsi="Times New Roman" w:eastAsia="宋体" w:cs="Times New Roman"/>
                <w:b w:val="0"/>
                <w:bCs w:val="0"/>
                <w:color w:val="auto"/>
                <w:sz w:val="24"/>
                <w:szCs w:val="24"/>
                <w:u w:val="none" w:color="auto"/>
                <w:lang w:val="en-US" w:eastAsia="zh-CN"/>
              </w:rPr>
              <w:t xml:space="preserve"> </w:t>
            </w:r>
            <w:r>
              <w:rPr>
                <w:rFonts w:hint="eastAsia" w:ascii="Times New Roman" w:hAnsi="Times New Roman" w:eastAsia="宋体" w:cs="Times New Roman"/>
                <w:b w:val="0"/>
                <w:bCs w:val="0"/>
                <w:color w:val="auto"/>
                <w:sz w:val="24"/>
                <w:szCs w:val="24"/>
                <w:u w:val="none" w:color="auto"/>
                <w:lang w:eastAsia="zh-CN"/>
              </w:rPr>
              <w:t>建设用地土壤污染风险管控标准》（试行）（GB36600-2018）二级标准要求。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7" w:hRule="atLeast"/>
          <w:jc w:val="center"/>
        </w:trPr>
        <w:tc>
          <w:tcPr>
            <w:tcW w:w="452" w:type="dxa"/>
            <w:tcBorders>
              <w:tl2br w:val="nil"/>
              <w:tr2bl w:val="nil"/>
            </w:tcBorders>
            <w:vAlign w:val="center"/>
          </w:tcPr>
          <w:p>
            <w:pPr>
              <w:spacing w:line="440" w:lineRule="exact"/>
              <w:jc w:val="center"/>
              <w:rPr>
                <w:sz w:val="24"/>
                <w:szCs w:val="24"/>
              </w:rPr>
            </w:pPr>
            <w:r>
              <w:rPr>
                <w:rFonts w:hint="eastAsia"/>
                <w:sz w:val="24"/>
                <w:szCs w:val="24"/>
              </w:rPr>
              <w:t>环</w:t>
            </w:r>
          </w:p>
          <w:p>
            <w:pPr>
              <w:spacing w:line="440" w:lineRule="exact"/>
              <w:jc w:val="center"/>
              <w:rPr>
                <w:sz w:val="24"/>
                <w:szCs w:val="24"/>
              </w:rPr>
            </w:pPr>
            <w:r>
              <w:rPr>
                <w:rFonts w:hint="eastAsia"/>
                <w:sz w:val="24"/>
                <w:szCs w:val="24"/>
              </w:rPr>
              <w:t>境</w:t>
            </w:r>
          </w:p>
          <w:p>
            <w:pPr>
              <w:spacing w:line="440" w:lineRule="exact"/>
              <w:jc w:val="center"/>
              <w:rPr>
                <w:sz w:val="24"/>
                <w:szCs w:val="24"/>
              </w:rPr>
            </w:pPr>
            <w:r>
              <w:rPr>
                <w:rFonts w:hint="eastAsia"/>
                <w:sz w:val="24"/>
                <w:szCs w:val="24"/>
              </w:rPr>
              <w:t>保</w:t>
            </w:r>
          </w:p>
          <w:p>
            <w:pPr>
              <w:spacing w:line="440" w:lineRule="exact"/>
              <w:jc w:val="center"/>
              <w:rPr>
                <w:sz w:val="24"/>
                <w:szCs w:val="24"/>
              </w:rPr>
            </w:pPr>
            <w:r>
              <w:rPr>
                <w:rFonts w:hint="eastAsia"/>
                <w:sz w:val="24"/>
                <w:szCs w:val="24"/>
              </w:rPr>
              <w:t>护</w:t>
            </w:r>
          </w:p>
          <w:p>
            <w:pPr>
              <w:spacing w:line="440" w:lineRule="exact"/>
              <w:jc w:val="center"/>
              <w:rPr>
                <w:sz w:val="24"/>
                <w:szCs w:val="24"/>
              </w:rPr>
            </w:pPr>
            <w:r>
              <w:rPr>
                <w:rFonts w:hint="eastAsia"/>
                <w:sz w:val="24"/>
                <w:szCs w:val="24"/>
              </w:rPr>
              <w:t>目</w:t>
            </w:r>
          </w:p>
          <w:p>
            <w:pPr>
              <w:spacing w:line="440" w:lineRule="exact"/>
              <w:jc w:val="center"/>
              <w:rPr>
                <w:sz w:val="21"/>
                <w:szCs w:val="21"/>
              </w:rPr>
            </w:pPr>
            <w:r>
              <w:rPr>
                <w:rFonts w:hint="eastAsia"/>
                <w:sz w:val="24"/>
                <w:szCs w:val="24"/>
              </w:rPr>
              <w:t>标</w:t>
            </w:r>
          </w:p>
        </w:tc>
        <w:tc>
          <w:tcPr>
            <w:tcW w:w="8553" w:type="dxa"/>
            <w:tcBorders>
              <w:tl2br w:val="nil"/>
              <w:tr2bl w:val="nil"/>
            </w:tcBorders>
            <w:vAlign w:val="center"/>
          </w:tcPr>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1、大气环境</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sz w:val="24"/>
              </w:rPr>
            </w:pPr>
            <w:r>
              <w:rPr>
                <w:sz w:val="24"/>
              </w:rPr>
              <w:t>根据调查，项目厂界外500米范围内</w:t>
            </w:r>
            <w:r>
              <w:rPr>
                <w:rFonts w:hint="eastAsia"/>
                <w:sz w:val="24"/>
                <w:lang w:val="en-US" w:eastAsia="zh-CN"/>
              </w:rPr>
              <w:t>无</w:t>
            </w:r>
            <w:r>
              <w:rPr>
                <w:sz w:val="24"/>
              </w:rPr>
              <w:t>大气环境保护目标</w:t>
            </w:r>
            <w:r>
              <w:rPr>
                <w:bCs/>
                <w:sz w:val="24"/>
              </w:rPr>
              <w:t>。</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2、声环境</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eastAsia="zh-CN"/>
              </w:rPr>
              <w:t>本项目厂界外</w:t>
            </w:r>
            <w:r>
              <w:rPr>
                <w:rFonts w:hint="eastAsia" w:ascii="Times New Roman" w:hAnsi="Times New Roman" w:eastAsia="宋体" w:cs="Times New Roman"/>
                <w:sz w:val="24"/>
                <w:lang w:val="en-US" w:eastAsia="zh-CN"/>
              </w:rPr>
              <w:t>50米范围内无声环境保护目标。</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3、地下水环境</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eastAsia="zh-CN"/>
              </w:rPr>
              <w:t>本项目厂界外</w:t>
            </w:r>
            <w:r>
              <w:rPr>
                <w:rFonts w:hint="eastAsia" w:ascii="Times New Roman" w:hAnsi="Times New Roman" w:eastAsia="宋体" w:cs="Times New Roman"/>
                <w:sz w:val="24"/>
                <w:lang w:val="en-US" w:eastAsia="zh-CN"/>
              </w:rPr>
              <w:t>500米范围内无地下水集中式饮用水水源和热水、矿泉水、温泉等特殊地下水资源。</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4、生态环境</w:t>
            </w:r>
          </w:p>
          <w:p>
            <w:pPr>
              <w:keepNext w:val="0"/>
              <w:keepLines w:val="0"/>
              <w:pageBreakBefore w:val="0"/>
              <w:widowControl w:val="0"/>
              <w:kinsoku/>
              <w:wordWrap/>
              <w:overflowPunct/>
              <w:topLinePunct w:val="0"/>
              <w:autoSpaceDE/>
              <w:autoSpaceDN/>
              <w:bidi w:val="0"/>
              <w:snapToGrid w:val="0"/>
              <w:spacing w:line="520" w:lineRule="exact"/>
              <w:ind w:firstLine="480" w:firstLineChars="200"/>
              <w:textAlignment w:val="auto"/>
              <w:rPr>
                <w:color w:val="000000"/>
                <w:sz w:val="21"/>
                <w:szCs w:val="21"/>
              </w:rPr>
            </w:pPr>
            <w:r>
              <w:rPr>
                <w:rFonts w:hint="eastAsia" w:ascii="Times New Roman" w:hAnsi="Times New Roman" w:eastAsia="宋体" w:cs="Times New Roman"/>
                <w:sz w:val="24"/>
                <w:lang w:val="en-US" w:eastAsia="zh-CN"/>
              </w:rPr>
              <w:t>本项目厂区范围内无生态环境保护目标。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tcBorders>
              <w:tl2br w:val="nil"/>
              <w:tr2bl w:val="nil"/>
            </w:tcBorders>
            <w:vAlign w:val="center"/>
          </w:tcPr>
          <w:p>
            <w:pPr>
              <w:spacing w:line="440" w:lineRule="exact"/>
              <w:jc w:val="center"/>
              <w:rPr>
                <w:sz w:val="24"/>
                <w:szCs w:val="24"/>
              </w:rPr>
            </w:pPr>
            <w:r>
              <w:rPr>
                <w:rFonts w:hint="eastAsia"/>
                <w:sz w:val="24"/>
                <w:szCs w:val="24"/>
              </w:rPr>
              <w:t>污</w:t>
            </w:r>
          </w:p>
          <w:p>
            <w:pPr>
              <w:spacing w:line="440" w:lineRule="exact"/>
              <w:jc w:val="center"/>
              <w:rPr>
                <w:sz w:val="24"/>
                <w:szCs w:val="24"/>
              </w:rPr>
            </w:pPr>
            <w:r>
              <w:rPr>
                <w:rFonts w:hint="eastAsia"/>
                <w:sz w:val="24"/>
                <w:szCs w:val="24"/>
              </w:rPr>
              <w:t>染</w:t>
            </w:r>
          </w:p>
          <w:p>
            <w:pPr>
              <w:spacing w:line="440" w:lineRule="exact"/>
              <w:jc w:val="center"/>
              <w:rPr>
                <w:sz w:val="24"/>
                <w:szCs w:val="24"/>
              </w:rPr>
            </w:pPr>
            <w:r>
              <w:rPr>
                <w:rFonts w:hint="eastAsia"/>
                <w:sz w:val="24"/>
                <w:szCs w:val="24"/>
              </w:rPr>
              <w:t>物</w:t>
            </w:r>
          </w:p>
          <w:p>
            <w:pPr>
              <w:spacing w:line="440" w:lineRule="exact"/>
              <w:jc w:val="center"/>
              <w:rPr>
                <w:sz w:val="24"/>
                <w:szCs w:val="24"/>
              </w:rPr>
            </w:pPr>
            <w:r>
              <w:rPr>
                <w:rFonts w:hint="eastAsia"/>
                <w:sz w:val="24"/>
                <w:szCs w:val="24"/>
              </w:rPr>
              <w:t>排</w:t>
            </w:r>
          </w:p>
          <w:p>
            <w:pPr>
              <w:spacing w:line="440" w:lineRule="exact"/>
              <w:jc w:val="center"/>
              <w:rPr>
                <w:sz w:val="24"/>
                <w:szCs w:val="24"/>
              </w:rPr>
            </w:pPr>
            <w:r>
              <w:rPr>
                <w:rFonts w:hint="eastAsia"/>
                <w:sz w:val="24"/>
                <w:szCs w:val="24"/>
              </w:rPr>
              <w:t>放</w:t>
            </w:r>
          </w:p>
          <w:p>
            <w:pPr>
              <w:spacing w:line="440" w:lineRule="exact"/>
              <w:jc w:val="center"/>
              <w:rPr>
                <w:sz w:val="24"/>
                <w:szCs w:val="24"/>
              </w:rPr>
            </w:pPr>
            <w:r>
              <w:rPr>
                <w:rFonts w:hint="eastAsia"/>
                <w:sz w:val="24"/>
                <w:szCs w:val="24"/>
              </w:rPr>
              <w:t>控</w:t>
            </w:r>
          </w:p>
          <w:p>
            <w:pPr>
              <w:spacing w:line="440" w:lineRule="exact"/>
              <w:jc w:val="center"/>
              <w:rPr>
                <w:sz w:val="24"/>
                <w:szCs w:val="24"/>
              </w:rPr>
            </w:pPr>
            <w:r>
              <w:rPr>
                <w:rFonts w:hint="eastAsia"/>
                <w:sz w:val="24"/>
                <w:szCs w:val="24"/>
              </w:rPr>
              <w:t>制</w:t>
            </w:r>
          </w:p>
          <w:p>
            <w:pPr>
              <w:spacing w:line="440" w:lineRule="exact"/>
              <w:jc w:val="center"/>
              <w:rPr>
                <w:sz w:val="24"/>
                <w:szCs w:val="24"/>
              </w:rPr>
            </w:pPr>
            <w:r>
              <w:rPr>
                <w:rFonts w:hint="eastAsia"/>
                <w:sz w:val="24"/>
                <w:szCs w:val="24"/>
              </w:rPr>
              <w:t>标</w:t>
            </w:r>
          </w:p>
          <w:p>
            <w:pPr>
              <w:spacing w:line="440" w:lineRule="exact"/>
              <w:jc w:val="center"/>
              <w:rPr>
                <w:sz w:val="21"/>
                <w:szCs w:val="21"/>
              </w:rPr>
            </w:pPr>
            <w:r>
              <w:rPr>
                <w:rFonts w:hint="eastAsia"/>
                <w:sz w:val="24"/>
                <w:szCs w:val="24"/>
              </w:rPr>
              <w:t>准</w:t>
            </w:r>
          </w:p>
        </w:tc>
        <w:tc>
          <w:tcPr>
            <w:tcW w:w="855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baseline"/>
              <w:rPr>
                <w:b/>
                <w:sz w:val="24"/>
                <w:szCs w:val="24"/>
              </w:rPr>
            </w:pPr>
            <w:r>
              <w:rPr>
                <w:rFonts w:hint="eastAsia"/>
                <w:b/>
                <w:sz w:val="24"/>
                <w:szCs w:val="24"/>
              </w:rPr>
              <w:t>1、废气</w:t>
            </w:r>
          </w:p>
          <w:p>
            <w:pPr>
              <w:pStyle w:val="40"/>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表3-</w:t>
            </w:r>
            <w:r>
              <w:rPr>
                <w:rFonts w:hint="eastAsia" w:ascii="Times New Roman" w:hAnsi="Times New Roman" w:cs="Times New Roman"/>
                <w:b/>
                <w:bCs/>
                <w:color w:val="000000"/>
                <w:sz w:val="24"/>
                <w:szCs w:val="24"/>
                <w:lang w:val="en-US" w:eastAsia="zh-CN"/>
              </w:rPr>
              <w:t>6</w:t>
            </w:r>
            <w:r>
              <w:rPr>
                <w:rFonts w:hint="eastAsia" w:ascii="Times New Roman" w:hAnsi="Times New Roman" w:eastAsia="宋体" w:cs="Times New Roman"/>
                <w:b/>
                <w:bCs/>
                <w:color w:val="000000"/>
                <w:sz w:val="24"/>
                <w:szCs w:val="24"/>
                <w:lang w:val="en-US" w:eastAsia="zh-CN"/>
              </w:rPr>
              <w:t xml:space="preserve">   废气排放限值一览表</w:t>
            </w:r>
          </w:p>
          <w:tbl>
            <w:tblPr>
              <w:tblStyle w:val="25"/>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1"/>
              <w:gridCol w:w="2962"/>
              <w:gridCol w:w="1412"/>
              <w:gridCol w:w="2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51" w:type="dxa"/>
                  <w:tcBorders>
                    <w:tl2br w:val="nil"/>
                    <w:tr2bl w:val="nil"/>
                  </w:tcBorders>
                  <w:vAlign w:val="center"/>
                </w:tcPr>
                <w:p>
                  <w:pPr>
                    <w:adjustRightInd w:val="0"/>
                    <w:snapToGrid w:val="0"/>
                    <w:jc w:val="center"/>
                    <w:rPr>
                      <w:rFonts w:ascii="Times New Roman" w:hAnsi="宋体" w:eastAsia="宋体" w:cs="Times New Roman"/>
                      <w:b/>
                      <w:bCs/>
                      <w:kern w:val="0"/>
                      <w:sz w:val="21"/>
                      <w:szCs w:val="21"/>
                    </w:rPr>
                  </w:pPr>
                  <w:r>
                    <w:rPr>
                      <w:rFonts w:ascii="Times New Roman" w:hAnsi="宋体" w:eastAsia="宋体" w:cs="Times New Roman"/>
                      <w:b/>
                      <w:bCs/>
                      <w:kern w:val="0"/>
                      <w:sz w:val="21"/>
                      <w:szCs w:val="21"/>
                    </w:rPr>
                    <w:t>污染类别</w:t>
                  </w:r>
                </w:p>
              </w:tc>
              <w:tc>
                <w:tcPr>
                  <w:tcW w:w="2962" w:type="dxa"/>
                  <w:tcBorders>
                    <w:tl2br w:val="nil"/>
                    <w:tr2bl w:val="nil"/>
                  </w:tcBorders>
                  <w:vAlign w:val="center"/>
                </w:tcPr>
                <w:p>
                  <w:pPr>
                    <w:adjustRightInd w:val="0"/>
                    <w:snapToGrid w:val="0"/>
                    <w:jc w:val="center"/>
                    <w:rPr>
                      <w:rFonts w:ascii="Times New Roman" w:hAnsi="宋体" w:eastAsia="宋体" w:cs="Times New Roman"/>
                      <w:b/>
                      <w:bCs/>
                      <w:kern w:val="0"/>
                      <w:sz w:val="21"/>
                      <w:szCs w:val="21"/>
                    </w:rPr>
                  </w:pPr>
                  <w:r>
                    <w:rPr>
                      <w:rFonts w:ascii="Times New Roman" w:hAnsi="宋体" w:eastAsia="宋体" w:cs="Times New Roman"/>
                      <w:b/>
                      <w:bCs/>
                      <w:kern w:val="0"/>
                      <w:sz w:val="21"/>
                      <w:szCs w:val="21"/>
                    </w:rPr>
                    <w:t>标准名称及级（类）别</w:t>
                  </w:r>
                </w:p>
              </w:tc>
              <w:tc>
                <w:tcPr>
                  <w:tcW w:w="1412" w:type="dxa"/>
                  <w:tcBorders>
                    <w:tl2br w:val="nil"/>
                    <w:tr2bl w:val="nil"/>
                  </w:tcBorders>
                  <w:vAlign w:val="center"/>
                </w:tcPr>
                <w:p>
                  <w:pPr>
                    <w:adjustRightInd w:val="0"/>
                    <w:snapToGrid w:val="0"/>
                    <w:jc w:val="center"/>
                    <w:rPr>
                      <w:rFonts w:ascii="Times New Roman" w:hAnsi="宋体" w:eastAsia="宋体" w:cs="Times New Roman"/>
                      <w:b/>
                      <w:bCs/>
                      <w:kern w:val="0"/>
                      <w:sz w:val="21"/>
                      <w:szCs w:val="21"/>
                    </w:rPr>
                  </w:pPr>
                  <w:r>
                    <w:rPr>
                      <w:rFonts w:ascii="Times New Roman" w:hAnsi="宋体" w:eastAsia="宋体" w:cs="Times New Roman"/>
                      <w:b/>
                      <w:bCs/>
                      <w:kern w:val="0"/>
                      <w:sz w:val="21"/>
                      <w:szCs w:val="21"/>
                    </w:rPr>
                    <w:t>污染因子</w:t>
                  </w:r>
                </w:p>
              </w:tc>
              <w:tc>
                <w:tcPr>
                  <w:tcW w:w="2673" w:type="dxa"/>
                  <w:tcBorders>
                    <w:tl2br w:val="nil"/>
                    <w:tr2bl w:val="nil"/>
                  </w:tcBorders>
                  <w:vAlign w:val="center"/>
                </w:tcPr>
                <w:p>
                  <w:pPr>
                    <w:adjustRightInd w:val="0"/>
                    <w:snapToGrid w:val="0"/>
                    <w:jc w:val="center"/>
                    <w:rPr>
                      <w:rFonts w:ascii="Times New Roman" w:hAnsi="宋体" w:eastAsia="宋体" w:cs="Times New Roman"/>
                      <w:b/>
                      <w:bCs/>
                      <w:kern w:val="0"/>
                      <w:sz w:val="21"/>
                      <w:szCs w:val="21"/>
                    </w:rPr>
                  </w:pPr>
                  <w:r>
                    <w:rPr>
                      <w:rFonts w:ascii="Times New Roman" w:hAnsi="宋体" w:eastAsia="宋体" w:cs="Times New Roman"/>
                      <w:b/>
                      <w:bCs/>
                      <w:kern w:val="0"/>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151" w:type="dxa"/>
                  <w:vMerge w:val="restart"/>
                  <w:tcBorders>
                    <w:tl2br w:val="nil"/>
                    <w:tr2bl w:val="nil"/>
                  </w:tcBorders>
                  <w:vAlign w:val="center"/>
                </w:tcPr>
                <w:p>
                  <w:pPr>
                    <w:snapToGrid w:val="0"/>
                    <w:jc w:val="center"/>
                    <w:rPr>
                      <w:color w:val="000000"/>
                      <w:sz w:val="21"/>
                      <w:szCs w:val="21"/>
                    </w:rPr>
                  </w:pPr>
                  <w:r>
                    <w:rPr>
                      <w:rFonts w:hint="eastAsia"/>
                      <w:color w:val="000000"/>
                      <w:sz w:val="21"/>
                      <w:szCs w:val="21"/>
                    </w:rPr>
                    <w:t>废气</w:t>
                  </w:r>
                </w:p>
              </w:tc>
              <w:tc>
                <w:tcPr>
                  <w:tcW w:w="2962" w:type="dxa"/>
                  <w:vMerge w:val="restart"/>
                  <w:tcBorders>
                    <w:tl2br w:val="nil"/>
                    <w:tr2bl w:val="nil"/>
                  </w:tcBorders>
                  <w:vAlign w:val="center"/>
                </w:tcPr>
                <w:p>
                  <w:pPr>
                    <w:snapToGrid w:val="0"/>
                    <w:rPr>
                      <w:color w:val="000000"/>
                      <w:sz w:val="21"/>
                      <w:szCs w:val="21"/>
                    </w:rPr>
                  </w:pPr>
                  <w:r>
                    <w:rPr>
                      <w:color w:val="000000"/>
                      <w:sz w:val="21"/>
                      <w:szCs w:val="21"/>
                    </w:rPr>
                    <w:t>《关于全省开展工业企业挥发性有机物专项治理工作中排放建议值的通知》（豫环攻坚办[2017]162号）文要求的其他行业</w:t>
                  </w:r>
                </w:p>
              </w:tc>
              <w:tc>
                <w:tcPr>
                  <w:tcW w:w="1412" w:type="dxa"/>
                  <w:vMerge w:val="restart"/>
                  <w:tcBorders>
                    <w:tl2br w:val="nil"/>
                    <w:tr2bl w:val="nil"/>
                  </w:tcBorders>
                  <w:vAlign w:val="center"/>
                </w:tcPr>
                <w:p>
                  <w:pPr>
                    <w:snapToGrid w:val="0"/>
                    <w:jc w:val="center"/>
                    <w:rPr>
                      <w:color w:val="000000"/>
                      <w:sz w:val="21"/>
                      <w:szCs w:val="21"/>
                    </w:rPr>
                  </w:pPr>
                  <w:r>
                    <w:rPr>
                      <w:rFonts w:hint="eastAsia"/>
                      <w:color w:val="000000"/>
                      <w:sz w:val="21"/>
                      <w:szCs w:val="21"/>
                    </w:rPr>
                    <w:t>非甲烷总烃</w:t>
                  </w:r>
                </w:p>
              </w:tc>
              <w:tc>
                <w:tcPr>
                  <w:tcW w:w="2673" w:type="dxa"/>
                  <w:tcBorders>
                    <w:tl2br w:val="nil"/>
                    <w:tr2bl w:val="nil"/>
                  </w:tcBorders>
                  <w:vAlign w:val="center"/>
                </w:tcPr>
                <w:p>
                  <w:pPr>
                    <w:snapToGrid w:val="0"/>
                    <w:jc w:val="center"/>
                    <w:rPr>
                      <w:color w:val="000000"/>
                      <w:sz w:val="21"/>
                      <w:szCs w:val="21"/>
                    </w:rPr>
                  </w:pPr>
                  <w:r>
                    <w:rPr>
                      <w:rFonts w:hint="eastAsia"/>
                      <w:color w:val="000000"/>
                      <w:sz w:val="21"/>
                      <w:szCs w:val="21"/>
                    </w:rPr>
                    <w:t>厂界2mg/m</w:t>
                  </w:r>
                  <w:r>
                    <w:rPr>
                      <w:rFonts w:hint="eastAsia"/>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51" w:type="dxa"/>
                  <w:vMerge w:val="continue"/>
                  <w:tcBorders>
                    <w:tl2br w:val="nil"/>
                    <w:tr2bl w:val="nil"/>
                  </w:tcBorders>
                  <w:vAlign w:val="center"/>
                </w:tcPr>
                <w:p>
                  <w:pPr>
                    <w:snapToGrid w:val="0"/>
                    <w:jc w:val="center"/>
                    <w:rPr>
                      <w:color w:val="000000"/>
                      <w:sz w:val="21"/>
                      <w:szCs w:val="21"/>
                    </w:rPr>
                  </w:pPr>
                </w:p>
              </w:tc>
              <w:tc>
                <w:tcPr>
                  <w:tcW w:w="2962" w:type="dxa"/>
                  <w:vMerge w:val="continue"/>
                  <w:tcBorders>
                    <w:tl2br w:val="nil"/>
                    <w:tr2bl w:val="nil"/>
                  </w:tcBorders>
                  <w:vAlign w:val="center"/>
                </w:tcPr>
                <w:p>
                  <w:pPr>
                    <w:snapToGrid w:val="0"/>
                    <w:jc w:val="center"/>
                    <w:rPr>
                      <w:color w:val="000000"/>
                      <w:sz w:val="21"/>
                      <w:szCs w:val="21"/>
                    </w:rPr>
                  </w:pPr>
                </w:p>
              </w:tc>
              <w:tc>
                <w:tcPr>
                  <w:tcW w:w="1412" w:type="dxa"/>
                  <w:vMerge w:val="continue"/>
                  <w:tcBorders>
                    <w:tl2br w:val="nil"/>
                    <w:tr2bl w:val="nil"/>
                  </w:tcBorders>
                  <w:vAlign w:val="center"/>
                </w:tcPr>
                <w:p>
                  <w:pPr>
                    <w:snapToGrid w:val="0"/>
                    <w:jc w:val="center"/>
                    <w:rPr>
                      <w:color w:val="000000"/>
                      <w:sz w:val="21"/>
                      <w:szCs w:val="21"/>
                    </w:rPr>
                  </w:pPr>
                </w:p>
              </w:tc>
              <w:tc>
                <w:tcPr>
                  <w:tcW w:w="2673" w:type="dxa"/>
                  <w:tcBorders>
                    <w:tl2br w:val="nil"/>
                    <w:tr2bl w:val="nil"/>
                  </w:tcBorders>
                  <w:vAlign w:val="center"/>
                </w:tcPr>
                <w:p>
                  <w:pPr>
                    <w:snapToGrid w:val="0"/>
                    <w:jc w:val="center"/>
                    <w:rPr>
                      <w:color w:val="000000"/>
                      <w:sz w:val="21"/>
                      <w:szCs w:val="21"/>
                    </w:rPr>
                  </w:pPr>
                  <w:r>
                    <w:rPr>
                      <w:rFonts w:hint="eastAsia"/>
                      <w:color w:val="000000"/>
                      <w:sz w:val="21"/>
                      <w:szCs w:val="21"/>
                    </w:rPr>
                    <w:t>生产车间边界4mg/m</w:t>
                  </w:r>
                  <w:r>
                    <w:rPr>
                      <w:rFonts w:hint="eastAsia"/>
                      <w:color w:val="000000"/>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151" w:type="dxa"/>
                  <w:vMerge w:val="continue"/>
                  <w:tcBorders>
                    <w:tl2br w:val="nil"/>
                    <w:tr2bl w:val="nil"/>
                  </w:tcBorders>
                  <w:vAlign w:val="center"/>
                </w:tcPr>
                <w:p>
                  <w:pPr>
                    <w:snapToGrid w:val="0"/>
                    <w:jc w:val="center"/>
                    <w:rPr>
                      <w:color w:val="000000"/>
                      <w:sz w:val="21"/>
                      <w:szCs w:val="21"/>
                    </w:rPr>
                  </w:pPr>
                </w:p>
              </w:tc>
              <w:tc>
                <w:tcPr>
                  <w:tcW w:w="2962" w:type="dxa"/>
                  <w:vMerge w:val="continue"/>
                  <w:tcBorders>
                    <w:tl2br w:val="nil"/>
                    <w:tr2bl w:val="nil"/>
                  </w:tcBorders>
                  <w:vAlign w:val="center"/>
                </w:tcPr>
                <w:p>
                  <w:pPr>
                    <w:tabs>
                      <w:tab w:val="left" w:pos="792"/>
                    </w:tabs>
                    <w:snapToGrid w:val="0"/>
                    <w:jc w:val="center"/>
                    <w:rPr>
                      <w:sz w:val="21"/>
                      <w:szCs w:val="21"/>
                    </w:rPr>
                  </w:pPr>
                </w:p>
              </w:tc>
              <w:tc>
                <w:tcPr>
                  <w:tcW w:w="1412" w:type="dxa"/>
                  <w:vMerge w:val="continue"/>
                  <w:tcBorders>
                    <w:tl2br w:val="nil"/>
                    <w:tr2bl w:val="nil"/>
                  </w:tcBorders>
                  <w:vAlign w:val="center"/>
                </w:tcPr>
                <w:p>
                  <w:pPr>
                    <w:snapToGrid w:val="0"/>
                    <w:jc w:val="center"/>
                    <w:rPr>
                      <w:sz w:val="21"/>
                      <w:szCs w:val="21"/>
                    </w:rPr>
                  </w:pPr>
                </w:p>
              </w:tc>
              <w:tc>
                <w:tcPr>
                  <w:tcW w:w="2673" w:type="dxa"/>
                  <w:tcBorders>
                    <w:tl2br w:val="nil"/>
                    <w:tr2bl w:val="nil"/>
                  </w:tcBorders>
                  <w:vAlign w:val="center"/>
                </w:tcPr>
                <w:p>
                  <w:pPr>
                    <w:snapToGrid w:val="0"/>
                    <w:jc w:val="center"/>
                    <w:rPr>
                      <w:sz w:val="21"/>
                      <w:szCs w:val="21"/>
                    </w:rPr>
                  </w:pPr>
                  <w:r>
                    <w:rPr>
                      <w:rFonts w:hint="eastAsia"/>
                      <w:sz w:val="21"/>
                      <w:szCs w:val="21"/>
                    </w:rPr>
                    <w:t>排放浓度80</w:t>
                  </w:r>
                  <w:r>
                    <w:rPr>
                      <w:rFonts w:hint="eastAsia"/>
                      <w:color w:val="000000"/>
                      <w:sz w:val="21"/>
                      <w:szCs w:val="21"/>
                    </w:rPr>
                    <w:t>mg/m</w:t>
                  </w:r>
                  <w:r>
                    <w:rPr>
                      <w:rFonts w:hint="eastAsia"/>
                      <w:color w:val="000000"/>
                      <w:sz w:val="21"/>
                      <w:szCs w:val="21"/>
                      <w:vertAlign w:val="superscript"/>
                    </w:rPr>
                    <w:t>3</w:t>
                  </w:r>
                  <w:r>
                    <w:rPr>
                      <w:rFonts w:hint="eastAsia"/>
                      <w:color w:val="000000"/>
                      <w:sz w:val="21"/>
                      <w:szCs w:val="21"/>
                    </w:rPr>
                    <w:t>，处理效率≥70%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51" w:type="dxa"/>
                  <w:vMerge w:val="continue"/>
                  <w:tcBorders>
                    <w:tl2br w:val="nil"/>
                    <w:tr2bl w:val="nil"/>
                  </w:tcBorders>
                  <w:vAlign w:val="center"/>
                </w:tcPr>
                <w:p>
                  <w:pPr>
                    <w:snapToGrid w:val="0"/>
                    <w:jc w:val="center"/>
                    <w:rPr>
                      <w:color w:val="000000"/>
                      <w:sz w:val="21"/>
                      <w:szCs w:val="21"/>
                    </w:rPr>
                  </w:pPr>
                </w:p>
              </w:tc>
              <w:tc>
                <w:tcPr>
                  <w:tcW w:w="2962" w:type="dxa"/>
                  <w:vMerge w:val="restart"/>
                  <w:tcBorders>
                    <w:tl2br w:val="nil"/>
                    <w:tr2bl w:val="nil"/>
                  </w:tcBorders>
                  <w:vAlign w:val="center"/>
                </w:tcPr>
                <w:p>
                  <w:pPr>
                    <w:tabs>
                      <w:tab w:val="left" w:pos="792"/>
                    </w:tabs>
                    <w:snapToGrid w:val="0"/>
                    <w:jc w:val="center"/>
                    <w:rPr>
                      <w:sz w:val="21"/>
                      <w:szCs w:val="21"/>
                    </w:rPr>
                  </w:pPr>
                  <w:r>
                    <w:rPr>
                      <w:rFonts w:hint="eastAsia"/>
                      <w:sz w:val="21"/>
                      <w:szCs w:val="21"/>
                    </w:rPr>
                    <w:t>《大气污染物综合排放标准》（GB16297-1996）表2二级</w:t>
                  </w:r>
                </w:p>
              </w:tc>
              <w:tc>
                <w:tcPr>
                  <w:tcW w:w="1412" w:type="dxa"/>
                  <w:tcBorders>
                    <w:tl2br w:val="nil"/>
                    <w:tr2bl w:val="nil"/>
                  </w:tcBorders>
                  <w:vAlign w:val="center"/>
                </w:tcPr>
                <w:p>
                  <w:pPr>
                    <w:snapToGrid w:val="0"/>
                    <w:jc w:val="center"/>
                    <w:rPr>
                      <w:sz w:val="21"/>
                      <w:szCs w:val="21"/>
                    </w:rPr>
                  </w:pPr>
                  <w:r>
                    <w:rPr>
                      <w:rFonts w:hint="eastAsia"/>
                      <w:color w:val="000000"/>
                      <w:sz w:val="21"/>
                      <w:szCs w:val="21"/>
                    </w:rPr>
                    <w:t>非甲烷总烃</w:t>
                  </w:r>
                </w:p>
              </w:tc>
              <w:tc>
                <w:tcPr>
                  <w:tcW w:w="2673" w:type="dxa"/>
                  <w:tcBorders>
                    <w:tl2br w:val="nil"/>
                    <w:tr2bl w:val="nil"/>
                  </w:tcBorders>
                  <w:vAlign w:val="center"/>
                </w:tcPr>
                <w:p>
                  <w:pPr>
                    <w:snapToGrid w:val="0"/>
                    <w:jc w:val="center"/>
                    <w:rPr>
                      <w:sz w:val="21"/>
                      <w:szCs w:val="21"/>
                    </w:rPr>
                  </w:pPr>
                  <w:r>
                    <w:rPr>
                      <w:rFonts w:hint="eastAsia"/>
                      <w:sz w:val="21"/>
                      <w:szCs w:val="21"/>
                    </w:rPr>
                    <w:t>排放速率</w:t>
                  </w:r>
                  <w:r>
                    <w:rPr>
                      <w:rFonts w:hint="eastAsia"/>
                      <w:sz w:val="21"/>
                      <w:szCs w:val="21"/>
                      <w:lang w:val="en-US" w:eastAsia="zh-CN"/>
                    </w:rPr>
                    <w:t>10.0</w:t>
                  </w:r>
                  <w:r>
                    <w:rPr>
                      <w:rFonts w:hint="eastAsia"/>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51" w:type="dxa"/>
                  <w:vMerge w:val="continue"/>
                  <w:tcBorders>
                    <w:tl2br w:val="nil"/>
                    <w:tr2bl w:val="nil"/>
                  </w:tcBorders>
                  <w:vAlign w:val="center"/>
                </w:tcPr>
                <w:p>
                  <w:pPr>
                    <w:snapToGrid w:val="0"/>
                    <w:jc w:val="center"/>
                    <w:rPr>
                      <w:color w:val="000000"/>
                      <w:sz w:val="21"/>
                      <w:szCs w:val="21"/>
                    </w:rPr>
                  </w:pPr>
                </w:p>
              </w:tc>
              <w:tc>
                <w:tcPr>
                  <w:tcW w:w="2962" w:type="dxa"/>
                  <w:vMerge w:val="continue"/>
                  <w:tcBorders>
                    <w:tl2br w:val="nil"/>
                    <w:tr2bl w:val="nil"/>
                  </w:tcBorders>
                  <w:vAlign w:val="center"/>
                </w:tcPr>
                <w:p>
                  <w:pPr>
                    <w:tabs>
                      <w:tab w:val="left" w:pos="792"/>
                    </w:tabs>
                    <w:snapToGrid w:val="0"/>
                    <w:jc w:val="center"/>
                    <w:rPr>
                      <w:rFonts w:hint="eastAsia"/>
                      <w:sz w:val="21"/>
                      <w:szCs w:val="21"/>
                    </w:rPr>
                  </w:pPr>
                </w:p>
              </w:tc>
              <w:tc>
                <w:tcPr>
                  <w:tcW w:w="1412" w:type="dxa"/>
                  <w:vMerge w:val="restart"/>
                  <w:tcBorders>
                    <w:tl2br w:val="nil"/>
                    <w:tr2bl w:val="nil"/>
                  </w:tcBorders>
                  <w:vAlign w:val="center"/>
                </w:tcPr>
                <w:p>
                  <w:pPr>
                    <w:snapToGrid w:val="0"/>
                    <w:jc w:val="center"/>
                    <w:rPr>
                      <w:rFonts w:hint="default" w:eastAsia="宋体"/>
                      <w:color w:val="000000"/>
                      <w:sz w:val="21"/>
                      <w:szCs w:val="21"/>
                      <w:lang w:val="en-US" w:eastAsia="zh-CN"/>
                    </w:rPr>
                  </w:pPr>
                  <w:r>
                    <w:rPr>
                      <w:rFonts w:hint="eastAsia"/>
                      <w:color w:val="000000"/>
                      <w:sz w:val="21"/>
                      <w:szCs w:val="21"/>
                      <w:lang w:val="en-US" w:eastAsia="zh-CN"/>
                    </w:rPr>
                    <w:t>氯化氢</w:t>
                  </w:r>
                </w:p>
              </w:tc>
              <w:tc>
                <w:tcPr>
                  <w:tcW w:w="2673" w:type="dxa"/>
                  <w:tcBorders>
                    <w:tl2br w:val="nil"/>
                    <w:tr2bl w:val="nil"/>
                  </w:tcBorders>
                  <w:vAlign w:val="center"/>
                </w:tcPr>
                <w:p>
                  <w:pPr>
                    <w:snapToGrid w:val="0"/>
                    <w:jc w:val="center"/>
                    <w:rPr>
                      <w:rFonts w:hint="eastAsia"/>
                      <w:sz w:val="21"/>
                      <w:szCs w:val="21"/>
                    </w:rPr>
                  </w:pPr>
                  <w:r>
                    <w:rPr>
                      <w:rFonts w:hint="eastAsia"/>
                      <w:sz w:val="21"/>
                      <w:szCs w:val="21"/>
                      <w:lang w:val="en-US" w:eastAsia="zh-CN"/>
                    </w:rPr>
                    <w:t>10</w:t>
                  </w:r>
                  <w:r>
                    <w:rPr>
                      <w:rFonts w:hint="eastAsia"/>
                      <w:sz w:val="21"/>
                      <w:szCs w:val="21"/>
                    </w:rPr>
                    <w:t>0</w:t>
                  </w:r>
                  <w:r>
                    <w:rPr>
                      <w:rFonts w:hint="eastAsia"/>
                      <w:color w:val="000000"/>
                      <w:sz w:val="21"/>
                      <w:szCs w:val="21"/>
                    </w:rPr>
                    <w:t>mg/m</w:t>
                  </w:r>
                  <w:r>
                    <w:rPr>
                      <w:rFonts w:hint="eastAsia"/>
                      <w:color w:val="000000"/>
                      <w:sz w:val="21"/>
                      <w:szCs w:val="21"/>
                      <w:vertAlign w:val="superscript"/>
                    </w:rPr>
                    <w:t>3</w:t>
                  </w:r>
                  <w:r>
                    <w:rPr>
                      <w:rFonts w:hint="eastAsia"/>
                      <w:color w:val="000000"/>
                      <w:sz w:val="21"/>
                      <w:szCs w:val="21"/>
                    </w:rPr>
                    <w:t>，</w:t>
                  </w:r>
                  <w:r>
                    <w:rPr>
                      <w:rFonts w:hint="eastAsia"/>
                      <w:sz w:val="21"/>
                      <w:szCs w:val="21"/>
                    </w:rPr>
                    <w:t>排放速率</w:t>
                  </w:r>
                  <w:r>
                    <w:rPr>
                      <w:rFonts w:hint="eastAsia"/>
                      <w:sz w:val="21"/>
                      <w:szCs w:val="21"/>
                      <w:lang w:val="en-US" w:eastAsia="zh-CN"/>
                    </w:rPr>
                    <w:t>0.26</w:t>
                  </w:r>
                  <w:r>
                    <w:rPr>
                      <w:rFonts w:hint="eastAsia"/>
                      <w:sz w:val="21"/>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51" w:type="dxa"/>
                  <w:vMerge w:val="continue"/>
                  <w:tcBorders>
                    <w:tl2br w:val="nil"/>
                    <w:tr2bl w:val="nil"/>
                  </w:tcBorders>
                  <w:vAlign w:val="center"/>
                </w:tcPr>
                <w:p>
                  <w:pPr>
                    <w:snapToGrid w:val="0"/>
                    <w:jc w:val="center"/>
                    <w:rPr>
                      <w:color w:val="000000"/>
                      <w:sz w:val="21"/>
                      <w:szCs w:val="21"/>
                    </w:rPr>
                  </w:pPr>
                </w:p>
              </w:tc>
              <w:tc>
                <w:tcPr>
                  <w:tcW w:w="2962" w:type="dxa"/>
                  <w:vMerge w:val="continue"/>
                  <w:tcBorders>
                    <w:tl2br w:val="nil"/>
                    <w:tr2bl w:val="nil"/>
                  </w:tcBorders>
                  <w:vAlign w:val="center"/>
                </w:tcPr>
                <w:p>
                  <w:pPr>
                    <w:tabs>
                      <w:tab w:val="left" w:pos="792"/>
                    </w:tabs>
                    <w:snapToGrid w:val="0"/>
                    <w:jc w:val="center"/>
                    <w:rPr>
                      <w:rFonts w:hint="eastAsia"/>
                      <w:sz w:val="21"/>
                      <w:szCs w:val="21"/>
                    </w:rPr>
                  </w:pPr>
                </w:p>
              </w:tc>
              <w:tc>
                <w:tcPr>
                  <w:tcW w:w="1412" w:type="dxa"/>
                  <w:vMerge w:val="continue"/>
                  <w:tcBorders>
                    <w:tl2br w:val="nil"/>
                    <w:tr2bl w:val="nil"/>
                  </w:tcBorders>
                  <w:vAlign w:val="center"/>
                </w:tcPr>
                <w:p>
                  <w:pPr>
                    <w:snapToGrid w:val="0"/>
                    <w:jc w:val="center"/>
                    <w:rPr>
                      <w:rFonts w:hint="default" w:eastAsia="宋体"/>
                      <w:color w:val="000000"/>
                      <w:sz w:val="21"/>
                      <w:szCs w:val="21"/>
                      <w:lang w:val="en-US" w:eastAsia="zh-CN"/>
                    </w:rPr>
                  </w:pPr>
                </w:p>
              </w:tc>
              <w:tc>
                <w:tcPr>
                  <w:tcW w:w="2673" w:type="dxa"/>
                  <w:tcBorders>
                    <w:tl2br w:val="nil"/>
                    <w:tr2bl w:val="nil"/>
                  </w:tcBorders>
                  <w:vAlign w:val="center"/>
                </w:tcPr>
                <w:p>
                  <w:pPr>
                    <w:snapToGrid w:val="0"/>
                    <w:jc w:val="center"/>
                    <w:rPr>
                      <w:rFonts w:hint="eastAsia"/>
                      <w:sz w:val="21"/>
                      <w:szCs w:val="21"/>
                    </w:rPr>
                  </w:pPr>
                  <w:r>
                    <w:rPr>
                      <w:rFonts w:hint="eastAsia"/>
                      <w:color w:val="000000"/>
                      <w:sz w:val="21"/>
                      <w:szCs w:val="21"/>
                    </w:rPr>
                    <w:t>厂界</w:t>
                  </w:r>
                  <w:r>
                    <w:rPr>
                      <w:rFonts w:hint="eastAsia"/>
                      <w:color w:val="000000"/>
                      <w:sz w:val="21"/>
                      <w:szCs w:val="21"/>
                      <w:lang w:val="en-US" w:eastAsia="zh-CN"/>
                    </w:rPr>
                    <w:t>浓度0.</w:t>
                  </w:r>
                  <w:r>
                    <w:rPr>
                      <w:rFonts w:hint="eastAsia"/>
                      <w:color w:val="000000"/>
                      <w:sz w:val="21"/>
                      <w:szCs w:val="21"/>
                    </w:rPr>
                    <w:t>2mg/m</w:t>
                  </w:r>
                  <w:r>
                    <w:rPr>
                      <w:rFonts w:hint="eastAsia"/>
                      <w:color w:val="000000"/>
                      <w:sz w:val="21"/>
                      <w:szCs w:val="21"/>
                      <w:vertAlign w:val="superscript"/>
                    </w:rPr>
                    <w:t>3</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baseline"/>
              <w:rPr>
                <w:b/>
                <w:sz w:val="24"/>
                <w:szCs w:val="24"/>
              </w:rPr>
            </w:pPr>
            <w:r>
              <w:rPr>
                <w:rFonts w:hint="eastAsia"/>
                <w:b/>
                <w:sz w:val="24"/>
                <w:szCs w:val="24"/>
              </w:rPr>
              <w:t>2</w:t>
            </w:r>
            <w:r>
              <w:rPr>
                <w:b/>
                <w:sz w:val="24"/>
                <w:szCs w:val="24"/>
              </w:rPr>
              <w:t>、噪声</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rPr>
                <w:sz w:val="24"/>
                <w:szCs w:val="24"/>
              </w:rPr>
            </w:pPr>
            <w:r>
              <w:rPr>
                <w:rFonts w:hint="eastAsia"/>
                <w:sz w:val="24"/>
                <w:szCs w:val="24"/>
              </w:rPr>
              <w:t>运营期各厂界噪声执行《工业企业厂界环境噪声排放标准》（</w:t>
            </w:r>
            <w:r>
              <w:rPr>
                <w:sz w:val="24"/>
                <w:szCs w:val="24"/>
              </w:rPr>
              <w:t>GB12348-2008</w:t>
            </w:r>
            <w:r>
              <w:rPr>
                <w:rFonts w:hint="eastAsia"/>
                <w:sz w:val="24"/>
                <w:szCs w:val="24"/>
              </w:rPr>
              <w:t>）2类标准，具体标准值见下表。</w:t>
            </w:r>
          </w:p>
          <w:p>
            <w:pPr>
              <w:pStyle w:val="40"/>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表3-</w:t>
            </w:r>
            <w:r>
              <w:rPr>
                <w:rFonts w:hint="eastAsia" w:ascii="Times New Roman" w:hAnsi="Times New Roman" w:cs="Times New Roman"/>
                <w:b/>
                <w:bCs/>
                <w:color w:val="000000"/>
                <w:sz w:val="24"/>
                <w:szCs w:val="24"/>
                <w:lang w:val="en-US" w:eastAsia="zh-CN"/>
              </w:rPr>
              <w:t>7</w:t>
            </w:r>
            <w:r>
              <w:rPr>
                <w:rFonts w:hint="eastAsia" w:ascii="Times New Roman" w:hAnsi="Times New Roman" w:eastAsia="宋体" w:cs="Times New Roman"/>
                <w:b/>
                <w:bCs/>
                <w:color w:val="000000"/>
                <w:sz w:val="24"/>
                <w:szCs w:val="24"/>
                <w:lang w:val="en-US" w:eastAsia="zh-CN"/>
              </w:rPr>
              <w:t xml:space="preserve">      工业企业厂界环境噪声排放标准      单位：dB（A）</w:t>
            </w:r>
          </w:p>
          <w:tbl>
            <w:tblPr>
              <w:tblStyle w:val="25"/>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1"/>
              <w:gridCol w:w="4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jc w:val="center"/>
              </w:trPr>
              <w:tc>
                <w:tcPr>
                  <w:tcW w:w="2227" w:type="pct"/>
                  <w:tcBorders>
                    <w:tl2br w:val="nil"/>
                    <w:tr2bl w:val="nil"/>
                  </w:tcBorders>
                  <w:vAlign w:val="center"/>
                </w:tcPr>
                <w:p>
                  <w:pPr>
                    <w:adjustRightInd w:val="0"/>
                    <w:snapToGrid w:val="0"/>
                    <w:jc w:val="center"/>
                    <w:rPr>
                      <w:b/>
                      <w:sz w:val="21"/>
                      <w:szCs w:val="21"/>
                    </w:rPr>
                  </w:pPr>
                  <w:r>
                    <w:rPr>
                      <w:rFonts w:hint="eastAsia"/>
                      <w:b/>
                      <w:sz w:val="21"/>
                      <w:szCs w:val="21"/>
                    </w:rPr>
                    <w:t>类别</w:t>
                  </w:r>
                </w:p>
              </w:tc>
              <w:tc>
                <w:tcPr>
                  <w:tcW w:w="2772" w:type="pct"/>
                  <w:tcBorders>
                    <w:tl2br w:val="nil"/>
                    <w:tr2bl w:val="nil"/>
                  </w:tcBorders>
                  <w:vAlign w:val="center"/>
                </w:tcPr>
                <w:p>
                  <w:pPr>
                    <w:adjustRightInd w:val="0"/>
                    <w:snapToGrid w:val="0"/>
                    <w:jc w:val="center"/>
                    <w:rPr>
                      <w:b/>
                      <w:sz w:val="21"/>
                      <w:szCs w:val="21"/>
                    </w:rPr>
                  </w:pPr>
                  <w:r>
                    <w:rPr>
                      <w:rFonts w:hint="eastAsia"/>
                      <w:b/>
                      <w:sz w:val="21"/>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2227" w:type="pct"/>
                  <w:tcBorders>
                    <w:tl2br w:val="nil"/>
                    <w:tr2bl w:val="nil"/>
                  </w:tcBorders>
                  <w:vAlign w:val="center"/>
                </w:tcPr>
                <w:p>
                  <w:pPr>
                    <w:adjustRightInd w:val="0"/>
                    <w:snapToGrid w:val="0"/>
                    <w:jc w:val="center"/>
                    <w:rPr>
                      <w:sz w:val="21"/>
                      <w:szCs w:val="21"/>
                    </w:rPr>
                  </w:pPr>
                  <w:r>
                    <w:rPr>
                      <w:rFonts w:hint="eastAsia"/>
                      <w:sz w:val="21"/>
                      <w:szCs w:val="21"/>
                    </w:rPr>
                    <w:t>2类</w:t>
                  </w:r>
                </w:p>
              </w:tc>
              <w:tc>
                <w:tcPr>
                  <w:tcW w:w="2772" w:type="pct"/>
                  <w:tcBorders>
                    <w:tl2br w:val="nil"/>
                    <w:tr2bl w:val="nil"/>
                  </w:tcBorders>
                  <w:vAlign w:val="center"/>
                </w:tcPr>
                <w:p>
                  <w:pPr>
                    <w:adjustRightInd w:val="0"/>
                    <w:snapToGrid w:val="0"/>
                    <w:jc w:val="center"/>
                    <w:rPr>
                      <w:sz w:val="21"/>
                      <w:szCs w:val="21"/>
                    </w:rPr>
                  </w:pPr>
                  <w:r>
                    <w:rPr>
                      <w:rFonts w:hint="eastAsia"/>
                      <w:sz w:val="21"/>
                      <w:szCs w:val="21"/>
                    </w:rPr>
                    <w:t>60</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rFonts w:eastAsiaTheme="majorEastAsia"/>
                <w:b/>
                <w:sz w:val="24"/>
                <w:szCs w:val="24"/>
              </w:rPr>
            </w:pPr>
            <w:r>
              <w:rPr>
                <w:rFonts w:eastAsiaTheme="majorEastAsia"/>
                <w:b/>
                <w:sz w:val="24"/>
                <w:szCs w:val="24"/>
              </w:rPr>
              <w:t>3</w:t>
            </w:r>
            <w:r>
              <w:rPr>
                <w:rFonts w:hAnsiTheme="majorEastAsia" w:eastAsiaTheme="majorEastAsia"/>
                <w:b/>
                <w:sz w:val="24"/>
                <w:szCs w:val="24"/>
              </w:rPr>
              <w:t>、废水</w:t>
            </w:r>
          </w:p>
          <w:p>
            <w:pPr>
              <w:keepNext w:val="0"/>
              <w:keepLines w:val="0"/>
              <w:pageBreakBefore w:val="0"/>
              <w:widowControl w:val="0"/>
              <w:kinsoku/>
              <w:wordWrap/>
              <w:overflowPunct/>
              <w:topLinePunct w:val="0"/>
              <w:autoSpaceDE/>
              <w:autoSpaceDN/>
              <w:bidi w:val="0"/>
              <w:spacing w:line="520" w:lineRule="exact"/>
              <w:ind w:firstLine="480" w:firstLineChars="200"/>
              <w:jc w:val="left"/>
              <w:textAlignment w:val="auto"/>
              <w:rPr>
                <w:rFonts w:hint="eastAsia" w:hAnsiTheme="majorEastAsia" w:eastAsiaTheme="majorEastAsia"/>
                <w:sz w:val="24"/>
                <w:lang w:eastAsia="zh-CN"/>
              </w:rPr>
            </w:pPr>
            <w:r>
              <w:rPr>
                <w:rFonts w:hAnsiTheme="majorEastAsia" w:eastAsiaTheme="majorEastAsia"/>
                <w:sz w:val="24"/>
              </w:rPr>
              <w:t>本项目外排废水为生活污水，生活污水定期清运</w:t>
            </w:r>
            <w:r>
              <w:rPr>
                <w:rFonts w:hAnsiTheme="majorEastAsia" w:eastAsiaTheme="majorEastAsia"/>
                <w:color w:val="000000"/>
                <w:sz w:val="24"/>
              </w:rPr>
              <w:t>，</w:t>
            </w:r>
            <w:r>
              <w:rPr>
                <w:rFonts w:hint="eastAsia" w:hAnsiTheme="majorEastAsia" w:eastAsiaTheme="majorEastAsia"/>
                <w:color w:val="000000"/>
                <w:sz w:val="24"/>
              </w:rPr>
              <w:t>待管网接通后，通入大块镇</w:t>
            </w:r>
            <w:r>
              <w:rPr>
                <w:rFonts w:hAnsiTheme="majorEastAsia" w:eastAsiaTheme="majorEastAsia"/>
                <w:color w:val="000000"/>
                <w:sz w:val="24"/>
              </w:rPr>
              <w:t>污水处理厂进一步处理，</w:t>
            </w:r>
            <w:r>
              <w:rPr>
                <w:rFonts w:hint="eastAsia" w:hAnsiTheme="majorEastAsia" w:eastAsiaTheme="majorEastAsia"/>
                <w:color w:val="000000"/>
                <w:sz w:val="24"/>
              </w:rPr>
              <w:t>大块镇</w:t>
            </w:r>
            <w:r>
              <w:rPr>
                <w:rFonts w:hAnsiTheme="majorEastAsia" w:eastAsiaTheme="majorEastAsia"/>
                <w:color w:val="000000"/>
                <w:sz w:val="24"/>
              </w:rPr>
              <w:t>污水处理厂收水、排水标准</w:t>
            </w:r>
            <w:r>
              <w:rPr>
                <w:rFonts w:hAnsiTheme="majorEastAsia" w:eastAsiaTheme="majorEastAsia"/>
                <w:sz w:val="24"/>
              </w:rPr>
              <w:t>见下表。</w:t>
            </w:r>
          </w:p>
          <w:p>
            <w:pPr>
              <w:pStyle w:val="40"/>
              <w:keepNext w:val="0"/>
              <w:keepLines w:val="0"/>
              <w:pageBreakBefore w:val="0"/>
              <w:widowControl w:val="0"/>
              <w:kinsoku/>
              <w:wordWrap/>
              <w:overflowPunct/>
              <w:topLinePunct w:val="0"/>
              <w:autoSpaceDE/>
              <w:autoSpaceDN/>
              <w:bidi w:val="0"/>
              <w:adjustRightInd/>
              <w:snapToGrid/>
              <w:spacing w:line="520" w:lineRule="exact"/>
              <w:ind w:firstLine="482" w:firstLineChars="200"/>
              <w:jc w:val="center"/>
              <w:textAlignment w:val="auto"/>
              <w:rPr>
                <w:rFonts w:hint="eastAsia"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lang w:val="en-US" w:eastAsia="zh-CN"/>
              </w:rPr>
              <w:t>表3-</w:t>
            </w:r>
            <w:r>
              <w:rPr>
                <w:rFonts w:hint="eastAsia" w:ascii="Times New Roman" w:hAnsi="Times New Roman" w:cs="Times New Roman"/>
                <w:b/>
                <w:bCs/>
                <w:color w:val="000000"/>
                <w:sz w:val="24"/>
                <w:szCs w:val="24"/>
                <w:lang w:val="en-US" w:eastAsia="zh-CN"/>
              </w:rPr>
              <w:t>8</w:t>
            </w:r>
            <w:r>
              <w:rPr>
                <w:rFonts w:hint="eastAsia" w:ascii="Times New Roman" w:hAnsi="Times New Roman" w:eastAsia="宋体" w:cs="Times New Roman"/>
                <w:b/>
                <w:bCs/>
                <w:color w:val="000000"/>
                <w:sz w:val="24"/>
                <w:szCs w:val="24"/>
                <w:lang w:val="en-US" w:eastAsia="zh-CN"/>
              </w:rPr>
              <w:t xml:space="preserve">        大块镇污水处理厂收水水质标准       单位：mg/L</w:t>
            </w:r>
          </w:p>
          <w:tbl>
            <w:tblPr>
              <w:tblStyle w:val="25"/>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426"/>
              <w:gridCol w:w="1350"/>
              <w:gridCol w:w="1400"/>
              <w:gridCol w:w="1321"/>
              <w:gridCol w:w="1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atLeast"/>
                <w:jc w:val="center"/>
              </w:trPr>
              <w:tc>
                <w:tcPr>
                  <w:tcW w:w="1324" w:type="dxa"/>
                  <w:tcBorders>
                    <w:tl2br w:val="nil"/>
                    <w:tr2bl w:val="nil"/>
                  </w:tcBorders>
                  <w:vAlign w:val="center"/>
                </w:tcPr>
                <w:p>
                  <w:pPr>
                    <w:adjustRightInd w:val="0"/>
                    <w:snapToGrid w:val="0"/>
                    <w:jc w:val="center"/>
                    <w:rPr>
                      <w:rFonts w:eastAsiaTheme="majorEastAsia"/>
                      <w:b/>
                      <w:color w:val="000000"/>
                      <w:sz w:val="21"/>
                      <w:szCs w:val="21"/>
                    </w:rPr>
                  </w:pPr>
                  <w:r>
                    <w:rPr>
                      <w:rFonts w:hAnsiTheme="majorEastAsia" w:eastAsiaTheme="majorEastAsia"/>
                      <w:b/>
                      <w:color w:val="000000"/>
                      <w:sz w:val="21"/>
                      <w:szCs w:val="21"/>
                    </w:rPr>
                    <w:t>污染物</w:t>
                  </w:r>
                </w:p>
              </w:tc>
              <w:tc>
                <w:tcPr>
                  <w:tcW w:w="1426" w:type="dxa"/>
                  <w:tcBorders>
                    <w:tl2br w:val="nil"/>
                    <w:tr2bl w:val="nil"/>
                  </w:tcBorders>
                  <w:vAlign w:val="center"/>
                </w:tcPr>
                <w:p>
                  <w:pPr>
                    <w:adjustRightInd w:val="0"/>
                    <w:snapToGrid w:val="0"/>
                    <w:jc w:val="center"/>
                    <w:rPr>
                      <w:rFonts w:eastAsiaTheme="majorEastAsia"/>
                      <w:b/>
                      <w:color w:val="000000"/>
                      <w:sz w:val="21"/>
                      <w:szCs w:val="21"/>
                    </w:rPr>
                  </w:pPr>
                  <w:r>
                    <w:rPr>
                      <w:rFonts w:eastAsiaTheme="majorEastAsia"/>
                      <w:b/>
                      <w:color w:val="000000"/>
                      <w:sz w:val="21"/>
                      <w:szCs w:val="21"/>
                    </w:rPr>
                    <w:t>COD</w:t>
                  </w:r>
                  <w:r>
                    <w:rPr>
                      <w:rFonts w:eastAsiaTheme="majorEastAsia"/>
                      <w:b/>
                      <w:color w:val="000000"/>
                      <w:sz w:val="21"/>
                      <w:szCs w:val="21"/>
                      <w:vertAlign w:val="subscript"/>
                    </w:rPr>
                    <w:t>cr</w:t>
                  </w:r>
                </w:p>
              </w:tc>
              <w:tc>
                <w:tcPr>
                  <w:tcW w:w="1350" w:type="dxa"/>
                  <w:tcBorders>
                    <w:tl2br w:val="nil"/>
                    <w:tr2bl w:val="nil"/>
                  </w:tcBorders>
                  <w:vAlign w:val="center"/>
                </w:tcPr>
                <w:p>
                  <w:pPr>
                    <w:adjustRightInd w:val="0"/>
                    <w:snapToGrid w:val="0"/>
                    <w:ind w:left="162" w:right="-112" w:rightChars="-40" w:hanging="162" w:hangingChars="77"/>
                    <w:jc w:val="center"/>
                    <w:rPr>
                      <w:rFonts w:eastAsiaTheme="majorEastAsia"/>
                      <w:b/>
                      <w:color w:val="000000"/>
                      <w:sz w:val="21"/>
                      <w:szCs w:val="21"/>
                    </w:rPr>
                  </w:pPr>
                  <w:r>
                    <w:rPr>
                      <w:rFonts w:eastAsiaTheme="majorEastAsia"/>
                      <w:b/>
                      <w:color w:val="000000"/>
                      <w:sz w:val="21"/>
                      <w:szCs w:val="21"/>
                    </w:rPr>
                    <w:t>SS</w:t>
                  </w:r>
                </w:p>
              </w:tc>
              <w:tc>
                <w:tcPr>
                  <w:tcW w:w="1400" w:type="dxa"/>
                  <w:tcBorders>
                    <w:tl2br w:val="nil"/>
                    <w:tr2bl w:val="nil"/>
                  </w:tcBorders>
                  <w:vAlign w:val="center"/>
                </w:tcPr>
                <w:p>
                  <w:pPr>
                    <w:adjustRightInd w:val="0"/>
                    <w:snapToGrid w:val="0"/>
                    <w:ind w:left="162" w:right="-112" w:rightChars="-40" w:hanging="162" w:hangingChars="77"/>
                    <w:jc w:val="center"/>
                    <w:rPr>
                      <w:rFonts w:eastAsiaTheme="majorEastAsia"/>
                      <w:b/>
                      <w:color w:val="000000"/>
                      <w:sz w:val="21"/>
                      <w:szCs w:val="21"/>
                    </w:rPr>
                  </w:pPr>
                  <w:r>
                    <w:rPr>
                      <w:rFonts w:eastAsiaTheme="majorEastAsia"/>
                      <w:b/>
                      <w:color w:val="000000"/>
                      <w:sz w:val="21"/>
                      <w:szCs w:val="21"/>
                    </w:rPr>
                    <w:t>NH</w:t>
                  </w:r>
                  <w:r>
                    <w:rPr>
                      <w:rFonts w:eastAsiaTheme="majorEastAsia"/>
                      <w:b/>
                      <w:color w:val="000000"/>
                      <w:sz w:val="21"/>
                      <w:szCs w:val="21"/>
                      <w:vertAlign w:val="subscript"/>
                    </w:rPr>
                    <w:t>3</w:t>
                  </w:r>
                  <w:r>
                    <w:rPr>
                      <w:rFonts w:eastAsiaTheme="majorEastAsia"/>
                      <w:b/>
                      <w:color w:val="000000"/>
                      <w:sz w:val="21"/>
                      <w:szCs w:val="21"/>
                    </w:rPr>
                    <w:t>-N</w:t>
                  </w:r>
                </w:p>
              </w:tc>
              <w:tc>
                <w:tcPr>
                  <w:tcW w:w="1321" w:type="dxa"/>
                  <w:tcBorders>
                    <w:tl2br w:val="nil"/>
                    <w:tr2bl w:val="nil"/>
                  </w:tcBorders>
                  <w:vAlign w:val="center"/>
                </w:tcPr>
                <w:p>
                  <w:pPr>
                    <w:adjustRightInd w:val="0"/>
                    <w:snapToGrid w:val="0"/>
                    <w:ind w:left="162" w:right="-112" w:rightChars="-40" w:hanging="162" w:hangingChars="77"/>
                    <w:jc w:val="center"/>
                    <w:rPr>
                      <w:rFonts w:eastAsiaTheme="majorEastAsia"/>
                      <w:b/>
                      <w:color w:val="000000"/>
                      <w:sz w:val="21"/>
                      <w:szCs w:val="21"/>
                    </w:rPr>
                  </w:pPr>
                  <w:r>
                    <w:rPr>
                      <w:rFonts w:eastAsiaTheme="majorEastAsia"/>
                      <w:b/>
                      <w:color w:val="000000"/>
                      <w:sz w:val="21"/>
                      <w:szCs w:val="21"/>
                    </w:rPr>
                    <w:t>TN</w:t>
                  </w:r>
                </w:p>
              </w:tc>
              <w:tc>
                <w:tcPr>
                  <w:tcW w:w="1336" w:type="dxa"/>
                  <w:tcBorders>
                    <w:tl2br w:val="nil"/>
                    <w:tr2bl w:val="nil"/>
                  </w:tcBorders>
                  <w:vAlign w:val="center"/>
                </w:tcPr>
                <w:p>
                  <w:pPr>
                    <w:adjustRightInd w:val="0"/>
                    <w:snapToGrid w:val="0"/>
                    <w:ind w:left="162" w:right="-112" w:rightChars="-40" w:hanging="162" w:hangingChars="77"/>
                    <w:jc w:val="center"/>
                    <w:rPr>
                      <w:rFonts w:eastAsiaTheme="majorEastAsia"/>
                      <w:b/>
                      <w:color w:val="000000"/>
                      <w:sz w:val="21"/>
                      <w:szCs w:val="21"/>
                    </w:rPr>
                  </w:pPr>
                  <w:r>
                    <w:rPr>
                      <w:rFonts w:eastAsiaTheme="majorEastAsia"/>
                      <w:b/>
                      <w:color w:val="000000"/>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324" w:type="dxa"/>
                  <w:tcBorders>
                    <w:tl2br w:val="nil"/>
                    <w:tr2bl w:val="nil"/>
                  </w:tcBorders>
                  <w:vAlign w:val="center"/>
                </w:tcPr>
                <w:p>
                  <w:pPr>
                    <w:adjustRightInd w:val="0"/>
                    <w:snapToGrid w:val="0"/>
                    <w:jc w:val="center"/>
                    <w:rPr>
                      <w:rFonts w:eastAsiaTheme="majorEastAsia"/>
                      <w:color w:val="000000"/>
                      <w:sz w:val="21"/>
                      <w:szCs w:val="21"/>
                    </w:rPr>
                  </w:pPr>
                  <w:r>
                    <w:rPr>
                      <w:rFonts w:hAnsiTheme="majorEastAsia" w:eastAsiaTheme="majorEastAsia"/>
                      <w:color w:val="000000"/>
                      <w:sz w:val="21"/>
                      <w:szCs w:val="21"/>
                    </w:rPr>
                    <w:t>收水标准</w:t>
                  </w:r>
                </w:p>
              </w:tc>
              <w:tc>
                <w:tcPr>
                  <w:tcW w:w="1426"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350</w:t>
                  </w:r>
                </w:p>
              </w:tc>
              <w:tc>
                <w:tcPr>
                  <w:tcW w:w="1350"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150</w:t>
                  </w:r>
                </w:p>
              </w:tc>
              <w:tc>
                <w:tcPr>
                  <w:tcW w:w="1400"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35</w:t>
                  </w:r>
                </w:p>
              </w:tc>
              <w:tc>
                <w:tcPr>
                  <w:tcW w:w="1321"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40</w:t>
                  </w:r>
                </w:p>
              </w:tc>
              <w:tc>
                <w:tcPr>
                  <w:tcW w:w="1336"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324" w:type="dxa"/>
                  <w:tcBorders>
                    <w:tl2br w:val="nil"/>
                    <w:tr2bl w:val="nil"/>
                  </w:tcBorders>
                  <w:vAlign w:val="center"/>
                </w:tcPr>
                <w:p>
                  <w:pPr>
                    <w:adjustRightInd w:val="0"/>
                    <w:snapToGrid w:val="0"/>
                    <w:jc w:val="center"/>
                    <w:rPr>
                      <w:rFonts w:eastAsiaTheme="majorEastAsia"/>
                      <w:color w:val="000000"/>
                      <w:sz w:val="21"/>
                      <w:szCs w:val="21"/>
                    </w:rPr>
                  </w:pPr>
                  <w:r>
                    <w:rPr>
                      <w:rFonts w:hAnsiTheme="majorEastAsia" w:eastAsiaTheme="majorEastAsia"/>
                      <w:color w:val="000000"/>
                      <w:sz w:val="21"/>
                      <w:szCs w:val="21"/>
                    </w:rPr>
                    <w:t>排水标准</w:t>
                  </w:r>
                </w:p>
              </w:tc>
              <w:tc>
                <w:tcPr>
                  <w:tcW w:w="1426"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40</w:t>
                  </w:r>
                </w:p>
              </w:tc>
              <w:tc>
                <w:tcPr>
                  <w:tcW w:w="1350"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10</w:t>
                  </w:r>
                </w:p>
              </w:tc>
              <w:tc>
                <w:tcPr>
                  <w:tcW w:w="1400"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2</w:t>
                  </w:r>
                </w:p>
              </w:tc>
              <w:tc>
                <w:tcPr>
                  <w:tcW w:w="1321"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15</w:t>
                  </w:r>
                </w:p>
              </w:tc>
              <w:tc>
                <w:tcPr>
                  <w:tcW w:w="1336" w:type="dxa"/>
                  <w:tcBorders>
                    <w:tl2br w:val="nil"/>
                    <w:tr2bl w:val="nil"/>
                  </w:tcBorders>
                  <w:vAlign w:val="center"/>
                </w:tcPr>
                <w:p>
                  <w:pPr>
                    <w:adjustRightInd w:val="0"/>
                    <w:snapToGrid w:val="0"/>
                    <w:jc w:val="center"/>
                    <w:rPr>
                      <w:rFonts w:eastAsiaTheme="majorEastAsia"/>
                      <w:color w:val="000000"/>
                      <w:sz w:val="21"/>
                      <w:szCs w:val="21"/>
                    </w:rPr>
                  </w:pPr>
                  <w:r>
                    <w:rPr>
                      <w:rFonts w:eastAsiaTheme="majorEastAsia"/>
                      <w:color w:val="000000"/>
                      <w:sz w:val="21"/>
                      <w:szCs w:val="21"/>
                    </w:rPr>
                    <w:t>0.4</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textAlignment w:val="auto"/>
              <w:rPr>
                <w:b/>
                <w:sz w:val="24"/>
                <w:szCs w:val="24"/>
              </w:rPr>
            </w:pPr>
            <w:r>
              <w:rPr>
                <w:rFonts w:hint="eastAsia"/>
                <w:b/>
                <w:sz w:val="24"/>
                <w:szCs w:val="24"/>
              </w:rPr>
              <w:t>4、固废</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sz w:val="24"/>
                <w:szCs w:val="24"/>
              </w:rPr>
            </w:pPr>
            <w:r>
              <w:rPr>
                <w:sz w:val="24"/>
                <w:szCs w:val="24"/>
              </w:rPr>
              <w:t>一般固体废物执行《</w:t>
            </w:r>
            <w:r>
              <w:rPr>
                <w:rFonts w:hint="eastAsia"/>
                <w:sz w:val="24"/>
                <w:szCs w:val="24"/>
                <w:lang w:eastAsia="zh-CN"/>
              </w:rPr>
              <w:t>一般工业固体废物贮存和填埋污染控制标准</w:t>
            </w:r>
            <w:r>
              <w:rPr>
                <w:sz w:val="24"/>
                <w:szCs w:val="24"/>
              </w:rPr>
              <w:t>》（GB18599-20</w:t>
            </w:r>
            <w:r>
              <w:rPr>
                <w:rFonts w:hint="eastAsia"/>
                <w:sz w:val="24"/>
                <w:szCs w:val="24"/>
                <w:lang w:val="en-US" w:eastAsia="zh-CN"/>
              </w:rPr>
              <w:t>20</w:t>
            </w:r>
            <w:r>
              <w:rPr>
                <w:sz w:val="24"/>
                <w:szCs w:val="24"/>
              </w:rPr>
              <w:t>）</w:t>
            </w:r>
            <w:r>
              <w:rPr>
                <w:rFonts w:hint="eastAsia"/>
                <w:sz w:val="24"/>
                <w:szCs w:val="24"/>
              </w:rPr>
              <w:t>要求</w:t>
            </w:r>
            <w:r>
              <w:rPr>
                <w:rFonts w:hint="eastAsia"/>
                <w:sz w:val="24"/>
                <w:szCs w:val="24"/>
                <w:lang w:val="en-US" w:eastAsia="zh-CN"/>
              </w:rPr>
              <w:t>；</w:t>
            </w:r>
            <w:r>
              <w:rPr>
                <w:rFonts w:hint="eastAsia" w:hAnsi="宋体"/>
                <w:color w:val="000000"/>
                <w:sz w:val="24"/>
                <w:szCs w:val="24"/>
              </w:rPr>
              <w:t>危险废物执行《危险废物贮存污染控制标准》（GB18597-2001）及其2013修改单要求。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13" w:hRule="atLeast"/>
          <w:jc w:val="center"/>
        </w:trPr>
        <w:tc>
          <w:tcPr>
            <w:tcW w:w="452" w:type="dxa"/>
            <w:tcBorders>
              <w:tl2br w:val="nil"/>
              <w:tr2bl w:val="nil"/>
            </w:tcBorders>
            <w:vAlign w:val="center"/>
          </w:tcPr>
          <w:p>
            <w:pPr>
              <w:spacing w:line="440" w:lineRule="exact"/>
              <w:jc w:val="center"/>
              <w:rPr>
                <w:sz w:val="24"/>
                <w:szCs w:val="24"/>
              </w:rPr>
            </w:pPr>
            <w:r>
              <w:rPr>
                <w:rFonts w:hint="eastAsia"/>
                <w:sz w:val="24"/>
                <w:szCs w:val="24"/>
              </w:rPr>
              <w:t>污</w:t>
            </w:r>
          </w:p>
          <w:p>
            <w:pPr>
              <w:spacing w:line="440" w:lineRule="exact"/>
              <w:jc w:val="center"/>
              <w:rPr>
                <w:sz w:val="24"/>
                <w:szCs w:val="24"/>
              </w:rPr>
            </w:pPr>
            <w:r>
              <w:rPr>
                <w:rFonts w:hint="eastAsia"/>
                <w:sz w:val="24"/>
                <w:szCs w:val="24"/>
              </w:rPr>
              <w:t>染</w:t>
            </w:r>
          </w:p>
          <w:p>
            <w:pPr>
              <w:spacing w:line="440" w:lineRule="exact"/>
              <w:jc w:val="center"/>
              <w:rPr>
                <w:sz w:val="24"/>
                <w:szCs w:val="24"/>
              </w:rPr>
            </w:pPr>
            <w:r>
              <w:rPr>
                <w:rFonts w:hint="eastAsia"/>
                <w:sz w:val="24"/>
                <w:szCs w:val="24"/>
              </w:rPr>
              <w:t>物</w:t>
            </w:r>
          </w:p>
          <w:p>
            <w:pPr>
              <w:spacing w:line="440" w:lineRule="exact"/>
              <w:jc w:val="center"/>
              <w:rPr>
                <w:sz w:val="24"/>
                <w:szCs w:val="24"/>
              </w:rPr>
            </w:pPr>
            <w:r>
              <w:rPr>
                <w:rFonts w:hint="eastAsia"/>
                <w:sz w:val="24"/>
                <w:szCs w:val="24"/>
              </w:rPr>
              <w:t>排</w:t>
            </w:r>
          </w:p>
          <w:p>
            <w:pPr>
              <w:spacing w:line="440" w:lineRule="exact"/>
              <w:jc w:val="center"/>
              <w:rPr>
                <w:sz w:val="24"/>
                <w:szCs w:val="24"/>
              </w:rPr>
            </w:pPr>
            <w:r>
              <w:rPr>
                <w:rFonts w:hint="eastAsia"/>
                <w:sz w:val="24"/>
                <w:szCs w:val="24"/>
              </w:rPr>
              <w:t>放</w:t>
            </w:r>
          </w:p>
          <w:p>
            <w:pPr>
              <w:spacing w:line="440" w:lineRule="exact"/>
              <w:jc w:val="center"/>
              <w:rPr>
                <w:sz w:val="24"/>
                <w:szCs w:val="24"/>
              </w:rPr>
            </w:pPr>
            <w:r>
              <w:rPr>
                <w:rFonts w:hint="eastAsia"/>
                <w:sz w:val="24"/>
                <w:szCs w:val="24"/>
              </w:rPr>
              <w:t>控</w:t>
            </w:r>
          </w:p>
          <w:p>
            <w:pPr>
              <w:spacing w:line="440" w:lineRule="exact"/>
              <w:jc w:val="center"/>
              <w:rPr>
                <w:sz w:val="24"/>
                <w:szCs w:val="24"/>
              </w:rPr>
            </w:pPr>
            <w:r>
              <w:rPr>
                <w:rFonts w:hint="eastAsia"/>
                <w:sz w:val="24"/>
                <w:szCs w:val="24"/>
              </w:rPr>
              <w:t>制</w:t>
            </w:r>
          </w:p>
          <w:p>
            <w:pPr>
              <w:spacing w:line="440" w:lineRule="exact"/>
              <w:jc w:val="center"/>
              <w:rPr>
                <w:sz w:val="24"/>
                <w:szCs w:val="24"/>
              </w:rPr>
            </w:pPr>
            <w:r>
              <w:rPr>
                <w:rFonts w:hint="eastAsia"/>
                <w:sz w:val="24"/>
                <w:szCs w:val="24"/>
              </w:rPr>
              <w:t>指</w:t>
            </w:r>
          </w:p>
          <w:p>
            <w:pPr>
              <w:spacing w:line="440" w:lineRule="exact"/>
              <w:jc w:val="center"/>
              <w:rPr>
                <w:sz w:val="21"/>
                <w:szCs w:val="21"/>
              </w:rPr>
            </w:pPr>
            <w:r>
              <w:rPr>
                <w:rFonts w:hint="eastAsia"/>
                <w:sz w:val="24"/>
                <w:szCs w:val="24"/>
              </w:rPr>
              <w:t>标</w:t>
            </w:r>
          </w:p>
        </w:tc>
        <w:tc>
          <w:tcPr>
            <w:tcW w:w="8553" w:type="dxa"/>
            <w:tcBorders>
              <w:tl2br w:val="nil"/>
              <w:tr2bl w:val="nil"/>
            </w:tcBorders>
            <w:vAlign w:val="center"/>
          </w:tcPr>
          <w:p>
            <w:pPr>
              <w:spacing w:line="460" w:lineRule="exact"/>
              <w:ind w:firstLine="480" w:firstLineChars="200"/>
              <w:rPr>
                <w:kern w:val="0"/>
                <w:sz w:val="24"/>
              </w:rPr>
            </w:pPr>
            <w:r>
              <w:rPr>
                <w:rFonts w:hint="eastAsia"/>
                <w:bCs/>
                <w:color w:val="000000"/>
                <w:sz w:val="24"/>
                <w:szCs w:val="24"/>
              </w:rPr>
              <w:t>根据新乡市生态环境局关于转发《河南省生态环境厅关于引印发建设项目主要污染物排放总量指标管理工作内部规程的通知》的通知和《新乡市建设项目新增总量指标替代管理指导意见（试行）》的要求，本项目重点污染物排放量为</w:t>
            </w:r>
            <w:r>
              <w:rPr>
                <w:rFonts w:hint="eastAsia"/>
                <w:bCs/>
                <w:color w:val="000000"/>
                <w:sz w:val="24"/>
                <w:szCs w:val="24"/>
                <w:lang w:val="en-US" w:eastAsia="zh-CN"/>
              </w:rPr>
              <w:t>非甲烷总烃</w:t>
            </w:r>
            <w:r>
              <w:rPr>
                <w:rFonts w:hint="eastAsia"/>
                <w:bCs/>
                <w:color w:val="000000" w:themeColor="text1"/>
                <w:sz w:val="24"/>
                <w:szCs w:val="24"/>
                <w:lang w:val="en-US" w:eastAsia="zh-CN"/>
                <w14:textFill>
                  <w14:solidFill>
                    <w14:schemeClr w14:val="tx1"/>
                  </w14:solidFill>
                </w14:textFill>
              </w:rPr>
              <w:t>0.029</w:t>
            </w:r>
            <w:r>
              <w:rPr>
                <w:color w:val="000000" w:themeColor="text1"/>
                <w:sz w:val="24"/>
                <w:szCs w:val="24"/>
                <w14:textFill>
                  <w14:solidFill>
                    <w14:schemeClr w14:val="tx1"/>
                  </w14:solidFill>
                </w14:textFill>
              </w:rPr>
              <w:t>t/a</w:t>
            </w:r>
            <w:r>
              <w:rPr>
                <w:rFonts w:hint="eastAsia"/>
                <w:color w:val="000000" w:themeColor="text1"/>
                <w:sz w:val="24"/>
                <w:szCs w:val="24"/>
                <w14:textFill>
                  <w14:solidFill>
                    <w14:schemeClr w14:val="tx1"/>
                  </w14:solidFill>
                </w14:textFill>
              </w:rPr>
              <w:t>、</w:t>
            </w:r>
            <w:r>
              <w:rPr>
                <w:rFonts w:hint="eastAsia"/>
                <w:color w:val="000000" w:themeColor="text1"/>
                <w:sz w:val="24"/>
                <w14:textFill>
                  <w14:solidFill>
                    <w14:schemeClr w14:val="tx1"/>
                  </w14:solidFill>
                </w14:textFill>
              </w:rPr>
              <w:t>COD0.001</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t/a</w:t>
            </w:r>
            <w:r>
              <w:rPr>
                <w:rFonts w:hint="eastAsia"/>
                <w:color w:val="000000" w:themeColor="text1"/>
                <w:sz w:val="24"/>
                <w:szCs w:val="21"/>
                <w14:textFill>
                  <w14:solidFill>
                    <w14:schemeClr w14:val="tx1"/>
                  </w14:solidFill>
                </w14:textFill>
              </w:rPr>
              <w:t>、</w:t>
            </w:r>
            <w:r>
              <w:rPr>
                <w:rFonts w:hint="eastAsia"/>
                <w:color w:val="000000" w:themeColor="text1"/>
                <w:sz w:val="24"/>
                <w14:textFill>
                  <w14:solidFill>
                    <w14:schemeClr w14:val="tx1"/>
                  </w14:solidFill>
                </w14:textFill>
              </w:rPr>
              <w:t>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-N0.0001t/a</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lang w:val="en-US" w:eastAsia="zh-CN"/>
                <w14:textFill>
                  <w14:solidFill>
                    <w14:schemeClr w14:val="tx1"/>
                  </w14:solidFill>
                </w14:textFill>
              </w:rPr>
              <w:t>本项目</w:t>
            </w:r>
            <w:r>
              <w:rPr>
                <w:rFonts w:hint="eastAsia"/>
                <w:bCs/>
                <w:color w:val="000000"/>
                <w:sz w:val="24"/>
                <w:szCs w:val="24"/>
                <w:lang w:val="en-US" w:eastAsia="zh-CN"/>
              </w:rPr>
              <w:t>非甲烷总烃排放量拟从新乡市恒基化工有限公司削减总量中倍量替代0.058t/a</w:t>
            </w:r>
            <w:r>
              <w:rPr>
                <w:rFonts w:hint="eastAsia"/>
                <w:bCs/>
                <w:color w:val="000000" w:themeColor="text1"/>
                <w:sz w:val="24"/>
                <w:szCs w:val="24"/>
                <w:lang w:eastAsia="zh-CN"/>
                <w14:textFill>
                  <w14:solidFill>
                    <w14:schemeClr w14:val="tx1"/>
                  </w14:solidFill>
                </w14:textFill>
              </w:rPr>
              <w:t>，</w:t>
            </w:r>
            <w:r>
              <w:rPr>
                <w:rFonts w:hint="eastAsia"/>
                <w:color w:val="000000" w:themeColor="text1"/>
                <w:sz w:val="24"/>
                <w14:textFill>
                  <w14:solidFill>
                    <w14:schemeClr w14:val="tx1"/>
                  </w14:solidFill>
                </w14:textFill>
              </w:rPr>
              <w:t>COD0.001</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t/a</w:t>
            </w:r>
            <w:r>
              <w:rPr>
                <w:rFonts w:hint="eastAsia"/>
                <w:color w:val="000000" w:themeColor="text1"/>
                <w:sz w:val="24"/>
                <w:szCs w:val="21"/>
                <w14:textFill>
                  <w14:solidFill>
                    <w14:schemeClr w14:val="tx1"/>
                  </w14:solidFill>
                </w14:textFill>
              </w:rPr>
              <w:t>、</w:t>
            </w:r>
            <w:r>
              <w:rPr>
                <w:rFonts w:hint="eastAsia"/>
                <w:color w:val="000000" w:themeColor="text1"/>
                <w:sz w:val="24"/>
                <w14:textFill>
                  <w14:solidFill>
                    <w14:schemeClr w14:val="tx1"/>
                  </w14:solidFill>
                </w14:textFill>
              </w:rPr>
              <w:t>NH</w:t>
            </w:r>
            <w:r>
              <w:rPr>
                <w:rFonts w:hint="eastAsia"/>
                <w:color w:val="000000" w:themeColor="text1"/>
                <w:sz w:val="24"/>
                <w:vertAlign w:val="subscript"/>
                <w14:textFill>
                  <w14:solidFill>
                    <w14:schemeClr w14:val="tx1"/>
                  </w14:solidFill>
                </w14:textFill>
              </w:rPr>
              <w:t>3</w:t>
            </w:r>
            <w:r>
              <w:rPr>
                <w:rFonts w:hint="eastAsia"/>
                <w:color w:val="000000" w:themeColor="text1"/>
                <w:sz w:val="24"/>
                <w14:textFill>
                  <w14:solidFill>
                    <w14:schemeClr w14:val="tx1"/>
                  </w14:solidFill>
                </w14:textFill>
              </w:rPr>
              <w:t>-N0.0001t/a</w:t>
            </w:r>
            <w:r>
              <w:rPr>
                <w:rFonts w:hint="eastAsia"/>
                <w:bCs/>
                <w:color w:val="000000" w:themeColor="text1"/>
                <w:sz w:val="24"/>
                <w:szCs w:val="24"/>
                <w:lang w:val="en-US" w:eastAsia="zh-CN"/>
                <w14:textFill>
                  <w14:solidFill>
                    <w14:schemeClr w14:val="tx1"/>
                  </w14:solidFill>
                </w14:textFill>
              </w:rPr>
              <w:t>由</w:t>
            </w:r>
            <w:r>
              <w:rPr>
                <w:rFonts w:hint="eastAsia"/>
                <w:bCs/>
                <w:color w:val="000000" w:themeColor="text1"/>
                <w:sz w:val="24"/>
                <w:szCs w:val="24"/>
                <w:lang w:eastAsia="zh-CN"/>
                <w14:textFill>
                  <w14:solidFill>
                    <w14:schemeClr w14:val="tx1"/>
                  </w14:solidFill>
                </w14:textFill>
              </w:rPr>
              <w:t>新乡市</w:t>
            </w:r>
            <w:r>
              <w:rPr>
                <w:rFonts w:hint="eastAsia"/>
                <w:bCs/>
                <w:color w:val="000000" w:themeColor="text1"/>
                <w:sz w:val="24"/>
                <w:szCs w:val="24"/>
                <w:lang w:val="en-US" w:eastAsia="zh-CN"/>
                <w14:textFill>
                  <w14:solidFill>
                    <w14:schemeClr w14:val="tx1"/>
                  </w14:solidFill>
                </w14:textFill>
              </w:rPr>
              <w:t>生态环境局给予总量指标</w:t>
            </w:r>
            <w:r>
              <w:rPr>
                <w:rFonts w:hint="eastAsia"/>
                <w:kern w:val="0"/>
                <w:sz w:val="24"/>
              </w:rPr>
              <w:t>。</w:t>
            </w:r>
          </w:p>
          <w:p>
            <w:pPr>
              <w:spacing w:line="440" w:lineRule="exact"/>
              <w:ind w:firstLine="420" w:firstLineChars="200"/>
              <w:rPr>
                <w:rFonts w:hAnsi="宋体"/>
                <w:color w:val="000000"/>
                <w:sz w:val="21"/>
                <w:szCs w:val="21"/>
              </w:rPr>
            </w:pPr>
          </w:p>
        </w:tc>
      </w:tr>
    </w:tbl>
    <w:p>
      <w:pPr>
        <w:jc w:val="left"/>
        <w:rPr>
          <w:b/>
          <w:color w:val="000000"/>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keepNext w:val="0"/>
        <w:keepLines w:val="0"/>
        <w:pageBreakBefore w:val="0"/>
        <w:widowControl w:val="0"/>
        <w:kinsoku/>
        <w:wordWrap/>
        <w:overflowPunct/>
        <w:topLinePunct w:val="0"/>
        <w:autoSpaceDE/>
        <w:autoSpaceDN/>
        <w:bidi w:val="0"/>
        <w:adjustRightInd w:val="0"/>
        <w:snapToGrid w:val="0"/>
        <w:spacing w:before="157" w:beforeLines="50" w:after="157" w:afterLines="50"/>
        <w:jc w:val="center"/>
        <w:textAlignment w:val="auto"/>
        <w:rPr>
          <w:rFonts w:hint="eastAsia" w:ascii="黑体" w:hAnsi="黑体" w:eastAsia="黑体" w:cs="黑体"/>
          <w:b w:val="0"/>
          <w:bCs/>
          <w:color w:val="000000"/>
          <w:sz w:val="30"/>
          <w:szCs w:val="30"/>
        </w:rPr>
      </w:pPr>
      <w:r>
        <w:rPr>
          <w:rFonts w:hint="eastAsia" w:ascii="黑体" w:hAnsi="黑体" w:eastAsia="黑体" w:cs="黑体"/>
          <w:b w:val="0"/>
          <w:bCs/>
          <w:color w:val="000000"/>
          <w:sz w:val="30"/>
          <w:szCs w:val="30"/>
        </w:rPr>
        <w:t>四、主要环境影响和保护措施</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
        <w:gridCol w:w="8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89" w:hRule="atLeast"/>
          <w:jc w:val="center"/>
        </w:trPr>
        <w:tc>
          <w:tcPr>
            <w:tcW w:w="406" w:type="dxa"/>
            <w:tcBorders>
              <w:top w:val="single" w:color="auto" w:sz="8" w:space="0"/>
              <w:left w:val="single" w:color="auto" w:sz="8" w:space="0"/>
              <w:bottom w:val="single" w:color="auto" w:sz="4" w:space="0"/>
              <w:right w:val="single" w:color="auto" w:sz="4" w:space="0"/>
            </w:tcBorders>
            <w:vAlign w:val="center"/>
          </w:tcPr>
          <w:p>
            <w:pPr>
              <w:adjustRightInd w:val="0"/>
              <w:snapToGrid w:val="0"/>
              <w:jc w:val="left"/>
              <w:rPr>
                <w:color w:val="000000"/>
                <w:sz w:val="24"/>
                <w:szCs w:val="24"/>
              </w:rPr>
            </w:pPr>
            <w:r>
              <w:rPr>
                <w:rFonts w:hint="eastAsia"/>
                <w:color w:val="000000"/>
                <w:sz w:val="24"/>
                <w:szCs w:val="24"/>
              </w:rPr>
              <w:t>施工期环境保护措施</w:t>
            </w:r>
          </w:p>
        </w:tc>
        <w:tc>
          <w:tcPr>
            <w:tcW w:w="8116" w:type="dxa"/>
            <w:tcBorders>
              <w:top w:val="single" w:color="auto" w:sz="8" w:space="0"/>
              <w:left w:val="single" w:color="auto" w:sz="4" w:space="0"/>
              <w:bottom w:val="single" w:color="auto" w:sz="4" w:space="0"/>
              <w:right w:val="single" w:color="auto" w:sz="8" w:space="0"/>
            </w:tcBorders>
            <w:vAlign w:val="center"/>
          </w:tcPr>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sz w:val="24"/>
                <w:szCs w:val="24"/>
              </w:rPr>
              <w:t>本项目建设施工期对周围环境的影响主要为施工扬尘、施工废水、施工噪声及固体废物等。为减少对周围环境的不良影响，现将可能影响及防治措施阐述如下：</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1</w:t>
            </w:r>
            <w:r>
              <w:rPr>
                <w:sz w:val="24"/>
                <w:szCs w:val="24"/>
              </w:rPr>
              <w:t>、施工扬尘</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建</w:t>
            </w:r>
            <w:r>
              <w:rPr>
                <w:sz w:val="24"/>
                <w:szCs w:val="24"/>
              </w:rPr>
              <w:t>筑施工期的大气污染主要为施工扬尘。产生扬尘的作业主要有建材露天堆放、装卸等过程。企业须积极推进绿色工地创建，实施施工工地封闭管理，做到七个</w:t>
            </w:r>
            <w:r>
              <w:rPr>
                <w:rFonts w:hint="eastAsia"/>
                <w:sz w:val="24"/>
                <w:szCs w:val="24"/>
                <w:lang w:eastAsia="zh-CN"/>
              </w:rPr>
              <w:t>“</w:t>
            </w:r>
            <w:r>
              <w:rPr>
                <w:sz w:val="24"/>
                <w:szCs w:val="24"/>
              </w:rPr>
              <w:t>100%</w:t>
            </w:r>
            <w:r>
              <w:rPr>
                <w:rFonts w:hint="eastAsia"/>
                <w:sz w:val="24"/>
                <w:szCs w:val="24"/>
                <w:lang w:eastAsia="zh-CN"/>
              </w:rPr>
              <w:t>”</w:t>
            </w:r>
            <w:r>
              <w:rPr>
                <w:sz w:val="24"/>
                <w:szCs w:val="24"/>
              </w:rPr>
              <w:t>，即施工现场100%围挡，工地砂土100%覆盖或围挡，工地路面100%硬化，拆除工程100%洒水，出工地运输车辆100%冲</w:t>
            </w:r>
            <w:r>
              <w:rPr>
                <w:rFonts w:hint="eastAsia"/>
                <w:sz w:val="24"/>
                <w:szCs w:val="24"/>
                <w:lang w:val="en-US" w:eastAsia="zh-CN"/>
              </w:rPr>
              <w:t>洗</w:t>
            </w:r>
            <w:r>
              <w:rPr>
                <w:sz w:val="24"/>
                <w:szCs w:val="24"/>
              </w:rPr>
              <w:t>，车轮车身且密闭无洒漏，暂不开发的场地100%绿化，以及外脚手架密目式安全网100%安装。</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2</w:t>
            </w:r>
            <w:r>
              <w:rPr>
                <w:sz w:val="24"/>
                <w:szCs w:val="24"/>
              </w:rPr>
              <w:t>、施工废水</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施</w:t>
            </w:r>
            <w:r>
              <w:rPr>
                <w:sz w:val="24"/>
                <w:szCs w:val="24"/>
              </w:rPr>
              <w:t>工期废水主要是建筑施工废水和施工人员生活污水。建筑施工废水包括砖块喷淋、混凝土喷洒、车辆冲洗等废水，其成份相对比较简单，主要污染物为SS，经临时沉淀池沉淀后用于施工场地和道路喷洒抑尘，禁止排入地表水体。施工人员生活污水，产生量较小，主要污染因子为COD、氨氮等，生活污水排入化粪池，处理后用于厂区绿化。通过采取以上措施，可有效控制施工废水污染，措施是切实可行的，对周围环境影响较小。</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3</w:t>
            </w:r>
            <w:r>
              <w:rPr>
                <w:sz w:val="24"/>
                <w:szCs w:val="24"/>
              </w:rPr>
              <w:t>、施工噪声</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施</w:t>
            </w:r>
            <w:r>
              <w:rPr>
                <w:sz w:val="24"/>
                <w:szCs w:val="24"/>
              </w:rPr>
              <w:t>工期间噪声主要来自运输车辆和各种施工机械如挖掘机、</w:t>
            </w:r>
            <w:r>
              <w:rPr>
                <w:rFonts w:hint="eastAsia"/>
                <w:sz w:val="24"/>
                <w:szCs w:val="24"/>
                <w:lang w:val="en-US" w:eastAsia="zh-CN"/>
              </w:rPr>
              <w:t>铲车</w:t>
            </w:r>
            <w:r>
              <w:rPr>
                <w:sz w:val="24"/>
                <w:szCs w:val="24"/>
              </w:rPr>
              <w:t>、搅拌机等机械设备产生噪声，建设单位应在施工期采取以下相应措施：</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（1）</w:t>
            </w:r>
            <w:r>
              <w:rPr>
                <w:sz w:val="24"/>
                <w:szCs w:val="24"/>
              </w:rPr>
              <w:t>施工单位应尽量选用先进的低噪声设备，在高噪声设备周围设置屏障以减轻噪声对周围环境的影响，控制施工场界噪声不超过《建筑施工场界环境噪声排放标准》（GB12523-2011）</w:t>
            </w:r>
            <w:r>
              <w:rPr>
                <w:rFonts w:hint="eastAsia"/>
                <w:sz w:val="24"/>
                <w:szCs w:val="24"/>
              </w:rPr>
              <w:t>的限值要求</w:t>
            </w:r>
            <w:r>
              <w:rPr>
                <w:sz w:val="24"/>
                <w:szCs w:val="24"/>
              </w:rPr>
              <w:t>。</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（2）</w:t>
            </w:r>
            <w:r>
              <w:rPr>
                <w:sz w:val="24"/>
                <w:szCs w:val="24"/>
              </w:rPr>
              <w:t>施工单位采用先进的施工工艺，合理选用施工机械。</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（3）</w:t>
            </w:r>
            <w:r>
              <w:rPr>
                <w:sz w:val="24"/>
                <w:szCs w:val="24"/>
              </w:rPr>
              <w:t>加强施工机械的维修、管理，保证施工机械处于低噪声、高效率的状态。</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4</w:t>
            </w:r>
            <w:r>
              <w:rPr>
                <w:sz w:val="24"/>
                <w:szCs w:val="24"/>
              </w:rPr>
              <w:t>、固体废弃物</w:t>
            </w:r>
          </w:p>
          <w:p>
            <w:pPr>
              <w:keepNext w:val="0"/>
              <w:keepLines w:val="0"/>
              <w:pageBreakBefore w:val="0"/>
              <w:widowControl w:val="0"/>
              <w:kinsoku/>
              <w:wordWrap/>
              <w:overflowPunct/>
              <w:topLinePunct w:val="0"/>
              <w:autoSpaceDE/>
              <w:autoSpaceDN/>
              <w:bidi w:val="0"/>
              <w:spacing w:line="520" w:lineRule="exact"/>
              <w:ind w:firstLine="480" w:firstLineChars="200"/>
              <w:textAlignment w:val="auto"/>
              <w:rPr>
                <w:rFonts w:hAnsi="宋体"/>
                <w:bCs/>
                <w:snapToGrid w:val="0"/>
                <w:kern w:val="0"/>
                <w:sz w:val="24"/>
                <w:szCs w:val="21"/>
              </w:rPr>
            </w:pPr>
            <w:r>
              <w:rPr>
                <w:rFonts w:hAnsi="宋体"/>
                <w:bCs/>
                <w:snapToGrid w:val="0"/>
                <w:kern w:val="0"/>
                <w:sz w:val="24"/>
                <w:szCs w:val="21"/>
              </w:rPr>
              <w:t>建</w:t>
            </w:r>
            <w:r>
              <w:rPr>
                <w:sz w:val="24"/>
                <w:szCs w:val="24"/>
              </w:rPr>
              <w:t>设施工期间需要挖土，运输弃土、运输各种建筑材料如水泥、砖瓦、木材等，工程完成后，会残留不少废弃建筑材料，这些建筑垃圾能回收利用的尽可能二次利用，不能利用的应该及时清运到规定地方堆放好，严禁建筑垃圾随意丢弃；施工人员产生的生活垃圾严禁随意抛弃，袋装收集后交由环卫部门清运</w:t>
            </w:r>
            <w:r>
              <w:rPr>
                <w:rFonts w:hAnsi="宋体"/>
                <w:bCs/>
                <w:snapToGrid w:val="0"/>
                <w:kern w:val="0"/>
                <w:sz w:val="24"/>
                <w:szCs w:val="21"/>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color w:val="000000"/>
                <w:sz w:val="24"/>
                <w:szCs w:val="24"/>
              </w:rPr>
            </w:pPr>
            <w:r>
              <w:rPr>
                <w:rFonts w:hAnsi="宋体"/>
                <w:bCs/>
                <w:snapToGrid w:val="0"/>
                <w:kern w:val="0"/>
                <w:sz w:val="24"/>
                <w:szCs w:val="21"/>
              </w:rPr>
              <w:t>以</w:t>
            </w:r>
            <w:r>
              <w:rPr>
                <w:sz w:val="24"/>
                <w:szCs w:val="24"/>
              </w:rPr>
              <w:t>上污染因素均伴随施工而产生，且呈间歇式排放。若严格控制作业时间或加强施工管理，可以避免或减缓其对周围环境所产生的不利影响。建设项目完成后，上述环境影响将随之消失。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5" w:hRule="atLeast"/>
          <w:jc w:val="center"/>
        </w:trPr>
        <w:tc>
          <w:tcPr>
            <w:tcW w:w="406" w:type="dxa"/>
            <w:tcBorders>
              <w:top w:val="single" w:color="auto" w:sz="4" w:space="0"/>
              <w:left w:val="single" w:color="auto" w:sz="8" w:space="0"/>
              <w:bottom w:val="single" w:color="auto" w:sz="8" w:space="0"/>
              <w:right w:val="single" w:color="auto" w:sz="4" w:space="0"/>
            </w:tcBorders>
            <w:vAlign w:val="center"/>
          </w:tcPr>
          <w:p>
            <w:pPr>
              <w:adjustRightInd w:val="0"/>
              <w:snapToGrid w:val="0"/>
              <w:jc w:val="center"/>
              <w:rPr>
                <w:color w:val="000000"/>
                <w:sz w:val="24"/>
                <w:szCs w:val="24"/>
              </w:rPr>
            </w:pPr>
            <w:r>
              <w:rPr>
                <w:rFonts w:hint="eastAsia"/>
                <w:color w:val="000000"/>
                <w:sz w:val="24"/>
                <w:szCs w:val="24"/>
              </w:rPr>
              <w:t>营</w:t>
            </w:r>
          </w:p>
          <w:p>
            <w:pPr>
              <w:adjustRightInd w:val="0"/>
              <w:snapToGrid w:val="0"/>
              <w:jc w:val="center"/>
              <w:rPr>
                <w:color w:val="000000"/>
                <w:sz w:val="24"/>
                <w:szCs w:val="24"/>
              </w:rPr>
            </w:pPr>
            <w:r>
              <w:rPr>
                <w:rFonts w:hint="eastAsia"/>
                <w:color w:val="000000"/>
                <w:sz w:val="24"/>
                <w:szCs w:val="24"/>
              </w:rPr>
              <w:t>运</w:t>
            </w:r>
          </w:p>
          <w:p>
            <w:pPr>
              <w:adjustRightInd w:val="0"/>
              <w:snapToGrid w:val="0"/>
              <w:jc w:val="center"/>
              <w:rPr>
                <w:color w:val="000000"/>
                <w:sz w:val="24"/>
                <w:szCs w:val="24"/>
              </w:rPr>
            </w:pPr>
            <w:r>
              <w:rPr>
                <w:rFonts w:hint="eastAsia"/>
                <w:color w:val="000000"/>
                <w:sz w:val="24"/>
                <w:szCs w:val="24"/>
              </w:rPr>
              <w:t>期</w:t>
            </w:r>
          </w:p>
          <w:p>
            <w:pPr>
              <w:adjustRightInd w:val="0"/>
              <w:snapToGrid w:val="0"/>
              <w:jc w:val="center"/>
              <w:rPr>
                <w:color w:val="000000"/>
                <w:sz w:val="24"/>
                <w:szCs w:val="24"/>
              </w:rPr>
            </w:pPr>
            <w:r>
              <w:rPr>
                <w:rFonts w:hint="eastAsia"/>
                <w:color w:val="000000"/>
                <w:sz w:val="24"/>
                <w:szCs w:val="24"/>
              </w:rPr>
              <w:t>环</w:t>
            </w:r>
          </w:p>
          <w:p>
            <w:pPr>
              <w:adjustRightInd w:val="0"/>
              <w:snapToGrid w:val="0"/>
              <w:jc w:val="center"/>
              <w:rPr>
                <w:color w:val="000000"/>
                <w:sz w:val="24"/>
                <w:szCs w:val="24"/>
              </w:rPr>
            </w:pPr>
            <w:r>
              <w:rPr>
                <w:rFonts w:hint="eastAsia"/>
                <w:color w:val="000000"/>
                <w:sz w:val="24"/>
                <w:szCs w:val="24"/>
              </w:rPr>
              <w:t>境</w:t>
            </w:r>
          </w:p>
          <w:p>
            <w:pPr>
              <w:adjustRightInd w:val="0"/>
              <w:snapToGrid w:val="0"/>
              <w:jc w:val="center"/>
              <w:rPr>
                <w:color w:val="000000"/>
                <w:sz w:val="24"/>
                <w:szCs w:val="24"/>
              </w:rPr>
            </w:pPr>
            <w:r>
              <w:rPr>
                <w:rFonts w:hint="eastAsia"/>
                <w:color w:val="000000"/>
                <w:sz w:val="24"/>
                <w:szCs w:val="24"/>
              </w:rPr>
              <w:t>影</w:t>
            </w:r>
          </w:p>
          <w:p>
            <w:pPr>
              <w:adjustRightInd w:val="0"/>
              <w:snapToGrid w:val="0"/>
              <w:jc w:val="center"/>
              <w:rPr>
                <w:color w:val="000000"/>
                <w:sz w:val="24"/>
                <w:szCs w:val="24"/>
              </w:rPr>
            </w:pPr>
            <w:r>
              <w:rPr>
                <w:rFonts w:hint="eastAsia"/>
                <w:color w:val="000000"/>
                <w:sz w:val="24"/>
                <w:szCs w:val="24"/>
              </w:rPr>
              <w:t>响</w:t>
            </w:r>
          </w:p>
          <w:p>
            <w:pPr>
              <w:adjustRightInd w:val="0"/>
              <w:snapToGrid w:val="0"/>
              <w:jc w:val="center"/>
              <w:rPr>
                <w:color w:val="000000"/>
                <w:sz w:val="24"/>
                <w:szCs w:val="24"/>
              </w:rPr>
            </w:pPr>
            <w:r>
              <w:rPr>
                <w:rFonts w:hint="eastAsia"/>
                <w:color w:val="000000"/>
                <w:sz w:val="24"/>
                <w:szCs w:val="24"/>
              </w:rPr>
              <w:t>和</w:t>
            </w:r>
          </w:p>
          <w:p>
            <w:pPr>
              <w:adjustRightInd w:val="0"/>
              <w:snapToGrid w:val="0"/>
              <w:jc w:val="center"/>
              <w:rPr>
                <w:color w:val="000000"/>
                <w:sz w:val="24"/>
                <w:szCs w:val="24"/>
              </w:rPr>
            </w:pPr>
            <w:r>
              <w:rPr>
                <w:rFonts w:hint="eastAsia"/>
                <w:color w:val="000000"/>
                <w:sz w:val="24"/>
                <w:szCs w:val="24"/>
              </w:rPr>
              <w:t>保</w:t>
            </w:r>
          </w:p>
          <w:p>
            <w:pPr>
              <w:adjustRightInd w:val="0"/>
              <w:snapToGrid w:val="0"/>
              <w:jc w:val="center"/>
              <w:rPr>
                <w:color w:val="000000"/>
                <w:sz w:val="24"/>
                <w:szCs w:val="24"/>
              </w:rPr>
            </w:pPr>
            <w:r>
              <w:rPr>
                <w:rFonts w:hint="eastAsia"/>
                <w:color w:val="000000"/>
                <w:sz w:val="24"/>
                <w:szCs w:val="24"/>
              </w:rPr>
              <w:t>护</w:t>
            </w:r>
          </w:p>
          <w:p>
            <w:pPr>
              <w:adjustRightInd w:val="0"/>
              <w:snapToGrid w:val="0"/>
              <w:jc w:val="center"/>
              <w:rPr>
                <w:color w:val="000000"/>
                <w:sz w:val="24"/>
                <w:szCs w:val="24"/>
              </w:rPr>
            </w:pPr>
            <w:r>
              <w:rPr>
                <w:rFonts w:hint="eastAsia"/>
                <w:color w:val="000000"/>
                <w:sz w:val="24"/>
                <w:szCs w:val="24"/>
              </w:rPr>
              <w:t>措</w:t>
            </w:r>
          </w:p>
          <w:p>
            <w:pPr>
              <w:adjustRightInd w:val="0"/>
              <w:snapToGrid w:val="0"/>
              <w:jc w:val="center"/>
              <w:rPr>
                <w:color w:val="000000"/>
                <w:sz w:val="24"/>
                <w:szCs w:val="24"/>
              </w:rPr>
            </w:pPr>
            <w:r>
              <w:rPr>
                <w:rFonts w:hint="eastAsia"/>
                <w:color w:val="000000"/>
                <w:sz w:val="24"/>
                <w:szCs w:val="24"/>
              </w:rPr>
              <w:t>施</w:t>
            </w:r>
          </w:p>
        </w:tc>
        <w:tc>
          <w:tcPr>
            <w:tcW w:w="8116" w:type="dxa"/>
            <w:tcBorders>
              <w:top w:val="single" w:color="auto" w:sz="4" w:space="0"/>
              <w:left w:val="single" w:color="auto" w:sz="4" w:space="0"/>
              <w:bottom w:val="single" w:color="auto" w:sz="8" w:space="0"/>
              <w:right w:val="single" w:color="auto" w:sz="8" w:space="0"/>
            </w:tcBorders>
            <w:vAlign w:val="center"/>
          </w:tcPr>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eastAsia="宋体"/>
                <w:color w:val="000000"/>
                <w:sz w:val="24"/>
                <w:szCs w:val="24"/>
                <w:lang w:eastAsia="zh-CN"/>
              </w:rPr>
            </w:pPr>
            <w:r>
              <w:rPr>
                <w:color w:val="000000"/>
                <w:sz w:val="24"/>
                <w:szCs w:val="24"/>
              </w:rPr>
              <w:t>本项目对环境的影响主要是</w:t>
            </w:r>
            <w:r>
              <w:rPr>
                <w:rFonts w:hint="eastAsia"/>
                <w:color w:val="000000"/>
                <w:sz w:val="24"/>
                <w:szCs w:val="24"/>
                <w:lang w:val="en-US" w:eastAsia="zh-CN"/>
              </w:rPr>
              <w:t>危险废物贮存过程</w:t>
            </w:r>
            <w:r>
              <w:rPr>
                <w:color w:val="000000"/>
                <w:sz w:val="24"/>
                <w:szCs w:val="24"/>
              </w:rPr>
              <w:t>产生的废气、设备噪声及固体废弃物。该项目营运过程中对环境的影响分析如下：</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b/>
                <w:color w:val="000000"/>
                <w:sz w:val="24"/>
                <w:szCs w:val="24"/>
              </w:rPr>
            </w:pPr>
            <w:r>
              <w:rPr>
                <w:b/>
                <w:color w:val="000000"/>
                <w:sz w:val="24"/>
                <w:szCs w:val="24"/>
              </w:rPr>
              <w:t>一、废气</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baseline"/>
              <w:rPr>
                <w:rFonts w:hint="default" w:ascii="Times New Roman" w:hAnsi="Times New Roman" w:eastAsia="宋体" w:cs="Times New Roman"/>
                <w:b w:val="0"/>
                <w:bCs/>
                <w:color w:val="auto"/>
                <w:kern w:val="0"/>
                <w:sz w:val="24"/>
                <w:u w:val="none"/>
                <w:shd w:val="clear" w:color="auto" w:fill="auto"/>
              </w:rPr>
            </w:pPr>
            <w:r>
              <w:rPr>
                <w:rFonts w:hint="eastAsia" w:cs="Times New Roman"/>
                <w:b w:val="0"/>
                <w:bCs/>
                <w:color w:val="auto"/>
                <w:kern w:val="0"/>
                <w:sz w:val="24"/>
                <w:u w:val="none"/>
                <w:shd w:val="clear" w:color="auto" w:fill="auto"/>
                <w:lang w:val="en-US" w:eastAsia="zh-CN"/>
              </w:rPr>
              <w:t>根据工程分析，项目</w:t>
            </w:r>
            <w:r>
              <w:rPr>
                <w:rFonts w:hint="default" w:ascii="Times New Roman" w:hAnsi="Times New Roman" w:eastAsia="宋体" w:cs="Times New Roman"/>
                <w:b w:val="0"/>
                <w:bCs/>
                <w:color w:val="auto"/>
                <w:kern w:val="0"/>
                <w:sz w:val="24"/>
                <w:u w:val="none"/>
                <w:shd w:val="clear" w:color="auto" w:fill="auto"/>
              </w:rPr>
              <w:t>危险废物</w:t>
            </w:r>
            <w:r>
              <w:rPr>
                <w:rFonts w:hint="eastAsia" w:cs="Times New Roman"/>
                <w:b w:val="0"/>
                <w:bCs/>
                <w:color w:val="auto"/>
                <w:kern w:val="0"/>
                <w:sz w:val="24"/>
                <w:u w:val="none"/>
                <w:shd w:val="clear" w:color="auto" w:fill="auto"/>
                <w:lang w:val="en-US" w:eastAsia="zh-CN"/>
              </w:rPr>
              <w:t>贮</w:t>
            </w:r>
            <w:r>
              <w:rPr>
                <w:rFonts w:hint="default" w:ascii="Times New Roman" w:hAnsi="Times New Roman" w:eastAsia="宋体" w:cs="Times New Roman"/>
                <w:b w:val="0"/>
                <w:bCs/>
                <w:color w:val="auto"/>
                <w:kern w:val="0"/>
                <w:sz w:val="24"/>
                <w:u w:val="none"/>
                <w:shd w:val="clear" w:color="auto" w:fill="auto"/>
              </w:rPr>
              <w:t>存过程会产生VOC</w:t>
            </w:r>
            <w:r>
              <w:rPr>
                <w:rFonts w:hint="default" w:ascii="Times New Roman" w:hAnsi="Times New Roman" w:eastAsia="宋体" w:cs="Times New Roman"/>
                <w:b w:val="0"/>
                <w:bCs/>
                <w:color w:val="auto"/>
                <w:kern w:val="0"/>
                <w:sz w:val="24"/>
                <w:u w:val="none"/>
                <w:shd w:val="clear" w:color="auto" w:fill="auto"/>
                <w:vertAlign w:val="subscript"/>
              </w:rPr>
              <w:t>S</w:t>
            </w:r>
            <w:r>
              <w:rPr>
                <w:rFonts w:hint="eastAsia"/>
                <w:color w:val="000000"/>
                <w:sz w:val="24"/>
                <w:szCs w:val="24"/>
                <w:lang w:eastAsia="zh-CN"/>
              </w:rPr>
              <w:t>（</w:t>
            </w:r>
            <w:r>
              <w:rPr>
                <w:rFonts w:hint="default" w:ascii="Times New Roman" w:hAnsi="Times New Roman" w:eastAsia="宋体" w:cs="Times New Roman"/>
                <w:b w:val="0"/>
                <w:bCs/>
                <w:color w:val="auto"/>
                <w:kern w:val="0"/>
                <w:sz w:val="24"/>
                <w:u w:val="none"/>
                <w:shd w:val="clear" w:color="auto" w:fill="auto"/>
              </w:rPr>
              <w:t>以非甲烷总烃计</w:t>
            </w:r>
            <w:r>
              <w:rPr>
                <w:rFonts w:hint="eastAsia"/>
                <w:color w:val="000000"/>
                <w:sz w:val="24"/>
                <w:szCs w:val="24"/>
                <w:lang w:eastAsia="zh-CN"/>
              </w:rPr>
              <w:t>）</w:t>
            </w:r>
            <w:r>
              <w:rPr>
                <w:rFonts w:hint="default" w:ascii="Times New Roman" w:hAnsi="Times New Roman" w:eastAsia="宋体" w:cs="Times New Roman"/>
                <w:b w:val="0"/>
                <w:bCs/>
                <w:color w:val="auto"/>
                <w:kern w:val="0"/>
                <w:sz w:val="24"/>
                <w:u w:val="none"/>
                <w:shd w:val="clear" w:color="auto" w:fill="auto"/>
              </w:rPr>
              <w:t>和氯化氢，评价建议危废</w:t>
            </w:r>
            <w:r>
              <w:rPr>
                <w:rFonts w:hint="eastAsia" w:cs="Times New Roman"/>
                <w:b w:val="0"/>
                <w:bCs/>
                <w:color w:val="auto"/>
                <w:kern w:val="0"/>
                <w:sz w:val="24"/>
                <w:u w:val="none"/>
                <w:shd w:val="clear" w:color="auto" w:fill="auto"/>
                <w:lang w:val="en-US" w:eastAsia="zh-CN"/>
              </w:rPr>
              <w:t>仓库</w:t>
            </w:r>
            <w:r>
              <w:rPr>
                <w:rFonts w:hint="default" w:ascii="Times New Roman" w:hAnsi="Times New Roman" w:eastAsia="宋体" w:cs="Times New Roman"/>
                <w:b w:val="0"/>
                <w:bCs/>
                <w:color w:val="auto"/>
                <w:kern w:val="0"/>
                <w:sz w:val="24"/>
                <w:u w:val="none"/>
                <w:shd w:val="clear" w:color="auto" w:fill="auto"/>
              </w:rPr>
              <w:t>采用密闭设计，库房微负压，设置负压集气装置，收集的废气经</w:t>
            </w:r>
            <w:r>
              <w:rPr>
                <w:rFonts w:hint="eastAsia" w:ascii="Times New Roman" w:hAnsi="Times New Roman" w:eastAsia="宋体"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碱喷淋+除湿除雾+活性炭吸附</w:t>
            </w:r>
            <w:r>
              <w:rPr>
                <w:rFonts w:hint="eastAsia" w:ascii="Times New Roman" w:hAnsi="Times New Roman" w:eastAsia="宋体"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处理后通过不低于15m高的排气筒排放。本项目危废暂存区库面积为1</w:t>
            </w:r>
            <w:r>
              <w:rPr>
                <w:rFonts w:hint="eastAsia" w:cs="Times New Roman"/>
                <w:b w:val="0"/>
                <w:bCs/>
                <w:color w:val="auto"/>
                <w:kern w:val="0"/>
                <w:sz w:val="24"/>
                <w:u w:val="none"/>
                <w:shd w:val="clear" w:color="auto" w:fill="auto"/>
                <w:lang w:val="en-US" w:eastAsia="zh-CN"/>
              </w:rPr>
              <w:t>00</w:t>
            </w:r>
            <w:r>
              <w:rPr>
                <w:rFonts w:hint="default" w:ascii="Times New Roman" w:hAnsi="Times New Roman" w:eastAsia="宋体" w:cs="Times New Roman"/>
                <w:b w:val="0"/>
                <w:bCs/>
                <w:color w:val="auto"/>
                <w:kern w:val="0"/>
                <w:sz w:val="24"/>
                <w:u w:val="none"/>
                <w:shd w:val="clear" w:color="auto" w:fill="auto"/>
              </w:rPr>
              <w:t>0m</w:t>
            </w:r>
            <w:r>
              <w:rPr>
                <w:rFonts w:hint="default" w:ascii="Times New Roman" w:hAnsi="Times New Roman" w:eastAsia="宋体" w:cs="Times New Roman"/>
                <w:b w:val="0"/>
                <w:bCs/>
                <w:color w:val="auto"/>
                <w:kern w:val="0"/>
                <w:sz w:val="24"/>
                <w:u w:val="none"/>
                <w:shd w:val="clear" w:color="auto" w:fill="auto"/>
                <w:vertAlign w:val="superscript"/>
              </w:rPr>
              <w:t>2</w:t>
            </w:r>
            <w:r>
              <w:rPr>
                <w:rFonts w:hint="default" w:ascii="Times New Roman" w:hAnsi="Times New Roman" w:eastAsia="宋体" w:cs="Times New Roman"/>
                <w:b w:val="0"/>
                <w:bCs/>
                <w:color w:val="auto"/>
                <w:kern w:val="0"/>
                <w:sz w:val="24"/>
                <w:u w:val="none"/>
                <w:shd w:val="clear" w:color="auto" w:fill="auto"/>
              </w:rPr>
              <w:t>，高度为</w:t>
            </w:r>
            <w:r>
              <w:rPr>
                <w:rFonts w:hint="eastAsia" w:cs="Times New Roman"/>
                <w:b w:val="0"/>
                <w:bCs/>
                <w:color w:val="auto"/>
                <w:kern w:val="0"/>
                <w:sz w:val="24"/>
                <w:u w:val="none"/>
                <w:shd w:val="clear" w:color="auto" w:fill="auto"/>
                <w:lang w:val="en-US" w:eastAsia="zh-CN"/>
              </w:rPr>
              <w:t>5</w:t>
            </w:r>
            <w:r>
              <w:rPr>
                <w:rFonts w:hint="default" w:ascii="Times New Roman" w:hAnsi="Times New Roman" w:eastAsia="宋体" w:cs="Times New Roman"/>
                <w:b w:val="0"/>
                <w:bCs/>
                <w:color w:val="auto"/>
                <w:kern w:val="0"/>
                <w:sz w:val="24"/>
                <w:u w:val="none"/>
                <w:shd w:val="clear" w:color="auto" w:fill="auto"/>
              </w:rPr>
              <w:t>m，按每小时3次换气计算，总风量</w:t>
            </w:r>
            <w:r>
              <w:rPr>
                <w:rFonts w:hint="eastAsia" w:cs="Times New Roman"/>
                <w:b w:val="0"/>
                <w:bCs/>
                <w:color w:val="auto"/>
                <w:kern w:val="0"/>
                <w:sz w:val="24"/>
                <w:u w:val="none"/>
                <w:shd w:val="clear" w:color="auto" w:fill="auto"/>
                <w:lang w:val="en-US" w:eastAsia="zh-CN"/>
              </w:rPr>
              <w:t>为1</w:t>
            </w:r>
            <w:r>
              <w:rPr>
                <w:rFonts w:hint="default" w:ascii="Times New Roman" w:hAnsi="Times New Roman" w:eastAsia="宋体" w:cs="Times New Roman"/>
                <w:b w:val="0"/>
                <w:bCs/>
                <w:color w:val="auto"/>
                <w:kern w:val="0"/>
                <w:sz w:val="24"/>
                <w:u w:val="none"/>
                <w:shd w:val="clear" w:color="auto" w:fill="auto"/>
              </w:rPr>
              <w:t>5000m</w:t>
            </w:r>
            <w:r>
              <w:rPr>
                <w:rFonts w:hint="default" w:ascii="Times New Roman" w:hAnsi="Times New Roman" w:eastAsia="宋体" w:cs="Times New Roman"/>
                <w:b w:val="0"/>
                <w:bCs/>
                <w:color w:val="auto"/>
                <w:kern w:val="0"/>
                <w:sz w:val="24"/>
                <w:u w:val="none"/>
                <w:shd w:val="clear" w:color="auto" w:fill="auto"/>
                <w:vertAlign w:val="superscript"/>
              </w:rPr>
              <w:t>3</w:t>
            </w:r>
            <w:r>
              <w:rPr>
                <w:rFonts w:hint="default" w:ascii="Times New Roman" w:hAnsi="Times New Roman" w:eastAsia="宋体" w:cs="Times New Roman"/>
                <w:b w:val="0"/>
                <w:bCs/>
                <w:color w:val="auto"/>
                <w:kern w:val="0"/>
                <w:sz w:val="24"/>
                <w:u w:val="none"/>
                <w:shd w:val="clear" w:color="auto" w:fill="auto"/>
              </w:rPr>
              <w:t>/h。</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baseline"/>
              <w:rPr>
                <w:rFonts w:hint="default" w:ascii="Times New Roman" w:hAnsi="Times New Roman" w:eastAsia="宋体" w:cs="Times New Roman"/>
                <w:b w:val="0"/>
                <w:bCs/>
                <w:color w:val="auto"/>
                <w:kern w:val="0"/>
                <w:sz w:val="24"/>
                <w:u w:val="none"/>
                <w:shd w:val="clear" w:color="auto" w:fill="auto"/>
              </w:rPr>
            </w:pPr>
            <w:r>
              <w:rPr>
                <w:rFonts w:hint="default" w:ascii="Times New Roman" w:hAnsi="Times New Roman" w:eastAsia="宋体" w:cs="Times New Roman"/>
                <w:b w:val="0"/>
                <w:bCs/>
                <w:color w:val="auto"/>
                <w:kern w:val="0"/>
                <w:sz w:val="24"/>
                <w:u w:val="none"/>
                <w:shd w:val="clear" w:color="auto" w:fill="auto"/>
              </w:rPr>
              <w:t>项目</w:t>
            </w:r>
            <w:r>
              <w:rPr>
                <w:rFonts w:hint="eastAsia" w:cs="Times New Roman"/>
                <w:b w:val="0"/>
                <w:bCs/>
                <w:color w:val="auto"/>
                <w:kern w:val="0"/>
                <w:sz w:val="24"/>
                <w:u w:val="none"/>
                <w:shd w:val="clear" w:color="auto" w:fill="auto"/>
                <w:lang w:val="en-US" w:eastAsia="zh-CN"/>
              </w:rPr>
              <w:t>贮</w:t>
            </w:r>
            <w:r>
              <w:rPr>
                <w:rFonts w:hint="default" w:ascii="Times New Roman" w:hAnsi="Times New Roman" w:eastAsia="宋体" w:cs="Times New Roman"/>
                <w:b w:val="0"/>
                <w:bCs/>
                <w:color w:val="auto"/>
                <w:kern w:val="0"/>
                <w:sz w:val="24"/>
                <w:u w:val="none"/>
                <w:shd w:val="clear" w:color="auto" w:fill="auto"/>
              </w:rPr>
              <w:t>存过程VOC</w:t>
            </w:r>
            <w:r>
              <w:rPr>
                <w:rFonts w:hint="default" w:ascii="Times New Roman" w:hAnsi="Times New Roman" w:eastAsia="宋体" w:cs="Times New Roman"/>
                <w:b w:val="0"/>
                <w:bCs/>
                <w:color w:val="auto"/>
                <w:kern w:val="0"/>
                <w:sz w:val="24"/>
                <w:u w:val="none"/>
                <w:shd w:val="clear" w:color="auto" w:fill="auto"/>
                <w:vertAlign w:val="subscript"/>
              </w:rPr>
              <w:t>S</w:t>
            </w:r>
            <w:r>
              <w:rPr>
                <w:rFonts w:hint="default" w:ascii="Times New Roman" w:hAnsi="Times New Roman" w:eastAsia="宋体" w:cs="Times New Roman"/>
                <w:b w:val="0"/>
                <w:bCs/>
                <w:color w:val="auto"/>
                <w:kern w:val="0"/>
                <w:sz w:val="24"/>
                <w:u w:val="none"/>
                <w:shd w:val="clear" w:color="auto" w:fill="auto"/>
              </w:rPr>
              <w:t>产生量为</w:t>
            </w:r>
            <w:r>
              <w:rPr>
                <w:rFonts w:hint="eastAsia" w:cs="Times New Roman"/>
                <w:b w:val="0"/>
                <w:bCs/>
                <w:color w:val="auto"/>
                <w:kern w:val="0"/>
                <w:sz w:val="24"/>
                <w:u w:val="none"/>
                <w:shd w:val="clear" w:color="auto" w:fill="auto"/>
                <w:lang w:val="en-US" w:eastAsia="zh-CN"/>
              </w:rPr>
              <w:t>0.29</w:t>
            </w:r>
            <w:r>
              <w:rPr>
                <w:rFonts w:hint="default" w:ascii="Times New Roman" w:hAnsi="Times New Roman" w:eastAsia="宋体" w:cs="Times New Roman"/>
                <w:b w:val="0"/>
                <w:bCs/>
                <w:color w:val="auto"/>
                <w:kern w:val="0"/>
                <w:sz w:val="24"/>
                <w:u w:val="none"/>
                <w:shd w:val="clear" w:color="auto" w:fill="auto"/>
              </w:rPr>
              <w:t>t/a</w:t>
            </w:r>
            <w:r>
              <w:rPr>
                <w:rFonts w:hint="eastAsia" w:cs="Times New Roman"/>
                <w:b w:val="0"/>
                <w:bCs/>
                <w:color w:val="auto"/>
                <w:kern w:val="0"/>
                <w:sz w:val="24"/>
                <w:u w:val="none"/>
                <w:shd w:val="clear" w:color="auto" w:fill="auto"/>
                <w:lang w:eastAsia="zh-CN"/>
              </w:rPr>
              <w:t>（</w:t>
            </w:r>
            <w:r>
              <w:rPr>
                <w:rFonts w:hint="eastAsia" w:cs="Times New Roman"/>
                <w:b w:val="0"/>
                <w:bCs/>
                <w:color w:val="auto"/>
                <w:kern w:val="0"/>
                <w:sz w:val="24"/>
                <w:u w:val="none"/>
                <w:shd w:val="clear" w:color="auto" w:fill="auto"/>
                <w:lang w:val="en-US" w:eastAsia="zh-CN"/>
              </w:rPr>
              <w:t>0.0403kg/h</w:t>
            </w:r>
            <w:r>
              <w:rPr>
                <w:rFonts w:hint="eastAsia"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w:t>
            </w:r>
            <w:r>
              <w:rPr>
                <w:rFonts w:hint="eastAsia" w:ascii="Times New Roman" w:hAnsi="Times New Roman" w:eastAsia="宋体" w:cs="Times New Roman"/>
                <w:b w:val="0"/>
                <w:bCs/>
                <w:color w:val="auto"/>
                <w:kern w:val="0"/>
                <w:sz w:val="24"/>
                <w:u w:val="none"/>
                <w:shd w:val="clear" w:color="auto" w:fill="auto"/>
                <w:lang w:val="en-US" w:eastAsia="zh-CN"/>
              </w:rPr>
              <w:t>氯化氢</w:t>
            </w:r>
            <w:r>
              <w:rPr>
                <w:rFonts w:hint="default" w:ascii="Times New Roman" w:hAnsi="Times New Roman" w:eastAsia="宋体" w:cs="Times New Roman"/>
                <w:b w:val="0"/>
                <w:bCs/>
                <w:color w:val="auto"/>
                <w:kern w:val="0"/>
                <w:sz w:val="24"/>
                <w:u w:val="none"/>
                <w:shd w:val="clear" w:color="auto" w:fill="auto"/>
              </w:rPr>
              <w:t>产生量为</w:t>
            </w:r>
            <w:r>
              <w:rPr>
                <w:rFonts w:hint="eastAsia" w:cs="Times New Roman"/>
                <w:b w:val="0"/>
                <w:bCs/>
                <w:color w:val="auto"/>
                <w:kern w:val="0"/>
                <w:sz w:val="24"/>
                <w:u w:val="none"/>
                <w:shd w:val="clear" w:color="auto" w:fill="auto"/>
                <w:lang w:val="en-US" w:eastAsia="zh-CN"/>
              </w:rPr>
              <w:t>0.12</w:t>
            </w:r>
            <w:r>
              <w:rPr>
                <w:rFonts w:hint="default" w:ascii="Times New Roman" w:hAnsi="Times New Roman" w:eastAsia="宋体" w:cs="Times New Roman"/>
                <w:b w:val="0"/>
                <w:bCs/>
                <w:color w:val="auto"/>
                <w:kern w:val="0"/>
                <w:sz w:val="24"/>
                <w:u w:val="none"/>
                <w:shd w:val="clear" w:color="auto" w:fill="auto"/>
              </w:rPr>
              <w:t>t/a</w:t>
            </w:r>
            <w:r>
              <w:rPr>
                <w:rFonts w:hint="eastAsia" w:cs="Times New Roman"/>
                <w:b w:val="0"/>
                <w:bCs/>
                <w:color w:val="auto"/>
                <w:kern w:val="0"/>
                <w:sz w:val="24"/>
                <w:u w:val="none"/>
                <w:shd w:val="clear" w:color="auto" w:fill="auto"/>
                <w:lang w:eastAsia="zh-CN"/>
              </w:rPr>
              <w:t>（</w:t>
            </w:r>
            <w:r>
              <w:rPr>
                <w:rFonts w:hint="eastAsia" w:cs="Times New Roman"/>
                <w:b w:val="0"/>
                <w:bCs/>
                <w:color w:val="auto"/>
                <w:kern w:val="0"/>
                <w:sz w:val="24"/>
                <w:u w:val="none"/>
                <w:shd w:val="clear" w:color="auto" w:fill="auto"/>
                <w:lang w:val="en-US" w:eastAsia="zh-CN"/>
              </w:rPr>
              <w:t>0.0167kg/h</w:t>
            </w:r>
            <w:r>
              <w:rPr>
                <w:rFonts w:hint="eastAsia"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，通过负压收集输送至</w:t>
            </w:r>
            <w:r>
              <w:rPr>
                <w:rFonts w:hint="eastAsia" w:ascii="Times New Roman" w:hAnsi="Times New Roman" w:eastAsia="宋体"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碱喷淋+除湿除雾+活性炭吸附</w:t>
            </w:r>
            <w:r>
              <w:rPr>
                <w:rFonts w:hint="eastAsia" w:ascii="Times New Roman" w:hAnsi="Times New Roman" w:eastAsia="宋体"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处理，尾气再经由15m高排气筒外排</w:t>
            </w:r>
            <w:r>
              <w:rPr>
                <w:rFonts w:hint="eastAsia"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氯化氢、VOC</w:t>
            </w:r>
            <w:r>
              <w:rPr>
                <w:rFonts w:hint="default" w:ascii="Times New Roman" w:hAnsi="Times New Roman" w:eastAsia="宋体" w:cs="Times New Roman"/>
                <w:b w:val="0"/>
                <w:bCs/>
                <w:color w:val="auto"/>
                <w:kern w:val="0"/>
                <w:sz w:val="24"/>
                <w:u w:val="none"/>
                <w:shd w:val="clear" w:color="auto" w:fill="auto"/>
                <w:vertAlign w:val="subscript"/>
              </w:rPr>
              <w:t>S</w:t>
            </w:r>
            <w:r>
              <w:rPr>
                <w:rFonts w:hint="default" w:ascii="Times New Roman" w:hAnsi="Times New Roman" w:eastAsia="宋体" w:cs="Times New Roman"/>
                <w:b w:val="0"/>
                <w:bCs/>
                <w:color w:val="auto"/>
                <w:kern w:val="0"/>
                <w:sz w:val="24"/>
                <w:u w:val="none"/>
                <w:shd w:val="clear" w:color="auto" w:fill="auto"/>
              </w:rPr>
              <w:t>去除效率均为90%，风机风量为</w:t>
            </w:r>
            <w:r>
              <w:rPr>
                <w:rFonts w:hint="eastAsia" w:cs="Times New Roman"/>
                <w:b w:val="0"/>
                <w:bCs/>
                <w:color w:val="auto"/>
                <w:kern w:val="0"/>
                <w:sz w:val="24"/>
                <w:u w:val="none"/>
                <w:shd w:val="clear" w:color="auto" w:fill="auto"/>
                <w:lang w:val="en-US" w:eastAsia="zh-CN"/>
              </w:rPr>
              <w:t>1</w:t>
            </w:r>
            <w:r>
              <w:rPr>
                <w:rFonts w:hint="default" w:ascii="Times New Roman" w:hAnsi="Times New Roman" w:eastAsia="宋体" w:cs="Times New Roman"/>
                <w:b w:val="0"/>
                <w:bCs/>
                <w:color w:val="auto"/>
                <w:kern w:val="0"/>
                <w:sz w:val="24"/>
                <w:u w:val="none"/>
                <w:shd w:val="clear" w:color="auto" w:fill="auto"/>
              </w:rPr>
              <w:t>5000m</w:t>
            </w:r>
            <w:r>
              <w:rPr>
                <w:rFonts w:hint="default" w:ascii="Times New Roman" w:hAnsi="Times New Roman" w:eastAsia="宋体" w:cs="Times New Roman"/>
                <w:b w:val="0"/>
                <w:bCs/>
                <w:color w:val="auto"/>
                <w:kern w:val="0"/>
                <w:sz w:val="24"/>
                <w:u w:val="none"/>
                <w:shd w:val="clear" w:color="auto" w:fill="auto"/>
                <w:vertAlign w:val="superscript"/>
              </w:rPr>
              <w:t>3</w:t>
            </w:r>
            <w:r>
              <w:rPr>
                <w:rFonts w:hint="default" w:ascii="Times New Roman" w:hAnsi="Times New Roman" w:eastAsia="宋体" w:cs="Times New Roman"/>
                <w:b w:val="0"/>
                <w:bCs/>
                <w:color w:val="auto"/>
                <w:kern w:val="0"/>
                <w:sz w:val="24"/>
                <w:u w:val="none"/>
                <w:shd w:val="clear" w:color="auto" w:fill="auto"/>
              </w:rPr>
              <w:t>/h，则经</w:t>
            </w:r>
            <w:r>
              <w:rPr>
                <w:rFonts w:hint="eastAsia" w:cs="Times New Roman"/>
                <w:b w:val="0"/>
                <w:bCs/>
                <w:color w:val="auto"/>
                <w:kern w:val="0"/>
                <w:sz w:val="24"/>
                <w:u w:val="none"/>
                <w:shd w:val="clear" w:color="auto" w:fill="auto"/>
                <w:lang w:val="en-US" w:eastAsia="zh-CN"/>
              </w:rPr>
              <w:t>非甲烷总烃排放量0.029t/a，排放速率0.004kg/h排放浓度0.27</w:t>
            </w:r>
            <w:r>
              <w:rPr>
                <w:rFonts w:hint="eastAsia" w:ascii="Times New Roman" w:hAnsi="Times New Roman" w:eastAsia="宋体" w:cs="Times New Roman"/>
                <w:b w:val="0"/>
                <w:bCs/>
                <w:color w:val="auto"/>
                <w:kern w:val="0"/>
                <w:sz w:val="24"/>
                <w:u w:val="none"/>
                <w:shd w:val="clear" w:color="auto" w:fill="auto"/>
                <w:lang w:val="en-US" w:eastAsia="zh-CN"/>
              </w:rPr>
              <w:t>mg/m</w:t>
            </w:r>
            <w:r>
              <w:rPr>
                <w:rFonts w:hint="eastAsia" w:ascii="Times New Roman" w:hAnsi="Times New Roman" w:eastAsia="宋体" w:cs="Times New Roman"/>
                <w:b w:val="0"/>
                <w:bCs/>
                <w:color w:val="auto"/>
                <w:kern w:val="0"/>
                <w:sz w:val="24"/>
                <w:u w:val="none"/>
                <w:shd w:val="clear" w:color="auto" w:fill="auto"/>
                <w:vertAlign w:val="superscript"/>
                <w:lang w:val="en-US" w:eastAsia="zh-CN"/>
              </w:rPr>
              <w:t>3</w:t>
            </w:r>
            <w:r>
              <w:rPr>
                <w:rFonts w:hint="eastAsia" w:ascii="Times New Roman" w:hAnsi="Times New Roman" w:eastAsia="宋体"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满足《关于全省开展工业企业挥发性有机物专项治理工作中排放建议值的通知》（豫环攻坚办[2017]162号文）中</w:t>
            </w:r>
            <w:r>
              <w:rPr>
                <w:rFonts w:hint="eastAsia" w:ascii="Times New Roman" w:hAnsi="Times New Roman" w:eastAsia="宋体"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附件1工业企业边界挥发性有机物排放建议值</w:t>
            </w:r>
            <w:r>
              <w:rPr>
                <w:rFonts w:hint="eastAsia" w:ascii="Times New Roman" w:hAnsi="Times New Roman" w:eastAsia="宋体"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中</w:t>
            </w:r>
            <w:r>
              <w:rPr>
                <w:rFonts w:hint="eastAsia" w:ascii="Times New Roman" w:hAnsi="Times New Roman" w:eastAsia="宋体"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其他企业有机废气排放口</w:t>
            </w:r>
            <w:r>
              <w:rPr>
                <w:rFonts w:hint="eastAsia" w:ascii="Times New Roman" w:hAnsi="Times New Roman" w:eastAsia="宋体"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非甲烷总烃建议排放浓度80mg/m</w:t>
            </w:r>
            <w:r>
              <w:rPr>
                <w:rFonts w:hint="default" w:ascii="Times New Roman" w:hAnsi="Times New Roman" w:eastAsia="宋体" w:cs="Times New Roman"/>
                <w:b w:val="0"/>
                <w:bCs/>
                <w:color w:val="auto"/>
                <w:kern w:val="0"/>
                <w:sz w:val="24"/>
                <w:u w:val="none"/>
                <w:shd w:val="clear" w:color="auto" w:fill="auto"/>
                <w:vertAlign w:val="superscript"/>
              </w:rPr>
              <w:t>3</w:t>
            </w:r>
            <w:r>
              <w:rPr>
                <w:rFonts w:hint="default" w:ascii="Times New Roman" w:hAnsi="Times New Roman" w:eastAsia="宋体" w:cs="Times New Roman"/>
                <w:b w:val="0"/>
                <w:bCs/>
                <w:color w:val="auto"/>
                <w:kern w:val="0"/>
                <w:sz w:val="24"/>
                <w:u w:val="none"/>
                <w:shd w:val="clear" w:color="auto" w:fill="auto"/>
              </w:rPr>
              <w:t>、建议去除效率70%及《大气污染物综合排放标准》（GB16297－96）表2中的二级标准：非甲烷总烃最高允许排放浓度120mg/m</w:t>
            </w:r>
            <w:r>
              <w:rPr>
                <w:rFonts w:hint="default" w:ascii="Times New Roman" w:hAnsi="Times New Roman" w:eastAsia="宋体" w:cs="Times New Roman"/>
                <w:b w:val="0"/>
                <w:bCs/>
                <w:color w:val="auto"/>
                <w:kern w:val="0"/>
                <w:sz w:val="24"/>
                <w:u w:val="none"/>
                <w:shd w:val="clear" w:color="auto" w:fill="auto"/>
                <w:vertAlign w:val="superscript"/>
              </w:rPr>
              <w:t>3</w:t>
            </w:r>
            <w:r>
              <w:rPr>
                <w:rFonts w:hint="default" w:ascii="Times New Roman" w:hAnsi="Times New Roman" w:eastAsia="宋体" w:cs="Times New Roman"/>
                <w:b w:val="0"/>
                <w:bCs/>
                <w:color w:val="auto"/>
                <w:kern w:val="0"/>
                <w:sz w:val="24"/>
                <w:u w:val="none"/>
                <w:shd w:val="clear" w:color="auto" w:fill="auto"/>
              </w:rPr>
              <w:t>、15m高排气筒最高允许排放速率10kg/h。</w:t>
            </w:r>
            <w:r>
              <w:rPr>
                <w:rFonts w:hint="eastAsia" w:ascii="Times New Roman" w:hAnsi="Times New Roman" w:eastAsia="宋体" w:cs="Times New Roman"/>
                <w:b w:val="0"/>
                <w:bCs/>
                <w:color w:val="auto"/>
                <w:kern w:val="0"/>
                <w:sz w:val="24"/>
                <w:u w:val="none"/>
                <w:shd w:val="clear" w:color="auto" w:fill="auto"/>
                <w:lang w:eastAsia="zh-CN"/>
              </w:rPr>
              <w:t>氯化氢</w:t>
            </w:r>
            <w:r>
              <w:rPr>
                <w:rFonts w:hint="eastAsia" w:cs="Times New Roman"/>
                <w:b w:val="0"/>
                <w:bCs/>
                <w:color w:val="auto"/>
                <w:kern w:val="0"/>
                <w:sz w:val="24"/>
                <w:u w:val="none"/>
                <w:shd w:val="clear" w:color="auto" w:fill="auto"/>
                <w:lang w:val="en-US" w:eastAsia="zh-CN"/>
              </w:rPr>
              <w:t>排放</w:t>
            </w:r>
            <w:r>
              <w:rPr>
                <w:rFonts w:hint="default" w:ascii="Times New Roman" w:hAnsi="Times New Roman" w:eastAsia="宋体" w:cs="Times New Roman"/>
                <w:b w:val="0"/>
                <w:bCs/>
                <w:color w:val="auto"/>
                <w:kern w:val="0"/>
                <w:sz w:val="24"/>
                <w:u w:val="none"/>
                <w:shd w:val="clear" w:color="auto" w:fill="auto"/>
              </w:rPr>
              <w:t>量0.</w:t>
            </w:r>
            <w:r>
              <w:rPr>
                <w:rFonts w:hint="eastAsia" w:cs="Times New Roman"/>
                <w:b w:val="0"/>
                <w:bCs/>
                <w:color w:val="auto"/>
                <w:kern w:val="0"/>
                <w:sz w:val="24"/>
                <w:u w:val="none"/>
                <w:shd w:val="clear" w:color="auto" w:fill="auto"/>
                <w:lang w:val="en-US" w:eastAsia="zh-CN"/>
              </w:rPr>
              <w:t>012t/a，排放速率0.0017kg/h</w:t>
            </w:r>
            <w:r>
              <w:rPr>
                <w:rFonts w:hint="default" w:ascii="Times New Roman" w:hAnsi="Times New Roman" w:eastAsia="宋体" w:cs="Times New Roman"/>
                <w:b w:val="0"/>
                <w:bCs/>
                <w:color w:val="auto"/>
                <w:kern w:val="0"/>
                <w:sz w:val="24"/>
                <w:u w:val="none"/>
                <w:shd w:val="clear" w:color="auto" w:fill="auto"/>
              </w:rPr>
              <w:t>，</w:t>
            </w:r>
            <w:r>
              <w:rPr>
                <w:rFonts w:hint="eastAsia" w:cs="Times New Roman"/>
                <w:b w:val="0"/>
                <w:bCs/>
                <w:color w:val="auto"/>
                <w:kern w:val="0"/>
                <w:sz w:val="24"/>
                <w:u w:val="none"/>
                <w:shd w:val="clear" w:color="auto" w:fill="auto"/>
                <w:lang w:val="en-US" w:eastAsia="zh-CN"/>
              </w:rPr>
              <w:t>排放浓度0.11mg</w:t>
            </w:r>
            <w:r>
              <w:rPr>
                <w:rFonts w:hint="default" w:ascii="Times New Roman" w:hAnsi="Times New Roman" w:eastAsia="宋体" w:cs="Times New Roman"/>
                <w:b w:val="0"/>
                <w:bCs/>
                <w:color w:val="auto"/>
                <w:kern w:val="0"/>
                <w:sz w:val="24"/>
                <w:u w:val="none"/>
                <w:shd w:val="clear" w:color="auto" w:fill="auto"/>
              </w:rPr>
              <w:t>/m</w:t>
            </w:r>
            <w:r>
              <w:rPr>
                <w:rFonts w:hint="default" w:ascii="Times New Roman" w:hAnsi="Times New Roman" w:eastAsia="宋体" w:cs="Times New Roman"/>
                <w:b w:val="0"/>
                <w:bCs/>
                <w:color w:val="auto"/>
                <w:kern w:val="0"/>
                <w:sz w:val="24"/>
                <w:u w:val="none"/>
                <w:shd w:val="clear" w:color="auto" w:fill="auto"/>
                <w:vertAlign w:val="superscript"/>
              </w:rPr>
              <w:t>3</w:t>
            </w:r>
            <w:r>
              <w:rPr>
                <w:rFonts w:hint="eastAsia" w:cs="Times New Roman"/>
                <w:b w:val="0"/>
                <w:bCs/>
                <w:color w:val="auto"/>
                <w:kern w:val="0"/>
                <w:sz w:val="24"/>
                <w:u w:val="none"/>
                <w:shd w:val="clear" w:color="auto" w:fill="auto"/>
                <w:lang w:val="en-US" w:eastAsia="zh-CN"/>
              </w:rPr>
              <w:t>，</w:t>
            </w:r>
            <w:r>
              <w:rPr>
                <w:rFonts w:hint="default" w:ascii="Times New Roman" w:hAnsi="Times New Roman" w:eastAsia="宋体" w:cs="Times New Roman"/>
                <w:b w:val="0"/>
                <w:bCs/>
                <w:color w:val="auto"/>
                <w:kern w:val="0"/>
                <w:sz w:val="24"/>
                <w:u w:val="none"/>
                <w:shd w:val="clear" w:color="auto" w:fill="auto"/>
              </w:rPr>
              <w:t>满足《大气污染物综合排放标准》（GB16297－96）表2中的二级标准</w:t>
            </w:r>
            <w:r>
              <w:rPr>
                <w:rFonts w:hint="eastAsia"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最高允许排放浓度100mg/m</w:t>
            </w:r>
            <w:r>
              <w:rPr>
                <w:rFonts w:hint="default" w:ascii="Times New Roman" w:hAnsi="Times New Roman" w:eastAsia="宋体" w:cs="Times New Roman"/>
                <w:b w:val="0"/>
                <w:bCs/>
                <w:color w:val="auto"/>
                <w:kern w:val="0"/>
                <w:sz w:val="24"/>
                <w:u w:val="none"/>
                <w:shd w:val="clear" w:color="auto" w:fill="auto"/>
                <w:vertAlign w:val="superscript"/>
              </w:rPr>
              <w:t>3</w:t>
            </w:r>
            <w:r>
              <w:rPr>
                <w:rFonts w:hint="default" w:ascii="Times New Roman" w:hAnsi="Times New Roman" w:eastAsia="宋体" w:cs="Times New Roman"/>
                <w:b w:val="0"/>
                <w:bCs/>
                <w:color w:val="auto"/>
                <w:kern w:val="0"/>
                <w:sz w:val="24"/>
                <w:u w:val="none"/>
                <w:shd w:val="clear" w:color="auto" w:fill="auto"/>
              </w:rPr>
              <w:t>、15m高排气筒最高允许排放速率0.26kg/h</w:t>
            </w:r>
            <w:r>
              <w:rPr>
                <w:rFonts w:hint="eastAsia" w:cs="Times New Roman"/>
                <w:b w:val="0"/>
                <w:bCs/>
                <w:color w:val="auto"/>
                <w:kern w:val="0"/>
                <w:sz w:val="24"/>
                <w:u w:val="none"/>
                <w:shd w:val="clear" w:color="auto" w:fill="auto"/>
                <w:lang w:eastAsia="zh-CN"/>
              </w:rPr>
              <w:t>）。</w:t>
            </w:r>
            <w:r>
              <w:rPr>
                <w:rFonts w:hint="default" w:ascii="Times New Roman" w:hAnsi="Times New Roman" w:eastAsia="宋体" w:cs="Times New Roman"/>
                <w:b w:val="0"/>
                <w:bCs/>
                <w:color w:val="auto"/>
                <w:kern w:val="0"/>
                <w:sz w:val="24"/>
                <w:u w:val="none"/>
                <w:shd w:val="clear" w:color="auto" w:fill="auto"/>
              </w:rPr>
              <w:t>本项目废气源强核算及排放情况详见下表。</w:t>
            </w:r>
          </w:p>
          <w:p>
            <w:pPr>
              <w:pStyle w:val="121"/>
              <w:numPr>
                <w:ilvl w:val="0"/>
                <w:numId w:val="0"/>
              </w:numPr>
              <w:bidi w:val="0"/>
              <w:ind w:leftChars="0"/>
              <w:jc w:val="center"/>
              <w:rPr>
                <w:rFonts w:hint="default"/>
              </w:rPr>
            </w:pPr>
            <w:r>
              <w:rPr>
                <w:rFonts w:hint="eastAsia"/>
                <w:lang w:val="en-US" w:eastAsia="zh-CN"/>
              </w:rPr>
              <w:t xml:space="preserve">表4-1    </w:t>
            </w:r>
            <w:r>
              <w:rPr>
                <w:rFonts w:hint="default"/>
              </w:rPr>
              <w:t>本项目废气污染物源强及相关参数一览表</w:t>
            </w:r>
          </w:p>
          <w:tbl>
            <w:tblPr>
              <w:tblStyle w:val="2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98"/>
              <w:gridCol w:w="613"/>
              <w:gridCol w:w="735"/>
              <w:gridCol w:w="894"/>
              <w:gridCol w:w="631"/>
              <w:gridCol w:w="631"/>
              <w:gridCol w:w="1029"/>
              <w:gridCol w:w="612"/>
              <w:gridCol w:w="736"/>
              <w:gridCol w:w="735"/>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污染源</w:t>
                  </w:r>
                </w:p>
              </w:tc>
              <w:tc>
                <w:tcPr>
                  <w:tcW w:w="613"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污染物</w:t>
                  </w:r>
                </w:p>
              </w:tc>
              <w:tc>
                <w:tcPr>
                  <w:tcW w:w="73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核算方法</w:t>
                  </w:r>
                </w:p>
              </w:tc>
              <w:tc>
                <w:tcPr>
                  <w:tcW w:w="1525"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污染物产生情况</w:t>
                  </w:r>
                </w:p>
              </w:tc>
              <w:tc>
                <w:tcPr>
                  <w:tcW w:w="631"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收集效率（%）</w:t>
                  </w:r>
                </w:p>
              </w:tc>
              <w:tc>
                <w:tcPr>
                  <w:tcW w:w="1641"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治理情况</w:t>
                  </w:r>
                </w:p>
              </w:tc>
              <w:tc>
                <w:tcPr>
                  <w:tcW w:w="1471"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污染物排放情况</w:t>
                  </w:r>
                </w:p>
              </w:tc>
              <w:tc>
                <w:tcPr>
                  <w:tcW w:w="67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排放时间（h）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p>
              </w:tc>
              <w:tc>
                <w:tcPr>
                  <w:tcW w:w="613"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p>
              </w:tc>
              <w:tc>
                <w:tcPr>
                  <w:tcW w:w="73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p>
              </w:tc>
              <w:tc>
                <w:tcPr>
                  <w:tcW w:w="894"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产生浓度(mg/m</w:t>
                  </w:r>
                  <w:r>
                    <w:rPr>
                      <w:rFonts w:hint="default" w:ascii="Times New Roman" w:hAnsi="Times New Roman" w:eastAsia="宋体" w:cs="Times New Roman"/>
                      <w:b/>
                      <w:bCs w:val="0"/>
                      <w:snapToGrid w:val="0"/>
                      <w:color w:val="auto"/>
                      <w:kern w:val="0"/>
                      <w:sz w:val="21"/>
                      <w:szCs w:val="21"/>
                      <w:vertAlign w:val="superscript"/>
                      <w:lang w:val="en-US" w:eastAsia="zh-CN"/>
                    </w:rPr>
                    <w:t>3</w:t>
                  </w:r>
                  <w:r>
                    <w:rPr>
                      <w:rFonts w:hint="default" w:ascii="Times New Roman" w:hAnsi="Times New Roman" w:eastAsia="宋体" w:cs="Times New Roman"/>
                      <w:b/>
                      <w:bCs w:val="0"/>
                      <w:snapToGrid w:val="0"/>
                      <w:color w:val="auto"/>
                      <w:kern w:val="0"/>
                      <w:sz w:val="21"/>
                      <w:szCs w:val="21"/>
                      <w:lang w:val="en-US" w:eastAsia="zh-CN"/>
                    </w:rPr>
                    <w:t>)</w:t>
                  </w:r>
                </w:p>
              </w:tc>
              <w:tc>
                <w:tcPr>
                  <w:tcW w:w="631"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产生量（</w:t>
                  </w:r>
                  <w:r>
                    <w:rPr>
                      <w:rFonts w:hint="eastAsia" w:cs="Times New Roman"/>
                      <w:b/>
                      <w:bCs w:val="0"/>
                      <w:snapToGrid w:val="0"/>
                      <w:color w:val="auto"/>
                      <w:kern w:val="0"/>
                      <w:sz w:val="21"/>
                      <w:szCs w:val="21"/>
                      <w:lang w:val="en-US" w:eastAsia="zh-CN"/>
                    </w:rPr>
                    <w:t>t</w:t>
                  </w:r>
                  <w:r>
                    <w:rPr>
                      <w:rFonts w:hint="default" w:ascii="Times New Roman" w:hAnsi="Times New Roman" w:eastAsia="宋体" w:cs="Times New Roman"/>
                      <w:b/>
                      <w:bCs w:val="0"/>
                      <w:snapToGrid w:val="0"/>
                      <w:color w:val="auto"/>
                      <w:kern w:val="0"/>
                      <w:sz w:val="21"/>
                      <w:szCs w:val="21"/>
                      <w:lang w:val="en-US" w:eastAsia="zh-CN"/>
                    </w:rPr>
                    <w:t>/</w:t>
                  </w:r>
                  <w:r>
                    <w:rPr>
                      <w:rFonts w:hint="eastAsia" w:ascii="Times New Roman" w:hAnsi="Times New Roman" w:eastAsia="宋体" w:cs="Times New Roman"/>
                      <w:b/>
                      <w:bCs w:val="0"/>
                      <w:snapToGrid w:val="0"/>
                      <w:color w:val="auto"/>
                      <w:kern w:val="0"/>
                      <w:sz w:val="21"/>
                      <w:szCs w:val="21"/>
                      <w:lang w:val="en-US" w:eastAsia="zh-CN"/>
                    </w:rPr>
                    <w:t>a</w:t>
                  </w:r>
                  <w:r>
                    <w:rPr>
                      <w:rFonts w:hint="default" w:ascii="Times New Roman" w:hAnsi="Times New Roman" w:eastAsia="宋体" w:cs="Times New Roman"/>
                      <w:b/>
                      <w:bCs w:val="0"/>
                      <w:snapToGrid w:val="0"/>
                      <w:color w:val="auto"/>
                      <w:kern w:val="0"/>
                      <w:sz w:val="21"/>
                      <w:szCs w:val="21"/>
                      <w:lang w:val="en-US" w:eastAsia="zh-CN"/>
                    </w:rPr>
                    <w:t>）</w:t>
                  </w:r>
                </w:p>
              </w:tc>
              <w:tc>
                <w:tcPr>
                  <w:tcW w:w="631"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p>
              </w:tc>
              <w:tc>
                <w:tcPr>
                  <w:tcW w:w="1029"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治理措施</w:t>
                  </w:r>
                </w:p>
              </w:tc>
              <w:tc>
                <w:tcPr>
                  <w:tcW w:w="612"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处理效率（%）</w:t>
                  </w:r>
                </w:p>
              </w:tc>
              <w:tc>
                <w:tcPr>
                  <w:tcW w:w="736"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排放浓度(mg/m</w:t>
                  </w:r>
                  <w:r>
                    <w:rPr>
                      <w:rFonts w:hint="default" w:ascii="Times New Roman" w:hAnsi="Times New Roman" w:eastAsia="宋体" w:cs="Times New Roman"/>
                      <w:b/>
                      <w:bCs w:val="0"/>
                      <w:snapToGrid w:val="0"/>
                      <w:color w:val="auto"/>
                      <w:kern w:val="0"/>
                      <w:sz w:val="21"/>
                      <w:szCs w:val="21"/>
                      <w:vertAlign w:val="superscript"/>
                      <w:lang w:val="en-US" w:eastAsia="zh-CN"/>
                    </w:rPr>
                    <w:t>3</w:t>
                  </w:r>
                  <w:r>
                    <w:rPr>
                      <w:rFonts w:hint="default" w:ascii="Times New Roman" w:hAnsi="Times New Roman" w:eastAsia="宋体" w:cs="Times New Roman"/>
                      <w:b/>
                      <w:bCs w:val="0"/>
                      <w:snapToGrid w:val="0"/>
                      <w:color w:val="auto"/>
                      <w:kern w:val="0"/>
                      <w:sz w:val="21"/>
                      <w:szCs w:val="21"/>
                      <w:lang w:val="en-US" w:eastAsia="zh-CN"/>
                    </w:rPr>
                    <w:t>)</w:t>
                  </w:r>
                </w:p>
              </w:tc>
              <w:tc>
                <w:tcPr>
                  <w:tcW w:w="735" w:type="dxa"/>
                  <w:tcBorders>
                    <w:tl2br w:val="nil"/>
                    <w:tr2bl w:val="nil"/>
                  </w:tcBorders>
                  <w:noWrap w:val="0"/>
                  <w:vAlign w:val="center"/>
                </w:tcPr>
                <w:p>
                  <w:pPr>
                    <w:adjustRightInd w:val="0"/>
                    <w:snapToGrid w:val="0"/>
                    <w:jc w:val="center"/>
                    <w:rPr>
                      <w:rFonts w:hint="default" w:ascii="Times New Roman" w:hAnsi="Times New Roman" w:eastAsia="宋体" w:cs="Times New Roman"/>
                      <w:b/>
                      <w:bCs w:val="0"/>
                      <w:snapToGrid w:val="0"/>
                      <w:color w:val="auto"/>
                      <w:kern w:val="0"/>
                      <w:sz w:val="21"/>
                      <w:szCs w:val="21"/>
                      <w:lang w:val="en-US" w:eastAsia="zh-CN"/>
                    </w:rPr>
                  </w:pPr>
                  <w:r>
                    <w:rPr>
                      <w:rFonts w:hint="default" w:ascii="Times New Roman" w:hAnsi="Times New Roman" w:eastAsia="宋体" w:cs="Times New Roman"/>
                      <w:b/>
                      <w:bCs w:val="0"/>
                      <w:snapToGrid w:val="0"/>
                      <w:color w:val="auto"/>
                      <w:kern w:val="0"/>
                      <w:sz w:val="21"/>
                      <w:szCs w:val="21"/>
                      <w:lang w:val="en-US" w:eastAsia="zh-CN"/>
                    </w:rPr>
                    <w:t>排放量（</w:t>
                  </w:r>
                  <w:r>
                    <w:rPr>
                      <w:rFonts w:hint="eastAsia" w:cs="Times New Roman"/>
                      <w:b/>
                      <w:bCs w:val="0"/>
                      <w:snapToGrid w:val="0"/>
                      <w:color w:val="auto"/>
                      <w:kern w:val="0"/>
                      <w:sz w:val="21"/>
                      <w:szCs w:val="21"/>
                      <w:lang w:val="en-US" w:eastAsia="zh-CN"/>
                    </w:rPr>
                    <w:t>t</w:t>
                  </w:r>
                  <w:r>
                    <w:rPr>
                      <w:rFonts w:hint="default" w:ascii="Times New Roman" w:hAnsi="Times New Roman" w:eastAsia="宋体" w:cs="Times New Roman"/>
                      <w:b/>
                      <w:bCs w:val="0"/>
                      <w:snapToGrid w:val="0"/>
                      <w:color w:val="auto"/>
                      <w:kern w:val="0"/>
                      <w:sz w:val="21"/>
                      <w:szCs w:val="21"/>
                      <w:lang w:val="en-US" w:eastAsia="zh-CN"/>
                    </w:rPr>
                    <w:t>/</w:t>
                  </w:r>
                  <w:r>
                    <w:rPr>
                      <w:rFonts w:hint="eastAsia" w:ascii="Times New Roman" w:hAnsi="Times New Roman" w:eastAsia="宋体" w:cs="Times New Roman"/>
                      <w:b/>
                      <w:bCs w:val="0"/>
                      <w:snapToGrid w:val="0"/>
                      <w:color w:val="auto"/>
                      <w:kern w:val="0"/>
                      <w:sz w:val="21"/>
                      <w:szCs w:val="21"/>
                      <w:lang w:val="en-US" w:eastAsia="zh-CN"/>
                    </w:rPr>
                    <w:t>a</w:t>
                  </w:r>
                  <w:r>
                    <w:rPr>
                      <w:rFonts w:hint="default" w:ascii="Times New Roman" w:hAnsi="Times New Roman" w:eastAsia="宋体" w:cs="Times New Roman"/>
                      <w:b/>
                      <w:bCs w:val="0"/>
                      <w:snapToGrid w:val="0"/>
                      <w:color w:val="auto"/>
                      <w:kern w:val="0"/>
                      <w:sz w:val="21"/>
                      <w:szCs w:val="21"/>
                      <w:lang w:val="en-US" w:eastAsia="zh-CN"/>
                    </w:rPr>
                    <w:t>）</w:t>
                  </w:r>
                </w:p>
              </w:tc>
              <w:tc>
                <w:tcPr>
                  <w:tcW w:w="67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8"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排气筒</w:t>
                  </w:r>
                </w:p>
              </w:tc>
              <w:tc>
                <w:tcPr>
                  <w:tcW w:w="61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NMHC</w:t>
                  </w:r>
                </w:p>
              </w:tc>
              <w:tc>
                <w:tcPr>
                  <w:tcW w:w="73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类比法</w:t>
                  </w:r>
                </w:p>
              </w:tc>
              <w:tc>
                <w:tcPr>
                  <w:tcW w:w="89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2.7</w:t>
                  </w:r>
                </w:p>
              </w:tc>
              <w:tc>
                <w:tcPr>
                  <w:tcW w:w="6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0.29</w:t>
                  </w:r>
                </w:p>
              </w:tc>
              <w:tc>
                <w:tcPr>
                  <w:tcW w:w="631"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ascii="Times New Roman" w:hAnsi="Times New Roman" w:eastAsia="宋体" w:cs="Times New Roman"/>
                      <w:bCs/>
                      <w:snapToGrid w:val="0"/>
                      <w:color w:val="auto"/>
                      <w:kern w:val="0"/>
                      <w:sz w:val="21"/>
                      <w:szCs w:val="21"/>
                      <w:lang w:val="en-US" w:eastAsia="zh-CN"/>
                    </w:rPr>
                    <w:t>100</w:t>
                  </w:r>
                </w:p>
              </w:tc>
              <w:tc>
                <w:tcPr>
                  <w:tcW w:w="1029"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碱喷淋+除湿除雾+活性炭吸附</w:t>
                  </w:r>
                </w:p>
              </w:tc>
              <w:tc>
                <w:tcPr>
                  <w:tcW w:w="612"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90</w:t>
                  </w:r>
                </w:p>
              </w:tc>
              <w:tc>
                <w:tcPr>
                  <w:tcW w:w="7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0.27</w:t>
                  </w:r>
                </w:p>
              </w:tc>
              <w:tc>
                <w:tcPr>
                  <w:tcW w:w="73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0.029</w:t>
                  </w:r>
                </w:p>
              </w:tc>
              <w:tc>
                <w:tcPr>
                  <w:tcW w:w="675" w:type="dxa"/>
                  <w:vMerge w:val="restart"/>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default" w:ascii="Times New Roman" w:hAnsi="Times New Roman" w:eastAsia="宋体" w:cs="Times New Roman"/>
                      <w:bCs/>
                      <w:snapToGrid w:val="0"/>
                      <w:color w:val="auto"/>
                      <w:kern w:val="0"/>
                      <w:sz w:val="21"/>
                      <w:szCs w:val="21"/>
                      <w:lang w:val="en-US" w:eastAsia="zh-CN"/>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98"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c>
                <w:tcPr>
                  <w:tcW w:w="613"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氯化氢</w:t>
                  </w:r>
                </w:p>
              </w:tc>
              <w:tc>
                <w:tcPr>
                  <w:tcW w:w="735"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bCs/>
                      <w:snapToGrid w:val="0"/>
                      <w:color w:val="auto"/>
                      <w:kern w:val="0"/>
                      <w:sz w:val="21"/>
                      <w:szCs w:val="21"/>
                      <w:lang w:val="en-US" w:eastAsia="zh-CN"/>
                    </w:rPr>
                  </w:pPr>
                </w:p>
              </w:tc>
              <w:tc>
                <w:tcPr>
                  <w:tcW w:w="894"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1.1</w:t>
                  </w:r>
                </w:p>
              </w:tc>
              <w:tc>
                <w:tcPr>
                  <w:tcW w:w="631"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0.12</w:t>
                  </w:r>
                </w:p>
              </w:tc>
              <w:tc>
                <w:tcPr>
                  <w:tcW w:w="631"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bCs/>
                      <w:snapToGrid w:val="0"/>
                      <w:color w:val="auto"/>
                      <w:kern w:val="0"/>
                      <w:sz w:val="21"/>
                      <w:szCs w:val="21"/>
                      <w:lang w:val="en-US" w:eastAsia="zh-CN"/>
                    </w:rPr>
                  </w:pPr>
                </w:p>
              </w:tc>
              <w:tc>
                <w:tcPr>
                  <w:tcW w:w="1029" w:type="dxa"/>
                  <w:vMerge w:val="continue"/>
                  <w:tcBorders>
                    <w:tl2br w:val="nil"/>
                    <w:tr2bl w:val="nil"/>
                  </w:tcBorders>
                  <w:noWrap w:val="0"/>
                  <w:vAlign w:val="center"/>
                </w:tcPr>
                <w:p>
                  <w:pPr>
                    <w:adjustRightInd w:val="0"/>
                    <w:snapToGrid w:val="0"/>
                    <w:jc w:val="center"/>
                    <w:rPr>
                      <w:rFonts w:hint="eastAsia" w:ascii="Times New Roman" w:hAnsi="Times New Roman" w:eastAsia="宋体" w:cs="Times New Roman"/>
                      <w:bCs/>
                      <w:snapToGrid w:val="0"/>
                      <w:color w:val="auto"/>
                      <w:kern w:val="0"/>
                      <w:sz w:val="21"/>
                      <w:szCs w:val="21"/>
                      <w:lang w:val="en-US" w:eastAsia="zh-CN"/>
                    </w:rPr>
                  </w:pPr>
                </w:p>
              </w:tc>
              <w:tc>
                <w:tcPr>
                  <w:tcW w:w="612"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90</w:t>
                  </w:r>
                </w:p>
              </w:tc>
              <w:tc>
                <w:tcPr>
                  <w:tcW w:w="736"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0.11</w:t>
                  </w:r>
                </w:p>
              </w:tc>
              <w:tc>
                <w:tcPr>
                  <w:tcW w:w="735" w:type="dxa"/>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r>
                    <w:rPr>
                      <w:rFonts w:hint="eastAsia" w:cs="Times New Roman"/>
                      <w:bCs/>
                      <w:snapToGrid w:val="0"/>
                      <w:color w:val="auto"/>
                      <w:kern w:val="0"/>
                      <w:sz w:val="21"/>
                      <w:szCs w:val="21"/>
                      <w:lang w:val="en-US" w:eastAsia="zh-CN"/>
                    </w:rPr>
                    <w:t>0.012</w:t>
                  </w:r>
                </w:p>
              </w:tc>
              <w:tc>
                <w:tcPr>
                  <w:tcW w:w="67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Cs/>
                      <w:snapToGrid w:val="0"/>
                      <w:color w:val="auto"/>
                      <w:kern w:val="0"/>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b/>
                <w:color w:val="000000"/>
                <w:sz w:val="24"/>
              </w:rPr>
            </w:pPr>
            <w:r>
              <w:rPr>
                <w:rFonts w:hint="eastAsia"/>
                <w:b/>
                <w:color w:val="000000"/>
                <w:sz w:val="24"/>
              </w:rPr>
              <w:t>（2）废气治理措施可行性分析</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color w:val="000000"/>
                <w:sz w:val="24"/>
                <w:szCs w:val="24"/>
              </w:rPr>
            </w:pPr>
            <w:r>
              <w:rPr>
                <w:color w:val="000000"/>
                <w:sz w:val="24"/>
                <w:szCs w:val="24"/>
              </w:rPr>
              <w:t>目前，有机废气的净化方法有直接燃烧法、活性炭吸附法、催化燃烧法、吸收法、冷凝法、UV光解催化氧化法、低温等离子体等，各种方法的主要优缺点见下表。</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center"/>
              <w:textAlignment w:val="auto"/>
              <w:rPr>
                <w:b/>
                <w:color w:val="000000"/>
                <w:sz w:val="24"/>
                <w:szCs w:val="24"/>
              </w:rPr>
            </w:pPr>
            <w:r>
              <w:rPr>
                <w:rFonts w:hint="eastAsia"/>
                <w:b/>
                <w:color w:val="000000"/>
                <w:sz w:val="24"/>
                <w:szCs w:val="24"/>
                <w:lang w:val="en-US" w:eastAsia="zh-CN"/>
              </w:rPr>
              <w:t xml:space="preserve">表4-2     </w:t>
            </w:r>
            <w:r>
              <w:rPr>
                <w:b/>
                <w:color w:val="000000"/>
                <w:sz w:val="24"/>
                <w:szCs w:val="24"/>
              </w:rPr>
              <w:t>有机废气净化方法比较一览表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875"/>
              <w:gridCol w:w="1845"/>
              <w:gridCol w:w="2033"/>
              <w:gridCol w:w="1583"/>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148" w:hRule="atLeast"/>
                <w:jc w:val="center"/>
              </w:trPr>
              <w:tc>
                <w:tcPr>
                  <w:tcW w:w="871" w:type="dxa"/>
                  <w:tcBorders>
                    <w:tl2br w:val="nil"/>
                    <w:tr2bl w:val="nil"/>
                  </w:tcBorders>
                  <w:vAlign w:val="center"/>
                </w:tcPr>
                <w:p>
                  <w:pPr>
                    <w:adjustRightInd w:val="0"/>
                    <w:snapToGrid w:val="0"/>
                    <w:jc w:val="center"/>
                    <w:rPr>
                      <w:b/>
                      <w:bCs/>
                      <w:color w:val="000000"/>
                      <w:sz w:val="21"/>
                      <w:szCs w:val="21"/>
                    </w:rPr>
                  </w:pPr>
                  <w:r>
                    <w:rPr>
                      <w:b/>
                      <w:bCs/>
                      <w:color w:val="000000"/>
                      <w:sz w:val="21"/>
                      <w:szCs w:val="21"/>
                    </w:rPr>
                    <w:t>方法</w:t>
                  </w:r>
                </w:p>
              </w:tc>
              <w:tc>
                <w:tcPr>
                  <w:tcW w:w="1837" w:type="dxa"/>
                  <w:tcBorders>
                    <w:tl2br w:val="nil"/>
                    <w:tr2bl w:val="nil"/>
                  </w:tcBorders>
                  <w:vAlign w:val="center"/>
                </w:tcPr>
                <w:p>
                  <w:pPr>
                    <w:adjustRightInd w:val="0"/>
                    <w:snapToGrid w:val="0"/>
                    <w:jc w:val="center"/>
                    <w:rPr>
                      <w:b/>
                      <w:bCs/>
                      <w:color w:val="000000"/>
                      <w:sz w:val="21"/>
                      <w:szCs w:val="21"/>
                    </w:rPr>
                  </w:pPr>
                  <w:r>
                    <w:rPr>
                      <w:b/>
                      <w:bCs/>
                      <w:color w:val="000000"/>
                      <w:sz w:val="21"/>
                      <w:szCs w:val="21"/>
                    </w:rPr>
                    <w:t>原理</w:t>
                  </w:r>
                </w:p>
              </w:tc>
              <w:tc>
                <w:tcPr>
                  <w:tcW w:w="2025" w:type="dxa"/>
                  <w:tcBorders>
                    <w:tl2br w:val="nil"/>
                    <w:tr2bl w:val="nil"/>
                  </w:tcBorders>
                  <w:vAlign w:val="center"/>
                </w:tcPr>
                <w:p>
                  <w:pPr>
                    <w:adjustRightInd w:val="0"/>
                    <w:snapToGrid w:val="0"/>
                    <w:jc w:val="center"/>
                    <w:rPr>
                      <w:b/>
                      <w:bCs/>
                      <w:color w:val="000000"/>
                      <w:sz w:val="21"/>
                      <w:szCs w:val="21"/>
                    </w:rPr>
                  </w:pPr>
                  <w:r>
                    <w:rPr>
                      <w:b/>
                      <w:bCs/>
                      <w:color w:val="000000"/>
                      <w:sz w:val="21"/>
                      <w:szCs w:val="21"/>
                    </w:rPr>
                    <w:t>优点</w:t>
                  </w:r>
                </w:p>
              </w:tc>
              <w:tc>
                <w:tcPr>
                  <w:tcW w:w="1576" w:type="dxa"/>
                  <w:tcBorders>
                    <w:tl2br w:val="nil"/>
                    <w:tr2bl w:val="nil"/>
                  </w:tcBorders>
                  <w:vAlign w:val="center"/>
                </w:tcPr>
                <w:p>
                  <w:pPr>
                    <w:adjustRightInd w:val="0"/>
                    <w:snapToGrid w:val="0"/>
                    <w:jc w:val="center"/>
                    <w:rPr>
                      <w:b/>
                      <w:bCs/>
                      <w:color w:val="000000"/>
                      <w:sz w:val="21"/>
                      <w:szCs w:val="21"/>
                    </w:rPr>
                  </w:pPr>
                  <w:r>
                    <w:rPr>
                      <w:b/>
                      <w:bCs/>
                      <w:color w:val="000000"/>
                      <w:sz w:val="21"/>
                      <w:szCs w:val="21"/>
                    </w:rPr>
                    <w:t>缺点</w:t>
                  </w:r>
                </w:p>
              </w:tc>
              <w:tc>
                <w:tcPr>
                  <w:tcW w:w="1548" w:type="dxa"/>
                  <w:tcBorders>
                    <w:tl2br w:val="nil"/>
                    <w:tr2bl w:val="nil"/>
                  </w:tcBorders>
                  <w:vAlign w:val="center"/>
                </w:tcPr>
                <w:p>
                  <w:pPr>
                    <w:adjustRightInd w:val="0"/>
                    <w:snapToGrid w:val="0"/>
                    <w:jc w:val="center"/>
                    <w:rPr>
                      <w:b/>
                      <w:bCs/>
                      <w:color w:val="000000"/>
                      <w:sz w:val="21"/>
                      <w:szCs w:val="21"/>
                    </w:rPr>
                  </w:pPr>
                  <w:r>
                    <w:rPr>
                      <w:b/>
                      <w:bCs/>
                      <w:color w:val="000000"/>
                      <w:sz w:val="21"/>
                      <w:szCs w:val="21"/>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71" w:type="dxa"/>
                  <w:tcBorders>
                    <w:tl2br w:val="nil"/>
                    <w:tr2bl w:val="nil"/>
                  </w:tcBorders>
                  <w:vAlign w:val="center"/>
                </w:tcPr>
                <w:p>
                  <w:pPr>
                    <w:adjustRightInd w:val="0"/>
                    <w:snapToGrid w:val="0"/>
                    <w:jc w:val="center"/>
                    <w:rPr>
                      <w:color w:val="000000"/>
                      <w:sz w:val="21"/>
                      <w:szCs w:val="21"/>
                    </w:rPr>
                  </w:pPr>
                  <w:r>
                    <w:rPr>
                      <w:color w:val="000000"/>
                      <w:sz w:val="21"/>
                      <w:szCs w:val="21"/>
                    </w:rPr>
                    <w:t>吸附法</w:t>
                  </w:r>
                </w:p>
              </w:tc>
              <w:tc>
                <w:tcPr>
                  <w:tcW w:w="1837" w:type="dxa"/>
                  <w:tcBorders>
                    <w:tl2br w:val="nil"/>
                    <w:tr2bl w:val="nil"/>
                  </w:tcBorders>
                  <w:vAlign w:val="center"/>
                </w:tcPr>
                <w:p>
                  <w:pPr>
                    <w:adjustRightInd w:val="0"/>
                    <w:snapToGrid w:val="0"/>
                    <w:jc w:val="center"/>
                    <w:rPr>
                      <w:color w:val="000000"/>
                      <w:sz w:val="21"/>
                      <w:szCs w:val="21"/>
                    </w:rPr>
                  </w:pPr>
                  <w:r>
                    <w:rPr>
                      <w:color w:val="000000"/>
                      <w:sz w:val="21"/>
                      <w:szCs w:val="21"/>
                    </w:rPr>
                    <w:t>废气分子扩散到固体吸附剂表面，有害成分被吸附而达到净化</w:t>
                  </w:r>
                </w:p>
              </w:tc>
              <w:tc>
                <w:tcPr>
                  <w:tcW w:w="2025" w:type="dxa"/>
                  <w:tcBorders>
                    <w:tl2br w:val="nil"/>
                    <w:tr2bl w:val="nil"/>
                  </w:tcBorders>
                  <w:vAlign w:val="center"/>
                </w:tcPr>
                <w:p>
                  <w:pPr>
                    <w:adjustRightInd w:val="0"/>
                    <w:snapToGrid w:val="0"/>
                    <w:jc w:val="center"/>
                    <w:rPr>
                      <w:color w:val="000000"/>
                      <w:sz w:val="21"/>
                      <w:szCs w:val="21"/>
                    </w:rPr>
                  </w:pPr>
                  <w:r>
                    <w:rPr>
                      <w:color w:val="000000"/>
                      <w:sz w:val="21"/>
                      <w:szCs w:val="21"/>
                    </w:rPr>
                    <w:t>可处理含有低浓度的碳氢化合物和低温废气；溶剂可回收，进行有效利用；处理程度可控制</w:t>
                  </w:r>
                </w:p>
              </w:tc>
              <w:tc>
                <w:tcPr>
                  <w:tcW w:w="1576" w:type="dxa"/>
                  <w:tcBorders>
                    <w:tl2br w:val="nil"/>
                    <w:tr2bl w:val="nil"/>
                  </w:tcBorders>
                  <w:vAlign w:val="center"/>
                </w:tcPr>
                <w:p>
                  <w:pPr>
                    <w:adjustRightInd w:val="0"/>
                    <w:snapToGrid w:val="0"/>
                    <w:jc w:val="center"/>
                    <w:rPr>
                      <w:color w:val="000000"/>
                      <w:sz w:val="21"/>
                      <w:szCs w:val="21"/>
                    </w:rPr>
                  </w:pPr>
                  <w:r>
                    <w:rPr>
                      <w:color w:val="000000"/>
                      <w:sz w:val="21"/>
                      <w:szCs w:val="21"/>
                    </w:rPr>
                    <w:t>吸附剂再生和补充费用高；在处理喷漆废气时要预先除漆雾</w:t>
                  </w:r>
                </w:p>
              </w:tc>
              <w:tc>
                <w:tcPr>
                  <w:tcW w:w="1548" w:type="dxa"/>
                  <w:tcBorders>
                    <w:tl2br w:val="nil"/>
                    <w:tr2bl w:val="nil"/>
                  </w:tcBorders>
                  <w:vAlign w:val="center"/>
                </w:tcPr>
                <w:p>
                  <w:pPr>
                    <w:adjustRightInd w:val="0"/>
                    <w:snapToGrid w:val="0"/>
                    <w:jc w:val="center"/>
                    <w:rPr>
                      <w:color w:val="000000"/>
                      <w:sz w:val="21"/>
                      <w:szCs w:val="21"/>
                    </w:rPr>
                  </w:pPr>
                  <w:r>
                    <w:rPr>
                      <w:color w:val="000000"/>
                      <w:sz w:val="21"/>
                      <w:szCs w:val="21"/>
                    </w:rPr>
                    <w:t>适用常温、低浓度、废气量较小的废气治理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71" w:type="dxa"/>
                  <w:tcBorders>
                    <w:tl2br w:val="nil"/>
                    <w:tr2bl w:val="nil"/>
                  </w:tcBorders>
                  <w:vAlign w:val="center"/>
                </w:tcPr>
                <w:p>
                  <w:pPr>
                    <w:adjustRightInd w:val="0"/>
                    <w:snapToGrid w:val="0"/>
                    <w:jc w:val="center"/>
                    <w:rPr>
                      <w:color w:val="000000"/>
                      <w:sz w:val="21"/>
                      <w:szCs w:val="21"/>
                    </w:rPr>
                  </w:pPr>
                  <w:r>
                    <w:rPr>
                      <w:color w:val="000000"/>
                      <w:sz w:val="21"/>
                      <w:szCs w:val="21"/>
                    </w:rPr>
                    <w:t>直接燃烧法</w:t>
                  </w:r>
                </w:p>
              </w:tc>
              <w:tc>
                <w:tcPr>
                  <w:tcW w:w="1837" w:type="dxa"/>
                  <w:tcBorders>
                    <w:tl2br w:val="nil"/>
                    <w:tr2bl w:val="nil"/>
                  </w:tcBorders>
                  <w:vAlign w:val="center"/>
                </w:tcPr>
                <w:p>
                  <w:pPr>
                    <w:adjustRightInd w:val="0"/>
                    <w:snapToGrid w:val="0"/>
                    <w:jc w:val="center"/>
                    <w:rPr>
                      <w:color w:val="000000"/>
                      <w:sz w:val="21"/>
                      <w:szCs w:val="21"/>
                    </w:rPr>
                  </w:pPr>
                  <w:r>
                    <w:rPr>
                      <w:color w:val="000000"/>
                      <w:sz w:val="21"/>
                      <w:szCs w:val="21"/>
                    </w:rPr>
                    <w:t>废气与燃烧室火焰直接接触，有害物燃烧成CO</w:t>
                  </w:r>
                  <w:r>
                    <w:rPr>
                      <w:color w:val="000000"/>
                      <w:sz w:val="21"/>
                      <w:szCs w:val="21"/>
                      <w:vertAlign w:val="subscript"/>
                    </w:rPr>
                    <w:t>2</w:t>
                  </w:r>
                  <w:r>
                    <w:rPr>
                      <w:color w:val="000000"/>
                      <w:sz w:val="21"/>
                      <w:szCs w:val="21"/>
                    </w:rPr>
                    <w:t>和H</w:t>
                  </w:r>
                  <w:r>
                    <w:rPr>
                      <w:color w:val="000000"/>
                      <w:sz w:val="21"/>
                      <w:szCs w:val="21"/>
                      <w:vertAlign w:val="subscript"/>
                    </w:rPr>
                    <w:t>2</w:t>
                  </w:r>
                  <w:r>
                    <w:rPr>
                      <w:color w:val="000000"/>
                      <w:sz w:val="21"/>
                      <w:szCs w:val="21"/>
                    </w:rPr>
                    <w:t>O，使废气净化</w:t>
                  </w:r>
                </w:p>
              </w:tc>
              <w:tc>
                <w:tcPr>
                  <w:tcW w:w="2025" w:type="dxa"/>
                  <w:tcBorders>
                    <w:tl2br w:val="nil"/>
                    <w:tr2bl w:val="nil"/>
                  </w:tcBorders>
                  <w:vAlign w:val="center"/>
                </w:tcPr>
                <w:p>
                  <w:pPr>
                    <w:adjustRightInd w:val="0"/>
                    <w:snapToGrid w:val="0"/>
                    <w:jc w:val="center"/>
                    <w:rPr>
                      <w:color w:val="000000"/>
                      <w:sz w:val="21"/>
                      <w:szCs w:val="21"/>
                    </w:rPr>
                  </w:pPr>
                  <w:r>
                    <w:rPr>
                      <w:color w:val="000000"/>
                      <w:sz w:val="21"/>
                      <w:szCs w:val="21"/>
                    </w:rPr>
                    <w:t>燃烧效率高，管理容易，维护简单；装置占地面积小；不稳定因素少，可靠性高</w:t>
                  </w:r>
                </w:p>
              </w:tc>
              <w:tc>
                <w:tcPr>
                  <w:tcW w:w="1576" w:type="dxa"/>
                  <w:tcBorders>
                    <w:tl2br w:val="nil"/>
                    <w:tr2bl w:val="nil"/>
                  </w:tcBorders>
                  <w:vAlign w:val="center"/>
                </w:tcPr>
                <w:p>
                  <w:pPr>
                    <w:adjustRightInd w:val="0"/>
                    <w:snapToGrid w:val="0"/>
                    <w:jc w:val="center"/>
                    <w:rPr>
                      <w:color w:val="000000"/>
                      <w:sz w:val="21"/>
                      <w:szCs w:val="21"/>
                    </w:rPr>
                  </w:pPr>
                  <w:r>
                    <w:rPr>
                      <w:color w:val="000000"/>
                      <w:sz w:val="21"/>
                      <w:szCs w:val="21"/>
                    </w:rPr>
                    <w:t>处理温度高，燃料费用高，设备造价高，处理低浓度、风量大的废气不经济</w:t>
                  </w:r>
                </w:p>
              </w:tc>
              <w:tc>
                <w:tcPr>
                  <w:tcW w:w="1548" w:type="dxa"/>
                  <w:tcBorders>
                    <w:tl2br w:val="nil"/>
                    <w:tr2bl w:val="nil"/>
                  </w:tcBorders>
                  <w:vAlign w:val="center"/>
                </w:tcPr>
                <w:p>
                  <w:pPr>
                    <w:adjustRightInd w:val="0"/>
                    <w:snapToGrid w:val="0"/>
                    <w:jc w:val="center"/>
                    <w:rPr>
                      <w:color w:val="000000"/>
                      <w:sz w:val="21"/>
                      <w:szCs w:val="21"/>
                    </w:rPr>
                  </w:pPr>
                  <w:r>
                    <w:rPr>
                      <w:color w:val="000000"/>
                      <w:sz w:val="21"/>
                      <w:szCs w:val="21"/>
                    </w:rPr>
                    <w:t>使用于有机溶剂含量高、湿度高的废气治理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71" w:type="dxa"/>
                  <w:tcBorders>
                    <w:tl2br w:val="nil"/>
                    <w:tr2bl w:val="nil"/>
                  </w:tcBorders>
                  <w:vAlign w:val="center"/>
                </w:tcPr>
                <w:p>
                  <w:pPr>
                    <w:adjustRightInd w:val="0"/>
                    <w:snapToGrid w:val="0"/>
                    <w:jc w:val="center"/>
                    <w:rPr>
                      <w:color w:val="000000"/>
                      <w:sz w:val="21"/>
                      <w:szCs w:val="21"/>
                    </w:rPr>
                  </w:pPr>
                  <w:r>
                    <w:rPr>
                      <w:color w:val="000000"/>
                      <w:sz w:val="21"/>
                      <w:szCs w:val="21"/>
                    </w:rPr>
                    <w:t>冷凝法</w:t>
                  </w:r>
                </w:p>
              </w:tc>
              <w:tc>
                <w:tcPr>
                  <w:tcW w:w="1837" w:type="dxa"/>
                  <w:tcBorders>
                    <w:tl2br w:val="nil"/>
                    <w:tr2bl w:val="nil"/>
                  </w:tcBorders>
                  <w:vAlign w:val="center"/>
                </w:tcPr>
                <w:p>
                  <w:pPr>
                    <w:adjustRightInd w:val="0"/>
                    <w:snapToGrid w:val="0"/>
                    <w:jc w:val="center"/>
                    <w:rPr>
                      <w:color w:val="000000"/>
                      <w:sz w:val="21"/>
                      <w:szCs w:val="21"/>
                    </w:rPr>
                  </w:pPr>
                  <w:r>
                    <w:rPr>
                      <w:color w:val="000000"/>
                      <w:sz w:val="21"/>
                      <w:szCs w:val="21"/>
                    </w:rPr>
                    <w:t>降低有害气体的温度，使某些成分冷凝成液体</w:t>
                  </w:r>
                </w:p>
              </w:tc>
              <w:tc>
                <w:tcPr>
                  <w:tcW w:w="2025" w:type="dxa"/>
                  <w:tcBorders>
                    <w:tl2br w:val="nil"/>
                    <w:tr2bl w:val="nil"/>
                  </w:tcBorders>
                  <w:vAlign w:val="center"/>
                </w:tcPr>
                <w:p>
                  <w:pPr>
                    <w:adjustRightInd w:val="0"/>
                    <w:snapToGrid w:val="0"/>
                    <w:jc w:val="center"/>
                    <w:rPr>
                      <w:color w:val="000000"/>
                      <w:sz w:val="21"/>
                      <w:szCs w:val="21"/>
                    </w:rPr>
                  </w:pPr>
                  <w:r>
                    <w:rPr>
                      <w:color w:val="000000"/>
                      <w:sz w:val="21"/>
                      <w:szCs w:val="21"/>
                    </w:rPr>
                    <w:t>设备、操作条件简单，回收物质纯度高</w:t>
                  </w:r>
                </w:p>
              </w:tc>
              <w:tc>
                <w:tcPr>
                  <w:tcW w:w="1576" w:type="dxa"/>
                  <w:tcBorders>
                    <w:tl2br w:val="nil"/>
                    <w:tr2bl w:val="nil"/>
                  </w:tcBorders>
                  <w:vAlign w:val="center"/>
                </w:tcPr>
                <w:p>
                  <w:pPr>
                    <w:adjustRightInd w:val="0"/>
                    <w:snapToGrid w:val="0"/>
                    <w:jc w:val="center"/>
                    <w:rPr>
                      <w:color w:val="000000"/>
                      <w:sz w:val="21"/>
                      <w:szCs w:val="21"/>
                    </w:rPr>
                  </w:pPr>
                  <w:r>
                    <w:rPr>
                      <w:color w:val="000000"/>
                      <w:sz w:val="21"/>
                      <w:szCs w:val="21"/>
                    </w:rPr>
                    <w:t>净化效率低，不能达到标准要求</w:t>
                  </w:r>
                </w:p>
              </w:tc>
              <w:tc>
                <w:tcPr>
                  <w:tcW w:w="1548" w:type="dxa"/>
                  <w:tcBorders>
                    <w:tl2br w:val="nil"/>
                    <w:tr2bl w:val="nil"/>
                  </w:tcBorders>
                  <w:vAlign w:val="center"/>
                </w:tcPr>
                <w:p>
                  <w:pPr>
                    <w:adjustRightInd w:val="0"/>
                    <w:snapToGrid w:val="0"/>
                    <w:jc w:val="center"/>
                    <w:rPr>
                      <w:color w:val="000000"/>
                      <w:sz w:val="21"/>
                      <w:szCs w:val="21"/>
                    </w:rPr>
                  </w:pPr>
                  <w:r>
                    <w:rPr>
                      <w:color w:val="000000"/>
                      <w:sz w:val="21"/>
                      <w:szCs w:val="21"/>
                    </w:rPr>
                    <w:t>适用于组分单一的高浓度有机废气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71" w:type="dxa"/>
                  <w:tcBorders>
                    <w:tl2br w:val="nil"/>
                    <w:tr2bl w:val="nil"/>
                  </w:tcBorders>
                  <w:vAlign w:val="center"/>
                </w:tcPr>
                <w:p>
                  <w:pPr>
                    <w:adjustRightInd w:val="0"/>
                    <w:snapToGrid w:val="0"/>
                    <w:jc w:val="center"/>
                    <w:rPr>
                      <w:color w:val="000000"/>
                      <w:sz w:val="21"/>
                      <w:szCs w:val="21"/>
                    </w:rPr>
                  </w:pPr>
                  <w:r>
                    <w:rPr>
                      <w:color w:val="000000"/>
                      <w:sz w:val="21"/>
                      <w:szCs w:val="21"/>
                    </w:rPr>
                    <w:t>吸收法</w:t>
                  </w:r>
                </w:p>
              </w:tc>
              <w:tc>
                <w:tcPr>
                  <w:tcW w:w="1837" w:type="dxa"/>
                  <w:tcBorders>
                    <w:tl2br w:val="nil"/>
                    <w:tr2bl w:val="nil"/>
                  </w:tcBorders>
                  <w:vAlign w:val="center"/>
                </w:tcPr>
                <w:p>
                  <w:pPr>
                    <w:adjustRightInd w:val="0"/>
                    <w:snapToGrid w:val="0"/>
                    <w:jc w:val="center"/>
                    <w:rPr>
                      <w:color w:val="000000"/>
                      <w:sz w:val="21"/>
                      <w:szCs w:val="21"/>
                    </w:rPr>
                  </w:pPr>
                  <w:r>
                    <w:rPr>
                      <w:color w:val="000000"/>
                      <w:sz w:val="21"/>
                      <w:szCs w:val="21"/>
                    </w:rPr>
                    <w:t>液体作为吸收剂，使废气中有害气体被吸收剂吸收而达到净化</w:t>
                  </w:r>
                </w:p>
              </w:tc>
              <w:tc>
                <w:tcPr>
                  <w:tcW w:w="2025" w:type="dxa"/>
                  <w:tcBorders>
                    <w:tl2br w:val="nil"/>
                    <w:tr2bl w:val="nil"/>
                  </w:tcBorders>
                  <w:vAlign w:val="center"/>
                </w:tcPr>
                <w:p>
                  <w:pPr>
                    <w:adjustRightInd w:val="0"/>
                    <w:snapToGrid w:val="0"/>
                    <w:jc w:val="center"/>
                    <w:rPr>
                      <w:color w:val="000000"/>
                      <w:sz w:val="21"/>
                      <w:szCs w:val="21"/>
                    </w:rPr>
                  </w:pPr>
                  <w:r>
                    <w:rPr>
                      <w:color w:val="000000"/>
                      <w:sz w:val="21"/>
                      <w:szCs w:val="21"/>
                    </w:rPr>
                    <w:t>设备费用低，运转费用少；无爆炸、火灾等危险，安全性高</w:t>
                  </w:r>
                </w:p>
              </w:tc>
              <w:tc>
                <w:tcPr>
                  <w:tcW w:w="1576" w:type="dxa"/>
                  <w:tcBorders>
                    <w:tl2br w:val="nil"/>
                    <w:tr2bl w:val="nil"/>
                  </w:tcBorders>
                  <w:vAlign w:val="center"/>
                </w:tcPr>
                <w:p>
                  <w:pPr>
                    <w:adjustRightInd w:val="0"/>
                    <w:snapToGrid w:val="0"/>
                    <w:jc w:val="center"/>
                    <w:rPr>
                      <w:color w:val="000000"/>
                      <w:sz w:val="21"/>
                      <w:szCs w:val="21"/>
                    </w:rPr>
                  </w:pPr>
                  <w:r>
                    <w:rPr>
                      <w:color w:val="000000"/>
                      <w:sz w:val="21"/>
                      <w:szCs w:val="21"/>
                    </w:rPr>
                    <w:t>需要对产生废水进行二次处理，对涂料品种有限制</w:t>
                  </w:r>
                </w:p>
              </w:tc>
              <w:tc>
                <w:tcPr>
                  <w:tcW w:w="1548" w:type="dxa"/>
                  <w:tcBorders>
                    <w:tl2br w:val="nil"/>
                    <w:tr2bl w:val="nil"/>
                  </w:tcBorders>
                  <w:vAlign w:val="center"/>
                </w:tcPr>
                <w:p>
                  <w:pPr>
                    <w:adjustRightInd w:val="0"/>
                    <w:snapToGrid w:val="0"/>
                    <w:jc w:val="center"/>
                    <w:rPr>
                      <w:color w:val="000000"/>
                      <w:sz w:val="21"/>
                      <w:szCs w:val="21"/>
                    </w:rPr>
                  </w:pPr>
                  <w:r>
                    <w:rPr>
                      <w:color w:val="000000"/>
                      <w:sz w:val="21"/>
                      <w:szCs w:val="21"/>
                    </w:rPr>
                    <w:t>适用于高、低浓度非甲烷总烃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90" w:hRule="atLeast"/>
                <w:jc w:val="center"/>
              </w:trPr>
              <w:tc>
                <w:tcPr>
                  <w:tcW w:w="871" w:type="dxa"/>
                  <w:tcBorders>
                    <w:tl2br w:val="nil"/>
                    <w:tr2bl w:val="nil"/>
                  </w:tcBorders>
                  <w:vAlign w:val="center"/>
                </w:tcPr>
                <w:p>
                  <w:pPr>
                    <w:adjustRightInd w:val="0"/>
                    <w:snapToGrid w:val="0"/>
                    <w:jc w:val="center"/>
                    <w:rPr>
                      <w:color w:val="000000"/>
                      <w:sz w:val="21"/>
                      <w:szCs w:val="21"/>
                    </w:rPr>
                  </w:pPr>
                  <w:r>
                    <w:rPr>
                      <w:color w:val="000000"/>
                      <w:sz w:val="21"/>
                      <w:szCs w:val="21"/>
                    </w:rPr>
                    <w:t>催化燃烧法</w:t>
                  </w:r>
                </w:p>
              </w:tc>
              <w:tc>
                <w:tcPr>
                  <w:tcW w:w="1837" w:type="dxa"/>
                  <w:tcBorders>
                    <w:tl2br w:val="nil"/>
                    <w:tr2bl w:val="nil"/>
                  </w:tcBorders>
                  <w:vAlign w:val="center"/>
                </w:tcPr>
                <w:p>
                  <w:pPr>
                    <w:adjustRightInd w:val="0"/>
                    <w:snapToGrid w:val="0"/>
                    <w:jc w:val="center"/>
                    <w:rPr>
                      <w:color w:val="000000"/>
                      <w:sz w:val="21"/>
                      <w:szCs w:val="21"/>
                    </w:rPr>
                  </w:pPr>
                  <w:r>
                    <w:rPr>
                      <w:color w:val="000000"/>
                      <w:sz w:val="21"/>
                      <w:szCs w:val="21"/>
                    </w:rPr>
                    <w:t>在催化剂作用下，使有机废气在引燃点温度以下燃烧生成CO</w:t>
                  </w:r>
                  <w:r>
                    <w:rPr>
                      <w:color w:val="000000"/>
                      <w:sz w:val="21"/>
                      <w:szCs w:val="21"/>
                      <w:vertAlign w:val="subscript"/>
                    </w:rPr>
                    <w:t>2</w:t>
                  </w:r>
                  <w:r>
                    <w:rPr>
                      <w:color w:val="000000"/>
                      <w:sz w:val="21"/>
                      <w:szCs w:val="21"/>
                    </w:rPr>
                    <w:t>和H</w:t>
                  </w:r>
                  <w:r>
                    <w:rPr>
                      <w:color w:val="000000"/>
                      <w:sz w:val="21"/>
                      <w:szCs w:val="21"/>
                      <w:vertAlign w:val="subscript"/>
                    </w:rPr>
                    <w:t>2</w:t>
                  </w:r>
                  <w:r>
                    <w:rPr>
                      <w:color w:val="000000"/>
                      <w:sz w:val="21"/>
                      <w:szCs w:val="21"/>
                    </w:rPr>
                    <w:t>O而被净化</w:t>
                  </w:r>
                </w:p>
              </w:tc>
              <w:tc>
                <w:tcPr>
                  <w:tcW w:w="2025" w:type="dxa"/>
                  <w:tcBorders>
                    <w:tl2br w:val="nil"/>
                    <w:tr2bl w:val="nil"/>
                  </w:tcBorders>
                  <w:vAlign w:val="center"/>
                </w:tcPr>
                <w:p>
                  <w:pPr>
                    <w:adjustRightInd w:val="0"/>
                    <w:snapToGrid w:val="0"/>
                    <w:jc w:val="center"/>
                    <w:rPr>
                      <w:color w:val="000000"/>
                      <w:sz w:val="21"/>
                      <w:szCs w:val="21"/>
                    </w:rPr>
                  </w:pPr>
                  <w:r>
                    <w:rPr>
                      <w:color w:val="000000"/>
                      <w:sz w:val="21"/>
                      <w:szCs w:val="21"/>
                    </w:rPr>
                    <w:t>与直接燃烧法相比，能在低温下氧化分解，燃料费可剩1/2；装置占地面积小；NO</w:t>
                  </w:r>
                  <w:r>
                    <w:rPr>
                      <w:color w:val="000000"/>
                      <w:sz w:val="21"/>
                      <w:szCs w:val="21"/>
                      <w:vertAlign w:val="subscript"/>
                    </w:rPr>
                    <w:t>X</w:t>
                  </w:r>
                  <w:r>
                    <w:rPr>
                      <w:color w:val="000000"/>
                      <w:sz w:val="21"/>
                      <w:szCs w:val="21"/>
                    </w:rPr>
                    <w:t>生成少</w:t>
                  </w:r>
                </w:p>
              </w:tc>
              <w:tc>
                <w:tcPr>
                  <w:tcW w:w="1576" w:type="dxa"/>
                  <w:tcBorders>
                    <w:tl2br w:val="nil"/>
                    <w:tr2bl w:val="nil"/>
                  </w:tcBorders>
                  <w:vAlign w:val="center"/>
                </w:tcPr>
                <w:p>
                  <w:pPr>
                    <w:adjustRightInd w:val="0"/>
                    <w:snapToGrid w:val="0"/>
                    <w:jc w:val="center"/>
                    <w:rPr>
                      <w:color w:val="000000"/>
                      <w:sz w:val="21"/>
                      <w:szCs w:val="21"/>
                    </w:rPr>
                  </w:pPr>
                  <w:r>
                    <w:rPr>
                      <w:color w:val="000000"/>
                      <w:sz w:val="21"/>
                      <w:szCs w:val="21"/>
                    </w:rPr>
                    <w:t>催化剂价格高，需考虑催化剂中毒和催化剂寿命；必须进行前处理除去尘埃、漆雾等；催化剂和设备价格高</w:t>
                  </w:r>
                </w:p>
              </w:tc>
              <w:tc>
                <w:tcPr>
                  <w:tcW w:w="1548" w:type="dxa"/>
                  <w:tcBorders>
                    <w:tl2br w:val="nil"/>
                    <w:tr2bl w:val="nil"/>
                  </w:tcBorders>
                  <w:vAlign w:val="center"/>
                </w:tcPr>
                <w:p>
                  <w:pPr>
                    <w:adjustRightInd w:val="0"/>
                    <w:snapToGrid w:val="0"/>
                    <w:jc w:val="center"/>
                    <w:rPr>
                      <w:color w:val="000000"/>
                      <w:sz w:val="21"/>
                      <w:szCs w:val="21"/>
                    </w:rPr>
                  </w:pPr>
                  <w:r>
                    <w:rPr>
                      <w:color w:val="000000"/>
                      <w:sz w:val="21"/>
                      <w:szCs w:val="21"/>
                    </w:rPr>
                    <w:t>适用于废气温度高、流量小、有机溶剂浓度高、含杂质少的场合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2380" w:hRule="atLeast"/>
                <w:jc w:val="center"/>
              </w:trPr>
              <w:tc>
                <w:tcPr>
                  <w:tcW w:w="871" w:type="dxa"/>
                  <w:tcBorders>
                    <w:tl2br w:val="nil"/>
                    <w:tr2bl w:val="nil"/>
                  </w:tcBorders>
                  <w:vAlign w:val="center"/>
                </w:tcPr>
                <w:p>
                  <w:pPr>
                    <w:adjustRightInd w:val="0"/>
                    <w:snapToGrid w:val="0"/>
                    <w:jc w:val="center"/>
                    <w:rPr>
                      <w:color w:val="000000"/>
                      <w:sz w:val="21"/>
                      <w:szCs w:val="21"/>
                    </w:rPr>
                  </w:pPr>
                  <w:r>
                    <w:rPr>
                      <w:color w:val="000000"/>
                      <w:sz w:val="21"/>
                      <w:szCs w:val="21"/>
                    </w:rPr>
                    <w:t>低温等离子体</w:t>
                  </w:r>
                </w:p>
              </w:tc>
              <w:tc>
                <w:tcPr>
                  <w:tcW w:w="1837" w:type="dxa"/>
                  <w:tcBorders>
                    <w:tl2br w:val="nil"/>
                    <w:tr2bl w:val="nil"/>
                  </w:tcBorders>
                  <w:vAlign w:val="center"/>
                </w:tcPr>
                <w:p>
                  <w:pPr>
                    <w:adjustRightInd w:val="0"/>
                    <w:snapToGrid w:val="0"/>
                    <w:jc w:val="center"/>
                    <w:rPr>
                      <w:color w:val="000000"/>
                      <w:sz w:val="21"/>
                      <w:szCs w:val="21"/>
                    </w:rPr>
                  </w:pPr>
                  <w:r>
                    <w:rPr>
                      <w:color w:val="000000"/>
                      <w:sz w:val="21"/>
                      <w:szCs w:val="21"/>
                    </w:rPr>
                    <w:t>放电过程中，电子从电场中获得能量，使污染物分子被激发或发生电离形成活性基团，活性基团之间发生反应，最终转化为CO</w:t>
                  </w:r>
                  <w:r>
                    <w:rPr>
                      <w:color w:val="000000"/>
                      <w:sz w:val="21"/>
                      <w:szCs w:val="21"/>
                      <w:vertAlign w:val="subscript"/>
                    </w:rPr>
                    <w:t>2</w:t>
                  </w:r>
                  <w:r>
                    <w:rPr>
                      <w:color w:val="000000"/>
                      <w:sz w:val="21"/>
                      <w:szCs w:val="21"/>
                    </w:rPr>
                    <w:t>和H</w:t>
                  </w:r>
                  <w:r>
                    <w:rPr>
                      <w:color w:val="000000"/>
                      <w:sz w:val="21"/>
                      <w:szCs w:val="21"/>
                      <w:vertAlign w:val="subscript"/>
                    </w:rPr>
                    <w:t>2</w:t>
                  </w:r>
                  <w:r>
                    <w:rPr>
                      <w:color w:val="000000"/>
                      <w:sz w:val="21"/>
                      <w:szCs w:val="21"/>
                    </w:rPr>
                    <w:t>O等物质。</w:t>
                  </w:r>
                </w:p>
              </w:tc>
              <w:tc>
                <w:tcPr>
                  <w:tcW w:w="2025" w:type="dxa"/>
                  <w:tcBorders>
                    <w:tl2br w:val="nil"/>
                    <w:tr2bl w:val="nil"/>
                  </w:tcBorders>
                  <w:vAlign w:val="center"/>
                </w:tcPr>
                <w:p>
                  <w:pPr>
                    <w:adjustRightInd w:val="0"/>
                    <w:snapToGrid w:val="0"/>
                    <w:jc w:val="center"/>
                    <w:rPr>
                      <w:color w:val="000000"/>
                      <w:sz w:val="21"/>
                      <w:szCs w:val="21"/>
                    </w:rPr>
                  </w:pPr>
                  <w:r>
                    <w:rPr>
                      <w:color w:val="000000"/>
                      <w:sz w:val="21"/>
                      <w:szCs w:val="21"/>
                    </w:rPr>
                    <w:t>电子能量高，几乎可以和所有的有机气体发生作用；反应快，不受气速限制，只需用电，操作简单，占地小，运行成本低廉</w:t>
                  </w:r>
                </w:p>
              </w:tc>
              <w:tc>
                <w:tcPr>
                  <w:tcW w:w="1576" w:type="dxa"/>
                  <w:tcBorders>
                    <w:tl2br w:val="nil"/>
                    <w:tr2bl w:val="nil"/>
                  </w:tcBorders>
                  <w:vAlign w:val="center"/>
                </w:tcPr>
                <w:p>
                  <w:pPr>
                    <w:adjustRightInd w:val="0"/>
                    <w:snapToGrid w:val="0"/>
                    <w:jc w:val="center"/>
                    <w:rPr>
                      <w:color w:val="000000"/>
                      <w:sz w:val="21"/>
                      <w:szCs w:val="21"/>
                    </w:rPr>
                  </w:pPr>
                  <w:r>
                    <w:rPr>
                      <w:color w:val="000000"/>
                      <w:sz w:val="21"/>
                      <w:szCs w:val="21"/>
                    </w:rPr>
                    <w:t>净化效率较燃烧法低</w:t>
                  </w:r>
                </w:p>
              </w:tc>
              <w:tc>
                <w:tcPr>
                  <w:tcW w:w="1548" w:type="dxa"/>
                  <w:tcBorders>
                    <w:tl2br w:val="nil"/>
                    <w:tr2bl w:val="nil"/>
                  </w:tcBorders>
                  <w:vAlign w:val="center"/>
                </w:tcPr>
                <w:p>
                  <w:pPr>
                    <w:adjustRightInd w:val="0"/>
                    <w:snapToGrid w:val="0"/>
                    <w:jc w:val="center"/>
                    <w:rPr>
                      <w:color w:val="000000"/>
                      <w:sz w:val="21"/>
                      <w:szCs w:val="21"/>
                    </w:rPr>
                  </w:pPr>
                  <w:r>
                    <w:rPr>
                      <w:color w:val="000000"/>
                      <w:sz w:val="21"/>
                      <w:szCs w:val="21"/>
                    </w:rPr>
                    <w:t>适用于低浓度(＜300mg/m</w:t>
                  </w:r>
                  <w:r>
                    <w:rPr>
                      <w:color w:val="000000"/>
                      <w:sz w:val="21"/>
                      <w:szCs w:val="21"/>
                      <w:vertAlign w:val="superscript"/>
                    </w:rPr>
                    <w:t>3</w:t>
                  </w:r>
                  <w:r>
                    <w:rPr>
                      <w:color w:val="000000"/>
                      <w:sz w:val="21"/>
                      <w:szCs w:val="21"/>
                    </w:rPr>
                    <w:t>)有机废气的治理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97" w:hRule="atLeast"/>
                <w:jc w:val="center"/>
              </w:trPr>
              <w:tc>
                <w:tcPr>
                  <w:tcW w:w="871" w:type="dxa"/>
                  <w:tcBorders>
                    <w:tl2br w:val="nil"/>
                    <w:tr2bl w:val="nil"/>
                  </w:tcBorders>
                  <w:vAlign w:val="center"/>
                </w:tcPr>
                <w:p>
                  <w:pPr>
                    <w:adjustRightInd w:val="0"/>
                    <w:snapToGrid w:val="0"/>
                    <w:jc w:val="center"/>
                    <w:rPr>
                      <w:color w:val="000000"/>
                      <w:sz w:val="21"/>
                      <w:szCs w:val="21"/>
                    </w:rPr>
                  </w:pPr>
                  <w:r>
                    <w:rPr>
                      <w:color w:val="000000"/>
                      <w:sz w:val="21"/>
                      <w:szCs w:val="21"/>
                    </w:rPr>
                    <w:t>UV光解催化氧化法</w:t>
                  </w:r>
                </w:p>
              </w:tc>
              <w:tc>
                <w:tcPr>
                  <w:tcW w:w="1837" w:type="dxa"/>
                  <w:tcBorders>
                    <w:tl2br w:val="nil"/>
                    <w:tr2bl w:val="nil"/>
                  </w:tcBorders>
                  <w:vAlign w:val="center"/>
                </w:tcPr>
                <w:p>
                  <w:pPr>
                    <w:adjustRightInd w:val="0"/>
                    <w:snapToGrid w:val="0"/>
                    <w:jc w:val="center"/>
                    <w:rPr>
                      <w:color w:val="000000"/>
                      <w:sz w:val="21"/>
                      <w:szCs w:val="21"/>
                    </w:rPr>
                  </w:pPr>
                  <w:r>
                    <w:rPr>
                      <w:color w:val="000000"/>
                      <w:sz w:val="21"/>
                      <w:szCs w:val="21"/>
                    </w:rPr>
                    <w:t>利用高能高臭氧UV紫外线光束分解空气中的氧分子产生游离氧，游离氧与氧分子结合产生臭氧。臭氧将有机物废气氧化成CO</w:t>
                  </w:r>
                  <w:r>
                    <w:rPr>
                      <w:color w:val="000000"/>
                      <w:sz w:val="21"/>
                      <w:szCs w:val="21"/>
                      <w:vertAlign w:val="subscript"/>
                    </w:rPr>
                    <w:t>2</w:t>
                  </w:r>
                  <w:r>
                    <w:rPr>
                      <w:color w:val="000000"/>
                      <w:sz w:val="21"/>
                      <w:szCs w:val="21"/>
                    </w:rPr>
                    <w:t>和H</w:t>
                  </w:r>
                  <w:r>
                    <w:rPr>
                      <w:color w:val="000000"/>
                      <w:sz w:val="21"/>
                      <w:szCs w:val="21"/>
                      <w:vertAlign w:val="subscript"/>
                    </w:rPr>
                    <w:t>2</w:t>
                  </w:r>
                  <w:r>
                    <w:rPr>
                      <w:color w:val="000000"/>
                      <w:sz w:val="21"/>
                      <w:szCs w:val="21"/>
                    </w:rPr>
                    <w:t>O。</w:t>
                  </w:r>
                </w:p>
              </w:tc>
              <w:tc>
                <w:tcPr>
                  <w:tcW w:w="2025" w:type="dxa"/>
                  <w:tcBorders>
                    <w:tl2br w:val="nil"/>
                    <w:tr2bl w:val="nil"/>
                  </w:tcBorders>
                  <w:vAlign w:val="center"/>
                </w:tcPr>
                <w:p>
                  <w:pPr>
                    <w:adjustRightInd w:val="0"/>
                    <w:snapToGrid w:val="0"/>
                    <w:jc w:val="center"/>
                    <w:rPr>
                      <w:color w:val="000000"/>
                      <w:sz w:val="21"/>
                      <w:szCs w:val="21"/>
                    </w:rPr>
                  </w:pPr>
                  <w:r>
                    <w:rPr>
                      <w:color w:val="000000"/>
                      <w:sz w:val="21"/>
                      <w:szCs w:val="21"/>
                    </w:rPr>
                    <w:t>使用安全，操作简单，废气转化效率高、处理效果长期稳定，能耗低，运行费用低，且二次污染少。</w:t>
                  </w:r>
                </w:p>
              </w:tc>
              <w:tc>
                <w:tcPr>
                  <w:tcW w:w="1576" w:type="dxa"/>
                  <w:tcBorders>
                    <w:tl2br w:val="nil"/>
                    <w:tr2bl w:val="nil"/>
                  </w:tcBorders>
                  <w:vAlign w:val="center"/>
                </w:tcPr>
                <w:p>
                  <w:pPr>
                    <w:adjustRightInd w:val="0"/>
                    <w:snapToGrid w:val="0"/>
                    <w:jc w:val="center"/>
                    <w:rPr>
                      <w:color w:val="000000"/>
                      <w:sz w:val="21"/>
                      <w:szCs w:val="21"/>
                    </w:rPr>
                  </w:pPr>
                  <w:r>
                    <w:rPr>
                      <w:color w:val="000000"/>
                      <w:sz w:val="21"/>
                      <w:szCs w:val="21"/>
                    </w:rPr>
                    <w:t>设备内部紫外线灯管和催化部分使用时间长了，净化效率会降低，需定期更换</w:t>
                  </w:r>
                </w:p>
              </w:tc>
              <w:tc>
                <w:tcPr>
                  <w:tcW w:w="1548" w:type="dxa"/>
                  <w:tcBorders>
                    <w:tl2br w:val="nil"/>
                    <w:tr2bl w:val="nil"/>
                  </w:tcBorders>
                  <w:vAlign w:val="center"/>
                </w:tcPr>
                <w:p>
                  <w:pPr>
                    <w:adjustRightInd w:val="0"/>
                    <w:snapToGrid w:val="0"/>
                    <w:jc w:val="center"/>
                    <w:rPr>
                      <w:color w:val="000000"/>
                      <w:sz w:val="21"/>
                      <w:szCs w:val="21"/>
                    </w:rPr>
                  </w:pPr>
                  <w:r>
                    <w:rPr>
                      <w:color w:val="000000"/>
                      <w:sz w:val="21"/>
                      <w:szCs w:val="21"/>
                    </w:rPr>
                    <w:t>VOCs类，苯类，烃类，醇类，酯类，酮类等多种有机废气。</w:t>
                  </w:r>
                </w:p>
              </w:tc>
            </w:tr>
          </w:tbl>
          <w:p>
            <w:pPr>
              <w:keepNext w:val="0"/>
              <w:keepLines w:val="0"/>
              <w:pageBreakBefore w:val="0"/>
              <w:widowControl w:val="0"/>
              <w:kinsoku/>
              <w:wordWrap/>
              <w:overflowPunct/>
              <w:topLinePunct w:val="0"/>
              <w:bidi w:val="0"/>
              <w:adjustRightInd w:val="0"/>
              <w:snapToGrid w:val="0"/>
              <w:spacing w:line="520" w:lineRule="exact"/>
              <w:ind w:firstLine="480" w:firstLineChars="200"/>
              <w:jc w:val="left"/>
              <w:textAlignment w:val="auto"/>
              <w:rPr>
                <w:color w:val="000000"/>
                <w:sz w:val="24"/>
                <w:szCs w:val="24"/>
              </w:rPr>
            </w:pPr>
            <w:r>
              <w:rPr>
                <w:rFonts w:hint="eastAsia"/>
                <w:color w:val="000000"/>
                <w:sz w:val="24"/>
                <w:szCs w:val="24"/>
              </w:rPr>
              <w:t>根据《新乡市环境保护局关于印发新乡市2016年度重点行业挥发性有机物治理方案的通知》（新环〔2016〕174号）要求：对于1000ppm以下的低浓度VOCs废气，有回收价值时宜采用吸附技术回收处理，无回收价值时优先采用吸附浓缩－燃烧技术处理，也可采用低温等离子体技术或生物处理技术等净化处理后达标排放。</w:t>
            </w:r>
            <w:r>
              <w:rPr>
                <w:rFonts w:hint="eastAsia"/>
                <w:b/>
                <w:bCs/>
                <w:color w:val="000000"/>
                <w:sz w:val="24"/>
                <w:szCs w:val="24"/>
                <w:u w:val="single"/>
              </w:rPr>
              <w:t>本项目有机废气</w:t>
            </w:r>
            <w:r>
              <w:rPr>
                <w:rFonts w:hint="eastAsia"/>
                <w:b/>
                <w:bCs/>
                <w:color w:val="000000"/>
                <w:sz w:val="24"/>
                <w:szCs w:val="24"/>
                <w:u w:val="single"/>
                <w:lang w:val="en-US" w:eastAsia="zh-CN"/>
              </w:rPr>
              <w:t>浓度低，且无回收价值，</w:t>
            </w:r>
            <w:r>
              <w:rPr>
                <w:rFonts w:hint="eastAsia"/>
                <w:b/>
                <w:bCs/>
                <w:color w:val="000000"/>
                <w:sz w:val="24"/>
                <w:szCs w:val="24"/>
                <w:u w:val="single"/>
              </w:rPr>
              <w:t>采用</w:t>
            </w:r>
            <w:r>
              <w:rPr>
                <w:rFonts w:hint="eastAsia"/>
                <w:b/>
                <w:bCs/>
                <w:color w:val="000000"/>
                <w:sz w:val="24"/>
                <w:szCs w:val="24"/>
                <w:u w:val="single"/>
                <w:lang w:val="en-US" w:eastAsia="zh-CN"/>
              </w:rPr>
              <w:t>碱喷淋+活性炭吸附废气处理工艺，所用活性炭为蜂窝结构，废气流通均匀吸附效率高且更换维护方便，活性炭碘值大于800mg/g，属于高吸附容量活性炭，去除效率可达到组合处理工艺效果，故项目碱喷淋+活性炭工艺属有机废气处理</w:t>
            </w:r>
            <w:r>
              <w:rPr>
                <w:rFonts w:hint="eastAsia"/>
                <w:b/>
                <w:bCs/>
                <w:color w:val="000000"/>
                <w:sz w:val="24"/>
                <w:szCs w:val="24"/>
                <w:u w:val="single"/>
              </w:rPr>
              <w:t>为可行技术。</w:t>
            </w:r>
          </w:p>
          <w:p>
            <w:pPr>
              <w:pStyle w:val="90"/>
              <w:keepNext w:val="0"/>
              <w:keepLines w:val="0"/>
              <w:pageBreakBefore w:val="0"/>
              <w:widowControl w:val="0"/>
              <w:kinsoku/>
              <w:wordWrap/>
              <w:overflowPunct/>
              <w:topLinePunct w:val="0"/>
              <w:bidi w:val="0"/>
              <w:adjustRightInd/>
              <w:spacing w:line="520" w:lineRule="exact"/>
              <w:ind w:firstLine="482" w:firstLineChars="200"/>
              <w:textAlignment w:val="auto"/>
              <w:rPr>
                <w:rFonts w:ascii="Times New Roman" w:cs="Times New Roman"/>
                <w:b/>
              </w:rPr>
            </w:pPr>
            <w:r>
              <w:rPr>
                <w:rFonts w:ascii="Times New Roman" w:cs="Times New Roman"/>
                <w:b/>
              </w:rPr>
              <w:t>（</w:t>
            </w:r>
            <w:r>
              <w:rPr>
                <w:rFonts w:hint="eastAsia" w:ascii="Times New Roman" w:cs="Times New Roman"/>
                <w:b/>
              </w:rPr>
              <w:t>3</w:t>
            </w:r>
            <w:r>
              <w:rPr>
                <w:rFonts w:ascii="Times New Roman" w:cs="Times New Roman"/>
                <w:b/>
              </w:rPr>
              <w:t>）</w:t>
            </w:r>
            <w:r>
              <w:rPr>
                <w:rFonts w:hint="eastAsia" w:ascii="Times New Roman" w:cs="Times New Roman"/>
                <w:b/>
              </w:rPr>
              <w:t>排放口基本情况</w:t>
            </w:r>
          </w:p>
          <w:p>
            <w:pPr>
              <w:keepNext w:val="0"/>
              <w:keepLines w:val="0"/>
              <w:pageBreakBefore w:val="0"/>
              <w:widowControl w:val="0"/>
              <w:kinsoku/>
              <w:wordWrap/>
              <w:overflowPunct/>
              <w:topLinePunct w:val="0"/>
              <w:bidi w:val="0"/>
              <w:adjustRightInd w:val="0"/>
              <w:snapToGrid w:val="0"/>
              <w:spacing w:line="520" w:lineRule="exact"/>
              <w:ind w:firstLine="480" w:firstLineChars="200"/>
              <w:textAlignment w:val="auto"/>
              <w:rPr>
                <w:rFonts w:hAnsi="宋体"/>
                <w:sz w:val="24"/>
              </w:rPr>
            </w:pPr>
            <w:r>
              <w:rPr>
                <w:rFonts w:hint="eastAsia" w:hAnsi="宋体"/>
                <w:sz w:val="24"/>
              </w:rPr>
              <w:t>本项目有组织排放口基本情况见下表。</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lang w:val="en-US" w:eastAsia="zh-CN"/>
              </w:rPr>
              <w:t>4-3</w:t>
            </w:r>
            <w:r>
              <w:rPr>
                <w:rFonts w:ascii="Times New Roman" w:hAnsi="Times New Roman" w:eastAsia="宋体" w:cs="Times New Roman"/>
                <w:b/>
                <w:color w:val="000000"/>
                <w:sz w:val="24"/>
                <w:szCs w:val="24"/>
              </w:rPr>
              <w:t xml:space="preserve">               本项目有组织排放口基本情况</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732"/>
              <w:gridCol w:w="1210"/>
              <w:gridCol w:w="690"/>
              <w:gridCol w:w="685"/>
              <w:gridCol w:w="686"/>
              <w:gridCol w:w="931"/>
              <w:gridCol w:w="2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8" w:type="dxa"/>
                  <w:tcBorders>
                    <w:tl2br w:val="nil"/>
                    <w:tr2bl w:val="nil"/>
                  </w:tcBorders>
                  <w:shd w:val="clear" w:color="auto" w:fill="FFFFFF"/>
                  <w:vAlign w:val="center"/>
                </w:tcPr>
                <w:p>
                  <w:pPr>
                    <w:adjustRightInd w:val="0"/>
                    <w:snapToGrid w:val="0"/>
                    <w:jc w:val="center"/>
                    <w:rPr>
                      <w:b/>
                      <w:sz w:val="21"/>
                      <w:szCs w:val="21"/>
                    </w:rPr>
                  </w:pPr>
                  <w:r>
                    <w:rPr>
                      <w:b/>
                      <w:sz w:val="21"/>
                      <w:szCs w:val="21"/>
                    </w:rPr>
                    <w:t>编号</w:t>
                  </w:r>
                </w:p>
              </w:tc>
              <w:tc>
                <w:tcPr>
                  <w:tcW w:w="731" w:type="dxa"/>
                  <w:tcBorders>
                    <w:tl2br w:val="nil"/>
                    <w:tr2bl w:val="nil"/>
                  </w:tcBorders>
                  <w:shd w:val="clear" w:color="auto" w:fill="FFFFFF"/>
                  <w:vAlign w:val="center"/>
                </w:tcPr>
                <w:p>
                  <w:pPr>
                    <w:adjustRightInd w:val="0"/>
                    <w:snapToGrid w:val="0"/>
                    <w:jc w:val="center"/>
                    <w:rPr>
                      <w:b/>
                      <w:sz w:val="21"/>
                      <w:szCs w:val="21"/>
                    </w:rPr>
                  </w:pPr>
                  <w:r>
                    <w:rPr>
                      <w:b/>
                      <w:sz w:val="21"/>
                      <w:szCs w:val="21"/>
                    </w:rPr>
                    <w:t>名称</w:t>
                  </w:r>
                </w:p>
              </w:tc>
              <w:tc>
                <w:tcPr>
                  <w:tcW w:w="1208" w:type="dxa"/>
                  <w:tcBorders>
                    <w:tl2br w:val="nil"/>
                    <w:tr2bl w:val="nil"/>
                  </w:tcBorders>
                  <w:shd w:val="clear" w:color="auto" w:fill="FFFFFF"/>
                  <w:vAlign w:val="center"/>
                </w:tcPr>
                <w:p>
                  <w:pPr>
                    <w:adjustRightInd w:val="0"/>
                    <w:snapToGrid w:val="0"/>
                    <w:jc w:val="center"/>
                    <w:rPr>
                      <w:b/>
                      <w:sz w:val="21"/>
                      <w:szCs w:val="21"/>
                    </w:rPr>
                  </w:pPr>
                  <w:r>
                    <w:rPr>
                      <w:rFonts w:hint="eastAsia"/>
                      <w:b/>
                      <w:sz w:val="21"/>
                      <w:szCs w:val="21"/>
                    </w:rPr>
                    <w:t>地理坐标</w:t>
                  </w:r>
                </w:p>
              </w:tc>
              <w:tc>
                <w:tcPr>
                  <w:tcW w:w="689" w:type="dxa"/>
                  <w:tcBorders>
                    <w:tl2br w:val="nil"/>
                    <w:tr2bl w:val="nil"/>
                  </w:tcBorders>
                  <w:shd w:val="clear" w:color="auto" w:fill="FFFFFF"/>
                  <w:vAlign w:val="center"/>
                </w:tcPr>
                <w:p>
                  <w:pPr>
                    <w:adjustRightInd w:val="0"/>
                    <w:snapToGrid w:val="0"/>
                    <w:jc w:val="center"/>
                    <w:rPr>
                      <w:b/>
                      <w:sz w:val="21"/>
                      <w:szCs w:val="21"/>
                    </w:rPr>
                  </w:pPr>
                  <w:r>
                    <w:rPr>
                      <w:b/>
                      <w:sz w:val="21"/>
                      <w:szCs w:val="21"/>
                    </w:rPr>
                    <w:t>排气筒高度/m</w:t>
                  </w:r>
                </w:p>
              </w:tc>
              <w:tc>
                <w:tcPr>
                  <w:tcW w:w="684" w:type="dxa"/>
                  <w:tcBorders>
                    <w:tl2br w:val="nil"/>
                    <w:tr2bl w:val="nil"/>
                  </w:tcBorders>
                  <w:shd w:val="clear" w:color="auto" w:fill="FFFFFF"/>
                  <w:vAlign w:val="center"/>
                </w:tcPr>
                <w:p>
                  <w:pPr>
                    <w:adjustRightInd w:val="0"/>
                    <w:snapToGrid w:val="0"/>
                    <w:jc w:val="center"/>
                    <w:rPr>
                      <w:b/>
                      <w:sz w:val="21"/>
                      <w:szCs w:val="21"/>
                    </w:rPr>
                  </w:pPr>
                  <w:r>
                    <w:rPr>
                      <w:b/>
                      <w:sz w:val="21"/>
                      <w:szCs w:val="21"/>
                    </w:rPr>
                    <w:t>出口内径/m</w:t>
                  </w:r>
                </w:p>
              </w:tc>
              <w:tc>
                <w:tcPr>
                  <w:tcW w:w="685" w:type="dxa"/>
                  <w:tcBorders>
                    <w:tl2br w:val="nil"/>
                    <w:tr2bl w:val="nil"/>
                  </w:tcBorders>
                  <w:shd w:val="clear" w:color="auto" w:fill="FFFFFF"/>
                  <w:vAlign w:val="center"/>
                </w:tcPr>
                <w:p>
                  <w:pPr>
                    <w:adjustRightInd w:val="0"/>
                    <w:snapToGrid w:val="0"/>
                    <w:jc w:val="center"/>
                    <w:rPr>
                      <w:b/>
                      <w:sz w:val="21"/>
                      <w:szCs w:val="21"/>
                    </w:rPr>
                  </w:pPr>
                  <w:r>
                    <w:rPr>
                      <w:b/>
                      <w:sz w:val="21"/>
                      <w:szCs w:val="21"/>
                    </w:rPr>
                    <w:t>烟气温度/</w:t>
                  </w:r>
                  <w:r>
                    <w:rPr>
                      <w:rFonts w:hint="eastAsia" w:ascii="宋体" w:hAnsi="宋体" w:cs="宋体"/>
                      <w:b/>
                      <w:sz w:val="21"/>
                      <w:szCs w:val="21"/>
                    </w:rPr>
                    <w:t>℃</w:t>
                  </w:r>
                </w:p>
              </w:tc>
              <w:tc>
                <w:tcPr>
                  <w:tcW w:w="929" w:type="dxa"/>
                  <w:tcBorders>
                    <w:tl2br w:val="nil"/>
                    <w:tr2bl w:val="nil"/>
                  </w:tcBorders>
                  <w:shd w:val="clear" w:color="auto" w:fill="FFFFFF"/>
                  <w:vAlign w:val="center"/>
                </w:tcPr>
                <w:p>
                  <w:pPr>
                    <w:adjustRightInd w:val="0"/>
                    <w:snapToGrid w:val="0"/>
                    <w:jc w:val="center"/>
                    <w:rPr>
                      <w:b/>
                      <w:sz w:val="21"/>
                      <w:szCs w:val="21"/>
                    </w:rPr>
                  </w:pPr>
                  <w:r>
                    <w:rPr>
                      <w:rFonts w:hint="eastAsia"/>
                      <w:b/>
                      <w:sz w:val="21"/>
                      <w:szCs w:val="21"/>
                    </w:rPr>
                    <w:t>排放口类型</w:t>
                  </w:r>
                </w:p>
              </w:tc>
              <w:tc>
                <w:tcPr>
                  <w:tcW w:w="2110" w:type="dxa"/>
                  <w:tcBorders>
                    <w:tl2br w:val="nil"/>
                    <w:tr2bl w:val="nil"/>
                  </w:tcBorders>
                  <w:shd w:val="clear" w:color="auto" w:fill="FFFFFF"/>
                  <w:vAlign w:val="center"/>
                </w:tcPr>
                <w:p>
                  <w:pPr>
                    <w:adjustRightInd w:val="0"/>
                    <w:snapToGrid w:val="0"/>
                    <w:jc w:val="center"/>
                    <w:rPr>
                      <w:b/>
                      <w:sz w:val="21"/>
                      <w:szCs w:val="21"/>
                    </w:rPr>
                  </w:pPr>
                  <w:r>
                    <w:rPr>
                      <w:b/>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838" w:type="dxa"/>
                  <w:tcBorders>
                    <w:tl2br w:val="nil"/>
                    <w:tr2bl w:val="nil"/>
                  </w:tcBorders>
                  <w:vAlign w:val="center"/>
                </w:tcPr>
                <w:p>
                  <w:pPr>
                    <w:adjustRightInd w:val="0"/>
                    <w:snapToGrid w:val="0"/>
                    <w:jc w:val="center"/>
                    <w:rPr>
                      <w:sz w:val="21"/>
                      <w:szCs w:val="21"/>
                    </w:rPr>
                  </w:pPr>
                  <w:r>
                    <w:rPr>
                      <w:rFonts w:hint="eastAsia"/>
                      <w:sz w:val="21"/>
                      <w:szCs w:val="21"/>
                    </w:rPr>
                    <w:t>DA001</w:t>
                  </w:r>
                </w:p>
              </w:tc>
              <w:tc>
                <w:tcPr>
                  <w:tcW w:w="731" w:type="dxa"/>
                  <w:tcBorders>
                    <w:tl2br w:val="nil"/>
                    <w:tr2bl w:val="nil"/>
                  </w:tcBorders>
                  <w:vAlign w:val="center"/>
                </w:tcPr>
                <w:p>
                  <w:pPr>
                    <w:adjustRightInd w:val="0"/>
                    <w:snapToGrid w:val="0"/>
                    <w:jc w:val="center"/>
                    <w:rPr>
                      <w:sz w:val="21"/>
                      <w:szCs w:val="21"/>
                    </w:rPr>
                  </w:pPr>
                  <w:r>
                    <w:rPr>
                      <w:rFonts w:hint="eastAsia"/>
                      <w:sz w:val="21"/>
                      <w:szCs w:val="21"/>
                    </w:rPr>
                    <w:t>废气排放口</w:t>
                  </w:r>
                </w:p>
              </w:tc>
              <w:tc>
                <w:tcPr>
                  <w:tcW w:w="1208" w:type="dxa"/>
                  <w:tcBorders>
                    <w:tl2br w:val="nil"/>
                    <w:tr2bl w:val="nil"/>
                  </w:tcBorders>
                  <w:vAlign w:val="center"/>
                </w:tcPr>
                <w:p>
                  <w:pPr>
                    <w:adjustRightInd w:val="0"/>
                    <w:snapToGrid w:val="0"/>
                    <w:jc w:val="center"/>
                    <w:rPr>
                      <w:rFonts w:hint="default" w:eastAsia="宋体"/>
                      <w:sz w:val="21"/>
                      <w:szCs w:val="21"/>
                      <w:lang w:val="en-US" w:eastAsia="zh-CN"/>
                    </w:rPr>
                  </w:pPr>
                  <w:r>
                    <w:rPr>
                      <w:rFonts w:hint="eastAsia"/>
                      <w:sz w:val="21"/>
                      <w:szCs w:val="21"/>
                    </w:rPr>
                    <w:t>113.84</w:t>
                  </w:r>
                  <w:r>
                    <w:rPr>
                      <w:rFonts w:hint="eastAsia"/>
                      <w:sz w:val="21"/>
                      <w:szCs w:val="21"/>
                      <w:lang w:val="en-US" w:eastAsia="zh-CN"/>
                    </w:rPr>
                    <w:t>806</w:t>
                  </w:r>
                </w:p>
                <w:p>
                  <w:pPr>
                    <w:adjustRightInd w:val="0"/>
                    <w:snapToGrid w:val="0"/>
                    <w:jc w:val="center"/>
                    <w:rPr>
                      <w:rFonts w:hint="default" w:eastAsia="宋体"/>
                      <w:sz w:val="21"/>
                      <w:szCs w:val="21"/>
                      <w:lang w:val="en-US" w:eastAsia="zh-CN"/>
                    </w:rPr>
                  </w:pPr>
                  <w:r>
                    <w:rPr>
                      <w:rFonts w:hint="eastAsia"/>
                      <w:sz w:val="21"/>
                      <w:szCs w:val="21"/>
                    </w:rPr>
                    <w:t>35.36</w:t>
                  </w:r>
                  <w:r>
                    <w:rPr>
                      <w:rFonts w:hint="eastAsia"/>
                      <w:sz w:val="21"/>
                      <w:szCs w:val="21"/>
                      <w:lang w:val="en-US" w:eastAsia="zh-CN"/>
                    </w:rPr>
                    <w:t>467</w:t>
                  </w:r>
                </w:p>
              </w:tc>
              <w:tc>
                <w:tcPr>
                  <w:tcW w:w="689" w:type="dxa"/>
                  <w:tcBorders>
                    <w:tl2br w:val="nil"/>
                    <w:tr2bl w:val="nil"/>
                  </w:tcBorders>
                  <w:vAlign w:val="center"/>
                </w:tcPr>
                <w:p>
                  <w:pPr>
                    <w:adjustRightInd w:val="0"/>
                    <w:snapToGrid w:val="0"/>
                    <w:jc w:val="center"/>
                    <w:rPr>
                      <w:sz w:val="21"/>
                      <w:szCs w:val="21"/>
                    </w:rPr>
                  </w:pPr>
                  <w:r>
                    <w:rPr>
                      <w:rFonts w:hint="eastAsia"/>
                      <w:sz w:val="21"/>
                      <w:szCs w:val="21"/>
                    </w:rPr>
                    <w:t>15</w:t>
                  </w:r>
                </w:p>
              </w:tc>
              <w:tc>
                <w:tcPr>
                  <w:tcW w:w="684" w:type="dxa"/>
                  <w:tcBorders>
                    <w:tl2br w:val="nil"/>
                    <w:tr2bl w:val="nil"/>
                  </w:tcBorders>
                  <w:vAlign w:val="center"/>
                </w:tcPr>
                <w:p>
                  <w:pPr>
                    <w:adjustRightInd w:val="0"/>
                    <w:snapToGrid w:val="0"/>
                    <w:jc w:val="center"/>
                    <w:rPr>
                      <w:rFonts w:hint="eastAsia" w:eastAsia="宋体"/>
                      <w:sz w:val="21"/>
                      <w:szCs w:val="21"/>
                      <w:lang w:val="en-US" w:eastAsia="zh-CN"/>
                    </w:rPr>
                  </w:pPr>
                  <w:r>
                    <w:rPr>
                      <w:rFonts w:hint="eastAsia"/>
                      <w:sz w:val="21"/>
                      <w:szCs w:val="21"/>
                    </w:rPr>
                    <w:t>0.</w:t>
                  </w:r>
                  <w:r>
                    <w:rPr>
                      <w:rFonts w:hint="eastAsia"/>
                      <w:sz w:val="21"/>
                      <w:szCs w:val="21"/>
                      <w:lang w:val="en-US" w:eastAsia="zh-CN"/>
                    </w:rPr>
                    <w:t>8</w:t>
                  </w:r>
                </w:p>
              </w:tc>
              <w:tc>
                <w:tcPr>
                  <w:tcW w:w="685" w:type="dxa"/>
                  <w:tcBorders>
                    <w:tl2br w:val="nil"/>
                    <w:tr2bl w:val="nil"/>
                  </w:tcBorders>
                  <w:vAlign w:val="center"/>
                </w:tcPr>
                <w:p>
                  <w:pPr>
                    <w:adjustRightInd w:val="0"/>
                    <w:snapToGrid w:val="0"/>
                    <w:jc w:val="center"/>
                    <w:rPr>
                      <w:sz w:val="21"/>
                      <w:szCs w:val="21"/>
                    </w:rPr>
                  </w:pPr>
                  <w:r>
                    <w:rPr>
                      <w:sz w:val="21"/>
                      <w:szCs w:val="21"/>
                    </w:rPr>
                    <w:t>25</w:t>
                  </w:r>
                </w:p>
              </w:tc>
              <w:tc>
                <w:tcPr>
                  <w:tcW w:w="929" w:type="dxa"/>
                  <w:tcBorders>
                    <w:tl2br w:val="nil"/>
                    <w:tr2bl w:val="nil"/>
                  </w:tcBorders>
                  <w:vAlign w:val="center"/>
                </w:tcPr>
                <w:p>
                  <w:pPr>
                    <w:adjustRightInd w:val="0"/>
                    <w:snapToGrid w:val="0"/>
                    <w:jc w:val="center"/>
                    <w:rPr>
                      <w:sz w:val="21"/>
                      <w:szCs w:val="21"/>
                    </w:rPr>
                  </w:pPr>
                  <w:r>
                    <w:rPr>
                      <w:rFonts w:hint="eastAsia"/>
                      <w:color w:val="000000"/>
                      <w:sz w:val="21"/>
                      <w:szCs w:val="21"/>
                    </w:rPr>
                    <w:t>一般排放口</w:t>
                  </w:r>
                </w:p>
              </w:tc>
              <w:tc>
                <w:tcPr>
                  <w:tcW w:w="2110" w:type="dxa"/>
                  <w:tcBorders>
                    <w:tl2br w:val="nil"/>
                    <w:tr2bl w:val="nil"/>
                  </w:tcBorders>
                  <w:vAlign w:val="center"/>
                </w:tcPr>
                <w:p>
                  <w:pPr>
                    <w:adjustRightInd w:val="0"/>
                    <w:snapToGrid w:val="0"/>
                    <w:jc w:val="center"/>
                    <w:rPr>
                      <w:sz w:val="21"/>
                      <w:szCs w:val="21"/>
                    </w:rPr>
                  </w:pPr>
                  <w:r>
                    <w:rPr>
                      <w:rFonts w:hint="eastAsia"/>
                      <w:color w:val="000000"/>
                      <w:sz w:val="21"/>
                      <w:szCs w:val="21"/>
                    </w:rPr>
                    <w:t>《大气污染物综合排放标准》（GB16297-1996）；</w:t>
                  </w:r>
                  <w:r>
                    <w:rPr>
                      <w:color w:val="000000"/>
                      <w:sz w:val="21"/>
                      <w:szCs w:val="21"/>
                    </w:rPr>
                    <w:t>《关于全省开展工业企业挥发性有机物专项治理工作中排放建议值的通知》（豫环攻坚办[2017]162号）</w:t>
                  </w:r>
                </w:p>
              </w:tc>
            </w:tr>
          </w:tbl>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2" w:firstLineChars="200"/>
              <w:textAlignment w:val="auto"/>
              <w:rPr>
                <w:b/>
                <w:sz w:val="24"/>
              </w:rPr>
            </w:pPr>
            <w:r>
              <w:rPr>
                <w:rFonts w:hAnsi="宋体"/>
                <w:b/>
                <w:sz w:val="24"/>
              </w:rPr>
              <w:t>（</w:t>
            </w:r>
            <w:r>
              <w:rPr>
                <w:rFonts w:hint="eastAsia"/>
                <w:b/>
                <w:sz w:val="24"/>
              </w:rPr>
              <w:t>4</w:t>
            </w:r>
            <w:r>
              <w:rPr>
                <w:rFonts w:hAnsi="宋体"/>
                <w:b/>
                <w:sz w:val="24"/>
              </w:rPr>
              <w:t>）本项目污染物排放量分析</w:t>
            </w:r>
          </w:p>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0" w:firstLineChars="200"/>
              <w:textAlignment w:val="auto"/>
              <w:rPr>
                <w:rFonts w:ascii="宋体" w:hAnsi="宋体"/>
                <w:sz w:val="24"/>
              </w:rPr>
            </w:pPr>
            <w:r>
              <w:rPr>
                <w:rFonts w:hint="eastAsia" w:ascii="宋体" w:hAnsi="宋体"/>
                <w:sz w:val="24"/>
              </w:rPr>
              <w:t>本项目建成后全厂污染物排放情况见下表。</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lang w:val="en-US" w:eastAsia="zh-CN"/>
              </w:rPr>
              <w:t>4-4</w:t>
            </w:r>
            <w:r>
              <w:rPr>
                <w:rFonts w:ascii="Times New Roman" w:hAnsi="Times New Roman" w:eastAsia="宋体" w:cs="Times New Roman"/>
                <w:b/>
                <w:color w:val="000000"/>
                <w:sz w:val="24"/>
                <w:szCs w:val="24"/>
              </w:rPr>
              <w:t xml:space="preserve">            本项目污染物排放源情况一览表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898"/>
              <w:gridCol w:w="899"/>
              <w:gridCol w:w="1495"/>
              <w:gridCol w:w="1724"/>
              <w:gridCol w:w="2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41" w:type="dxa"/>
                  <w:tcBorders>
                    <w:tl2br w:val="nil"/>
                    <w:tr2bl w:val="nil"/>
                  </w:tcBorders>
                  <w:shd w:val="clear" w:color="auto" w:fill="auto"/>
                  <w:vAlign w:val="center"/>
                </w:tcPr>
                <w:p>
                  <w:pPr>
                    <w:tabs>
                      <w:tab w:val="left" w:pos="3620"/>
                    </w:tabs>
                    <w:adjustRightInd w:val="0"/>
                    <w:snapToGrid w:val="0"/>
                    <w:jc w:val="center"/>
                    <w:rPr>
                      <w:rFonts w:eastAsiaTheme="minorEastAsia"/>
                      <w:b/>
                      <w:sz w:val="21"/>
                      <w:szCs w:val="21"/>
                    </w:rPr>
                  </w:pPr>
                  <w:r>
                    <w:rPr>
                      <w:rFonts w:hAnsiTheme="minorEastAsia" w:eastAsiaTheme="minorEastAsia"/>
                      <w:b/>
                      <w:sz w:val="21"/>
                      <w:szCs w:val="21"/>
                    </w:rPr>
                    <w:t>编号</w:t>
                  </w:r>
                </w:p>
              </w:tc>
              <w:tc>
                <w:tcPr>
                  <w:tcW w:w="898" w:type="dxa"/>
                  <w:tcBorders>
                    <w:tl2br w:val="nil"/>
                    <w:tr2bl w:val="nil"/>
                  </w:tcBorders>
                  <w:shd w:val="clear" w:color="auto" w:fill="auto"/>
                  <w:vAlign w:val="center"/>
                </w:tcPr>
                <w:p>
                  <w:pPr>
                    <w:tabs>
                      <w:tab w:val="left" w:pos="3620"/>
                    </w:tabs>
                    <w:adjustRightInd w:val="0"/>
                    <w:snapToGrid w:val="0"/>
                    <w:jc w:val="center"/>
                    <w:rPr>
                      <w:rFonts w:eastAsiaTheme="minorEastAsia"/>
                      <w:b/>
                      <w:sz w:val="21"/>
                      <w:szCs w:val="21"/>
                    </w:rPr>
                  </w:pPr>
                  <w:r>
                    <w:rPr>
                      <w:rFonts w:hAnsiTheme="minorEastAsia" w:eastAsiaTheme="minorEastAsia"/>
                      <w:b/>
                      <w:sz w:val="21"/>
                      <w:szCs w:val="21"/>
                    </w:rPr>
                    <w:t>排放源</w:t>
                  </w:r>
                </w:p>
              </w:tc>
              <w:tc>
                <w:tcPr>
                  <w:tcW w:w="899" w:type="dxa"/>
                  <w:tcBorders>
                    <w:tl2br w:val="nil"/>
                    <w:tr2bl w:val="nil"/>
                  </w:tcBorders>
                  <w:shd w:val="clear" w:color="auto" w:fill="auto"/>
                  <w:vAlign w:val="center"/>
                </w:tcPr>
                <w:p>
                  <w:pPr>
                    <w:tabs>
                      <w:tab w:val="left" w:pos="3620"/>
                    </w:tabs>
                    <w:adjustRightInd w:val="0"/>
                    <w:snapToGrid w:val="0"/>
                    <w:jc w:val="center"/>
                    <w:rPr>
                      <w:rFonts w:eastAsiaTheme="minorEastAsia"/>
                      <w:b/>
                      <w:sz w:val="21"/>
                      <w:szCs w:val="21"/>
                    </w:rPr>
                  </w:pPr>
                  <w:r>
                    <w:rPr>
                      <w:rFonts w:hAnsiTheme="minorEastAsia" w:eastAsiaTheme="minorEastAsia"/>
                      <w:b/>
                      <w:sz w:val="21"/>
                      <w:szCs w:val="21"/>
                    </w:rPr>
                    <w:t>污染物名称</w:t>
                  </w:r>
                </w:p>
              </w:tc>
              <w:tc>
                <w:tcPr>
                  <w:tcW w:w="1495" w:type="dxa"/>
                  <w:tcBorders>
                    <w:tl2br w:val="nil"/>
                    <w:tr2bl w:val="nil"/>
                  </w:tcBorders>
                  <w:shd w:val="clear" w:color="auto" w:fill="auto"/>
                  <w:vAlign w:val="center"/>
                </w:tcPr>
                <w:p>
                  <w:pPr>
                    <w:tabs>
                      <w:tab w:val="left" w:pos="3620"/>
                    </w:tabs>
                    <w:adjustRightInd w:val="0"/>
                    <w:snapToGrid w:val="0"/>
                    <w:jc w:val="center"/>
                    <w:rPr>
                      <w:rFonts w:eastAsiaTheme="minorEastAsia"/>
                      <w:b/>
                      <w:sz w:val="21"/>
                      <w:szCs w:val="21"/>
                    </w:rPr>
                  </w:pPr>
                  <w:r>
                    <w:rPr>
                      <w:rFonts w:hAnsiTheme="minorEastAsia" w:eastAsiaTheme="minorEastAsia"/>
                      <w:b/>
                      <w:sz w:val="21"/>
                      <w:szCs w:val="21"/>
                    </w:rPr>
                    <w:t>排放量（</w:t>
                  </w:r>
                  <w:r>
                    <w:rPr>
                      <w:rFonts w:eastAsiaTheme="minorEastAsia"/>
                      <w:b/>
                      <w:sz w:val="21"/>
                      <w:szCs w:val="21"/>
                    </w:rPr>
                    <w:t>t/a</w:t>
                  </w:r>
                  <w:r>
                    <w:rPr>
                      <w:rFonts w:hAnsiTheme="minorEastAsia" w:eastAsiaTheme="minorEastAsia"/>
                      <w:b/>
                      <w:sz w:val="21"/>
                      <w:szCs w:val="21"/>
                    </w:rPr>
                    <w:t>）</w:t>
                  </w:r>
                </w:p>
              </w:tc>
              <w:tc>
                <w:tcPr>
                  <w:tcW w:w="1724" w:type="dxa"/>
                  <w:tcBorders>
                    <w:tl2br w:val="nil"/>
                    <w:tr2bl w:val="nil"/>
                  </w:tcBorders>
                  <w:shd w:val="clear" w:color="auto" w:fill="auto"/>
                  <w:vAlign w:val="center"/>
                </w:tcPr>
                <w:p>
                  <w:pPr>
                    <w:tabs>
                      <w:tab w:val="left" w:pos="3620"/>
                    </w:tabs>
                    <w:adjustRightInd w:val="0"/>
                    <w:snapToGrid w:val="0"/>
                    <w:jc w:val="center"/>
                    <w:rPr>
                      <w:rFonts w:eastAsiaTheme="minorEastAsia"/>
                      <w:b/>
                      <w:sz w:val="21"/>
                      <w:szCs w:val="21"/>
                    </w:rPr>
                  </w:pPr>
                  <w:r>
                    <w:rPr>
                      <w:rFonts w:hAnsiTheme="minorEastAsia" w:eastAsiaTheme="minorEastAsia"/>
                      <w:b/>
                      <w:sz w:val="21"/>
                      <w:szCs w:val="21"/>
                    </w:rPr>
                    <w:t>排放速率（</w:t>
                  </w:r>
                  <w:r>
                    <w:rPr>
                      <w:rFonts w:eastAsiaTheme="minorEastAsia"/>
                      <w:b/>
                      <w:sz w:val="21"/>
                      <w:szCs w:val="21"/>
                    </w:rPr>
                    <w:t>kg/h</w:t>
                  </w:r>
                  <w:r>
                    <w:rPr>
                      <w:rFonts w:hAnsiTheme="minorEastAsia" w:eastAsiaTheme="minorEastAsia"/>
                      <w:b/>
                      <w:sz w:val="21"/>
                      <w:szCs w:val="21"/>
                    </w:rPr>
                    <w:t>）</w:t>
                  </w:r>
                </w:p>
              </w:tc>
              <w:tc>
                <w:tcPr>
                  <w:tcW w:w="2033" w:type="dxa"/>
                  <w:tcBorders>
                    <w:tl2br w:val="nil"/>
                    <w:tr2bl w:val="nil"/>
                  </w:tcBorders>
                  <w:shd w:val="clear" w:color="auto" w:fill="auto"/>
                  <w:vAlign w:val="center"/>
                </w:tcPr>
                <w:p>
                  <w:pPr>
                    <w:widowControl/>
                    <w:adjustRightInd w:val="0"/>
                    <w:snapToGrid w:val="0"/>
                    <w:jc w:val="center"/>
                    <w:rPr>
                      <w:rFonts w:eastAsiaTheme="minorEastAsia"/>
                      <w:b/>
                      <w:sz w:val="21"/>
                      <w:szCs w:val="21"/>
                    </w:rPr>
                  </w:pPr>
                  <w:r>
                    <w:rPr>
                      <w:rFonts w:hAnsiTheme="minorEastAsia" w:eastAsiaTheme="minorEastAsia"/>
                      <w:b/>
                      <w:sz w:val="21"/>
                      <w:szCs w:val="21"/>
                    </w:rPr>
                    <w:t>排放浓度（</w:t>
                  </w:r>
                  <w:r>
                    <w:rPr>
                      <w:rFonts w:eastAsiaTheme="minorEastAsia"/>
                      <w:b/>
                      <w:sz w:val="21"/>
                      <w:szCs w:val="21"/>
                    </w:rPr>
                    <w:t>mg/m</w:t>
                  </w:r>
                  <w:r>
                    <w:rPr>
                      <w:rFonts w:eastAsiaTheme="minorEastAsia"/>
                      <w:b/>
                      <w:sz w:val="21"/>
                      <w:szCs w:val="21"/>
                      <w:vertAlign w:val="superscript"/>
                    </w:rPr>
                    <w:t>3</w:t>
                  </w:r>
                  <w:r>
                    <w:rPr>
                      <w:rFonts w:hAnsiTheme="minorEastAsia" w:eastAsiaTheme="minorEastAsia"/>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41" w:type="dxa"/>
                  <w:vMerge w:val="restart"/>
                  <w:tcBorders>
                    <w:tl2br w:val="nil"/>
                    <w:tr2bl w:val="nil"/>
                  </w:tcBorders>
                  <w:vAlign w:val="center"/>
                </w:tcPr>
                <w:p>
                  <w:pPr>
                    <w:adjustRightInd w:val="0"/>
                    <w:snapToGrid w:val="0"/>
                    <w:jc w:val="center"/>
                    <w:rPr>
                      <w:sz w:val="21"/>
                      <w:szCs w:val="21"/>
                    </w:rPr>
                  </w:pPr>
                  <w:r>
                    <w:rPr>
                      <w:rFonts w:hint="eastAsia"/>
                      <w:sz w:val="21"/>
                      <w:szCs w:val="21"/>
                    </w:rPr>
                    <w:t>DA001</w:t>
                  </w:r>
                </w:p>
              </w:tc>
              <w:tc>
                <w:tcPr>
                  <w:tcW w:w="898" w:type="dxa"/>
                  <w:vMerge w:val="restart"/>
                  <w:tcBorders>
                    <w:tl2br w:val="nil"/>
                    <w:tr2bl w:val="nil"/>
                  </w:tcBorders>
                  <w:vAlign w:val="center"/>
                </w:tcPr>
                <w:p>
                  <w:pPr>
                    <w:adjustRightInd w:val="0"/>
                    <w:snapToGrid w:val="0"/>
                    <w:jc w:val="center"/>
                    <w:rPr>
                      <w:sz w:val="21"/>
                      <w:szCs w:val="21"/>
                    </w:rPr>
                  </w:pPr>
                  <w:r>
                    <w:rPr>
                      <w:rFonts w:hint="eastAsia"/>
                      <w:sz w:val="21"/>
                      <w:szCs w:val="21"/>
                    </w:rPr>
                    <w:t>废气排放口</w:t>
                  </w:r>
                </w:p>
              </w:tc>
              <w:tc>
                <w:tcPr>
                  <w:tcW w:w="899" w:type="dxa"/>
                  <w:tcBorders>
                    <w:tl2br w:val="nil"/>
                    <w:tr2bl w:val="nil"/>
                  </w:tcBorders>
                  <w:vAlign w:val="center"/>
                </w:tcPr>
                <w:p>
                  <w:pPr>
                    <w:tabs>
                      <w:tab w:val="left" w:pos="3620"/>
                    </w:tabs>
                    <w:adjustRightInd w:val="0"/>
                    <w:snapToGrid w:val="0"/>
                    <w:jc w:val="center"/>
                    <w:rPr>
                      <w:rFonts w:eastAsiaTheme="minorEastAsia"/>
                      <w:sz w:val="21"/>
                      <w:szCs w:val="21"/>
                      <w:lang w:val="en-GB"/>
                    </w:rPr>
                  </w:pPr>
                  <w:r>
                    <w:rPr>
                      <w:rFonts w:hint="eastAsia" w:hAnsiTheme="minorEastAsia" w:eastAsiaTheme="minorEastAsia"/>
                      <w:sz w:val="21"/>
                      <w:szCs w:val="21"/>
                      <w:lang w:val="en-GB"/>
                    </w:rPr>
                    <w:t>非甲烷总烃</w:t>
                  </w:r>
                </w:p>
              </w:tc>
              <w:tc>
                <w:tcPr>
                  <w:tcW w:w="1495" w:type="dxa"/>
                  <w:tcBorders>
                    <w:tl2br w:val="nil"/>
                    <w:tr2bl w:val="nil"/>
                  </w:tcBorders>
                  <w:vAlign w:val="center"/>
                </w:tcPr>
                <w:p>
                  <w:pPr>
                    <w:adjustRightInd w:val="0"/>
                    <w:snapToGrid w:val="0"/>
                    <w:jc w:val="center"/>
                    <w:rPr>
                      <w:rFonts w:hint="default" w:eastAsiaTheme="majorEastAsia"/>
                      <w:sz w:val="21"/>
                      <w:szCs w:val="21"/>
                      <w:lang w:val="en-US" w:eastAsia="zh-CN"/>
                    </w:rPr>
                  </w:pPr>
                  <w:r>
                    <w:rPr>
                      <w:rFonts w:hint="eastAsia" w:eastAsiaTheme="majorEastAsia"/>
                      <w:sz w:val="21"/>
                      <w:szCs w:val="21"/>
                    </w:rPr>
                    <w:t>0.0</w:t>
                  </w:r>
                  <w:r>
                    <w:rPr>
                      <w:rFonts w:hint="eastAsia" w:eastAsiaTheme="majorEastAsia"/>
                      <w:sz w:val="21"/>
                      <w:szCs w:val="21"/>
                      <w:lang w:val="en-US" w:eastAsia="zh-CN"/>
                    </w:rPr>
                    <w:t>29</w:t>
                  </w:r>
                </w:p>
              </w:tc>
              <w:tc>
                <w:tcPr>
                  <w:tcW w:w="1724" w:type="dxa"/>
                  <w:tcBorders>
                    <w:tl2br w:val="nil"/>
                    <w:tr2bl w:val="nil"/>
                  </w:tcBorders>
                  <w:vAlign w:val="center"/>
                </w:tcPr>
                <w:p>
                  <w:pPr>
                    <w:adjustRightInd w:val="0"/>
                    <w:snapToGrid w:val="0"/>
                    <w:jc w:val="center"/>
                    <w:rPr>
                      <w:rFonts w:hint="default" w:eastAsiaTheme="majorEastAsia"/>
                      <w:sz w:val="21"/>
                      <w:szCs w:val="21"/>
                      <w:lang w:val="en-US" w:eastAsia="zh-CN"/>
                    </w:rPr>
                  </w:pPr>
                  <w:r>
                    <w:rPr>
                      <w:rFonts w:hint="eastAsia" w:eastAsiaTheme="majorEastAsia"/>
                      <w:sz w:val="21"/>
                      <w:szCs w:val="21"/>
                      <w:lang w:val="en-US" w:eastAsia="zh-CN"/>
                    </w:rPr>
                    <w:t>0.004</w:t>
                  </w:r>
                </w:p>
              </w:tc>
              <w:tc>
                <w:tcPr>
                  <w:tcW w:w="2033" w:type="dxa"/>
                  <w:tcBorders>
                    <w:tl2br w:val="nil"/>
                    <w:tr2bl w:val="nil"/>
                  </w:tcBorders>
                  <w:vAlign w:val="center"/>
                </w:tcPr>
                <w:p>
                  <w:pPr>
                    <w:adjustRightInd w:val="0"/>
                    <w:snapToGrid w:val="0"/>
                    <w:jc w:val="center"/>
                    <w:rPr>
                      <w:rFonts w:hint="default" w:eastAsiaTheme="majorEastAsia"/>
                      <w:sz w:val="21"/>
                      <w:szCs w:val="21"/>
                      <w:lang w:val="en-US" w:eastAsia="zh-CN"/>
                    </w:rPr>
                  </w:pPr>
                  <w:r>
                    <w:rPr>
                      <w:rFonts w:hint="eastAsia" w:eastAsiaTheme="majorEastAsia"/>
                      <w:sz w:val="21"/>
                      <w:szCs w:val="21"/>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841" w:type="dxa"/>
                  <w:vMerge w:val="continue"/>
                  <w:tcBorders>
                    <w:tl2br w:val="nil"/>
                    <w:tr2bl w:val="nil"/>
                  </w:tcBorders>
                  <w:vAlign w:val="center"/>
                </w:tcPr>
                <w:p>
                  <w:pPr>
                    <w:adjustRightInd w:val="0"/>
                    <w:snapToGrid w:val="0"/>
                    <w:jc w:val="center"/>
                    <w:rPr>
                      <w:rFonts w:hint="eastAsia"/>
                      <w:sz w:val="21"/>
                      <w:szCs w:val="21"/>
                    </w:rPr>
                  </w:pPr>
                </w:p>
              </w:tc>
              <w:tc>
                <w:tcPr>
                  <w:tcW w:w="898" w:type="dxa"/>
                  <w:vMerge w:val="continue"/>
                  <w:tcBorders>
                    <w:tl2br w:val="nil"/>
                    <w:tr2bl w:val="nil"/>
                  </w:tcBorders>
                  <w:vAlign w:val="center"/>
                </w:tcPr>
                <w:p>
                  <w:pPr>
                    <w:adjustRightInd w:val="0"/>
                    <w:snapToGrid w:val="0"/>
                    <w:jc w:val="center"/>
                    <w:rPr>
                      <w:rFonts w:hint="eastAsia"/>
                      <w:sz w:val="21"/>
                      <w:szCs w:val="21"/>
                    </w:rPr>
                  </w:pPr>
                </w:p>
              </w:tc>
              <w:tc>
                <w:tcPr>
                  <w:tcW w:w="899" w:type="dxa"/>
                  <w:tcBorders>
                    <w:tl2br w:val="nil"/>
                    <w:tr2bl w:val="nil"/>
                  </w:tcBorders>
                  <w:vAlign w:val="center"/>
                </w:tcPr>
                <w:p>
                  <w:pPr>
                    <w:tabs>
                      <w:tab w:val="left" w:pos="3620"/>
                    </w:tabs>
                    <w:adjustRightInd w:val="0"/>
                    <w:snapToGrid w:val="0"/>
                    <w:jc w:val="center"/>
                    <w:rPr>
                      <w:rFonts w:hint="default" w:hAnsiTheme="minorEastAsia" w:eastAsiaTheme="minorEastAsia"/>
                      <w:sz w:val="21"/>
                      <w:szCs w:val="21"/>
                      <w:lang w:val="en-US" w:eastAsia="zh-CN"/>
                    </w:rPr>
                  </w:pPr>
                  <w:r>
                    <w:rPr>
                      <w:rFonts w:hint="eastAsia" w:hAnsiTheme="minorEastAsia" w:eastAsiaTheme="minorEastAsia"/>
                      <w:sz w:val="21"/>
                      <w:szCs w:val="21"/>
                      <w:lang w:val="en-US" w:eastAsia="zh-CN"/>
                    </w:rPr>
                    <w:t>氯化氢</w:t>
                  </w:r>
                </w:p>
              </w:tc>
              <w:tc>
                <w:tcPr>
                  <w:tcW w:w="1495" w:type="dxa"/>
                  <w:tcBorders>
                    <w:tl2br w:val="nil"/>
                    <w:tr2bl w:val="nil"/>
                  </w:tcBorders>
                  <w:vAlign w:val="center"/>
                </w:tcPr>
                <w:p>
                  <w:pPr>
                    <w:adjustRightInd w:val="0"/>
                    <w:snapToGrid w:val="0"/>
                    <w:jc w:val="center"/>
                    <w:rPr>
                      <w:rFonts w:hint="default" w:eastAsiaTheme="majorEastAsia"/>
                      <w:sz w:val="21"/>
                      <w:szCs w:val="21"/>
                      <w:lang w:val="en-US" w:eastAsia="zh-CN"/>
                    </w:rPr>
                  </w:pPr>
                  <w:r>
                    <w:rPr>
                      <w:rFonts w:hint="eastAsia" w:eastAsiaTheme="majorEastAsia"/>
                      <w:sz w:val="21"/>
                      <w:szCs w:val="21"/>
                      <w:lang w:val="en-US" w:eastAsia="zh-CN"/>
                    </w:rPr>
                    <w:t>0.012</w:t>
                  </w:r>
                </w:p>
              </w:tc>
              <w:tc>
                <w:tcPr>
                  <w:tcW w:w="1724" w:type="dxa"/>
                  <w:tcBorders>
                    <w:tl2br w:val="nil"/>
                    <w:tr2bl w:val="nil"/>
                  </w:tcBorders>
                  <w:vAlign w:val="center"/>
                </w:tcPr>
                <w:p>
                  <w:pPr>
                    <w:adjustRightInd w:val="0"/>
                    <w:snapToGrid w:val="0"/>
                    <w:jc w:val="center"/>
                    <w:rPr>
                      <w:rFonts w:hint="default" w:eastAsiaTheme="majorEastAsia"/>
                      <w:sz w:val="21"/>
                      <w:szCs w:val="21"/>
                      <w:lang w:val="en-US" w:eastAsia="zh-CN"/>
                    </w:rPr>
                  </w:pPr>
                  <w:r>
                    <w:rPr>
                      <w:rFonts w:hint="eastAsia" w:eastAsiaTheme="majorEastAsia"/>
                      <w:sz w:val="21"/>
                      <w:szCs w:val="21"/>
                      <w:lang w:val="en-US" w:eastAsia="zh-CN"/>
                    </w:rPr>
                    <w:t>0.0017</w:t>
                  </w:r>
                </w:p>
              </w:tc>
              <w:tc>
                <w:tcPr>
                  <w:tcW w:w="2033" w:type="dxa"/>
                  <w:tcBorders>
                    <w:tl2br w:val="nil"/>
                    <w:tr2bl w:val="nil"/>
                  </w:tcBorders>
                  <w:vAlign w:val="center"/>
                </w:tcPr>
                <w:p>
                  <w:pPr>
                    <w:adjustRightInd w:val="0"/>
                    <w:snapToGrid w:val="0"/>
                    <w:jc w:val="center"/>
                    <w:rPr>
                      <w:rFonts w:hint="default" w:eastAsiaTheme="majorEastAsia"/>
                      <w:sz w:val="21"/>
                      <w:szCs w:val="21"/>
                      <w:lang w:val="en-US" w:eastAsia="zh-CN"/>
                    </w:rPr>
                  </w:pPr>
                  <w:r>
                    <w:rPr>
                      <w:rFonts w:hint="eastAsia" w:eastAsiaTheme="majorEastAsia"/>
                      <w:sz w:val="21"/>
                      <w:szCs w:val="21"/>
                      <w:lang w:val="en-US" w:eastAsia="zh-CN"/>
                    </w:rPr>
                    <w:t>0.11</w:t>
                  </w:r>
                </w:p>
              </w:tc>
            </w:tr>
          </w:tbl>
          <w:p>
            <w:pPr>
              <w:keepNext w:val="0"/>
              <w:keepLines w:val="0"/>
              <w:pageBreakBefore w:val="0"/>
              <w:widowControl w:val="0"/>
              <w:tabs>
                <w:tab w:val="left" w:pos="3620"/>
              </w:tabs>
              <w:kinsoku/>
              <w:wordWrap/>
              <w:overflowPunct/>
              <w:topLinePunct w:val="0"/>
              <w:bidi w:val="0"/>
              <w:adjustRightInd w:val="0"/>
              <w:snapToGrid w:val="0"/>
              <w:spacing w:line="520" w:lineRule="exact"/>
              <w:ind w:firstLine="480" w:firstLineChars="200"/>
              <w:textAlignment w:val="auto"/>
              <w:rPr>
                <w:rFonts w:hint="eastAsia" w:eastAsia="宋体"/>
                <w:color w:val="000000"/>
                <w:sz w:val="24"/>
                <w:szCs w:val="24"/>
                <w:lang w:eastAsia="zh-CN"/>
              </w:rPr>
            </w:pPr>
            <w:r>
              <w:rPr>
                <w:rFonts w:hint="eastAsia"/>
                <w:sz w:val="24"/>
                <w:szCs w:val="24"/>
              </w:rPr>
              <w:t>由上表可知，有组织</w:t>
            </w:r>
            <w:r>
              <w:rPr>
                <w:color w:val="000000"/>
                <w:sz w:val="24"/>
                <w:szCs w:val="24"/>
                <w:lang w:val="pt-BR"/>
              </w:rPr>
              <w:t>非甲烷总烃</w:t>
            </w:r>
            <w:r>
              <w:rPr>
                <w:rFonts w:hint="eastAsia"/>
                <w:sz w:val="24"/>
                <w:szCs w:val="24"/>
              </w:rPr>
              <w:t>排放满足</w:t>
            </w:r>
            <w:r>
              <w:rPr>
                <w:rFonts w:hint="eastAsia"/>
                <w:color w:val="000000"/>
                <w:sz w:val="24"/>
                <w:szCs w:val="24"/>
              </w:rPr>
              <w:t>《大气污染物综合排放标准》（GB16297-1996）表2非甲烷总烃10kg/h限值要求，</w:t>
            </w:r>
            <w:r>
              <w:rPr>
                <w:color w:val="000000"/>
                <w:sz w:val="24"/>
                <w:szCs w:val="24"/>
              </w:rPr>
              <w:t>同时能够满足河南省环境污染防治攻坚战领导小组办公室文件（豫环攻坚办[2017]162号）《关于全省开展工业企业挥发性有机物专项治理工作中排放建议值的通知》附件1工业企业排放建议值非甲烷总烃</w:t>
            </w:r>
            <w:r>
              <w:rPr>
                <w:rFonts w:hint="eastAsia"/>
                <w:color w:val="000000"/>
                <w:sz w:val="24"/>
                <w:szCs w:val="24"/>
              </w:rPr>
              <w:t>80</w:t>
            </w:r>
            <w:r>
              <w:rPr>
                <w:color w:val="000000"/>
                <w:sz w:val="24"/>
                <w:szCs w:val="24"/>
              </w:rPr>
              <w:t>mg/m</w:t>
            </w:r>
            <w:r>
              <w:rPr>
                <w:color w:val="000000"/>
                <w:sz w:val="24"/>
                <w:szCs w:val="24"/>
                <w:vertAlign w:val="superscript"/>
              </w:rPr>
              <w:t>3</w:t>
            </w:r>
            <w:r>
              <w:rPr>
                <w:rFonts w:hint="eastAsia"/>
                <w:color w:val="000000"/>
                <w:sz w:val="24"/>
                <w:szCs w:val="24"/>
              </w:rPr>
              <w:t>以及去除效率70%</w:t>
            </w:r>
            <w:r>
              <w:rPr>
                <w:color w:val="000000"/>
                <w:sz w:val="24"/>
                <w:szCs w:val="24"/>
              </w:rPr>
              <w:t>的限值要求</w:t>
            </w:r>
            <w:r>
              <w:rPr>
                <w:rFonts w:hint="eastAsia"/>
                <w:color w:val="000000"/>
                <w:sz w:val="24"/>
                <w:szCs w:val="24"/>
                <w:lang w:eastAsia="zh-CN"/>
              </w:rPr>
              <w:t>。</w:t>
            </w:r>
          </w:p>
          <w:p>
            <w:pPr>
              <w:keepNext w:val="0"/>
              <w:keepLines w:val="0"/>
              <w:pageBreakBefore w:val="0"/>
              <w:widowControl w:val="0"/>
              <w:tabs>
                <w:tab w:val="left" w:pos="3620"/>
              </w:tabs>
              <w:kinsoku/>
              <w:wordWrap/>
              <w:overflowPunct/>
              <w:topLinePunct w:val="0"/>
              <w:bidi w:val="0"/>
              <w:adjustRightInd w:val="0"/>
              <w:snapToGrid w:val="0"/>
              <w:spacing w:line="520" w:lineRule="exact"/>
              <w:ind w:firstLine="482" w:firstLineChars="200"/>
              <w:textAlignment w:val="auto"/>
              <w:rPr>
                <w:b/>
                <w:sz w:val="24"/>
              </w:rPr>
            </w:pPr>
            <w:r>
              <w:rPr>
                <w:rFonts w:hAnsi="宋体"/>
                <w:b/>
                <w:sz w:val="24"/>
              </w:rPr>
              <w:t>（</w:t>
            </w:r>
            <w:r>
              <w:rPr>
                <w:rFonts w:hint="eastAsia"/>
                <w:b/>
                <w:sz w:val="24"/>
              </w:rPr>
              <w:t>5</w:t>
            </w:r>
            <w:r>
              <w:rPr>
                <w:rFonts w:hAnsi="宋体"/>
                <w:b/>
                <w:sz w:val="24"/>
              </w:rPr>
              <w:t>）非正常工况环境影响分析</w:t>
            </w:r>
          </w:p>
          <w:p>
            <w:pPr>
              <w:keepNext w:val="0"/>
              <w:keepLines w:val="0"/>
              <w:pageBreakBefore w:val="0"/>
              <w:widowControl w:val="0"/>
              <w:tabs>
                <w:tab w:val="left" w:pos="3620"/>
              </w:tabs>
              <w:kinsoku/>
              <w:wordWrap/>
              <w:overflowPunct/>
              <w:topLinePunct w:val="0"/>
              <w:bidi w:val="0"/>
              <w:adjustRightInd w:val="0"/>
              <w:snapToGrid w:val="0"/>
              <w:spacing w:line="520" w:lineRule="exact"/>
              <w:ind w:firstLine="480" w:firstLineChars="200"/>
              <w:textAlignment w:val="auto"/>
              <w:rPr>
                <w:sz w:val="24"/>
                <w:lang w:val="en-GB"/>
              </w:rPr>
            </w:pPr>
            <w:r>
              <w:rPr>
                <w:rFonts w:hAnsi="宋体"/>
                <w:sz w:val="24"/>
                <w:lang w:val="en-GB"/>
              </w:rPr>
              <w:t>非正常工况是指生产运行阶段的开、停车、检修、操作不正常或设备故障等。本项目设备检修时不进行生产作业；工艺过程出现运转异常时可停产、检修，待所有生产设备恢复正常后再投入生产。</w:t>
            </w:r>
            <w:r>
              <w:rPr>
                <w:rFonts w:hint="eastAsia" w:hAnsi="宋体"/>
                <w:sz w:val="24"/>
                <w:lang w:val="en-GB"/>
              </w:rPr>
              <w:t>在不工作时，企业可安排人员对面粉筒仓袋式除尘器定期检查维护，确保不出现异常。故本项目</w:t>
            </w:r>
            <w:r>
              <w:rPr>
                <w:rFonts w:hAnsi="宋体"/>
                <w:sz w:val="24"/>
                <w:lang w:val="en-GB"/>
              </w:rPr>
              <w:t>非正常工况主要为废气处理装置出现故障导致污染物非正常排放。</w:t>
            </w:r>
          </w:p>
          <w:p>
            <w:pPr>
              <w:keepNext w:val="0"/>
              <w:keepLines w:val="0"/>
              <w:pageBreakBefore w:val="0"/>
              <w:widowControl w:val="0"/>
              <w:tabs>
                <w:tab w:val="left" w:pos="3620"/>
              </w:tabs>
              <w:kinsoku/>
              <w:wordWrap/>
              <w:overflowPunct/>
              <w:topLinePunct w:val="0"/>
              <w:bidi w:val="0"/>
              <w:adjustRightInd w:val="0"/>
              <w:snapToGrid w:val="0"/>
              <w:spacing w:line="520" w:lineRule="exact"/>
              <w:ind w:firstLine="480" w:firstLineChars="200"/>
              <w:textAlignment w:val="auto"/>
              <w:rPr>
                <w:sz w:val="24"/>
              </w:rPr>
            </w:pPr>
            <w:r>
              <w:rPr>
                <w:rFonts w:hAnsi="宋体"/>
                <w:sz w:val="24"/>
              </w:rPr>
              <w:t>本项目</w:t>
            </w:r>
            <w:r>
              <w:rPr>
                <w:rFonts w:hint="eastAsia" w:hAnsi="宋体"/>
                <w:sz w:val="24"/>
              </w:rPr>
              <w:t>废气治理</w:t>
            </w:r>
            <w:r>
              <w:rPr>
                <w:rFonts w:hAnsi="宋体"/>
                <w:sz w:val="24"/>
              </w:rPr>
              <w:t>装置发生故障时，现场工作人员立即报告公司管理人员，车间立即停止生产进行设备的维护，处理装置出现故障到被发现时间约为</w:t>
            </w:r>
            <w:r>
              <w:rPr>
                <w:rFonts w:hint="eastAsia"/>
                <w:sz w:val="24"/>
              </w:rPr>
              <w:t>2</w:t>
            </w:r>
            <w:r>
              <w:rPr>
                <w:sz w:val="24"/>
              </w:rPr>
              <w:t>h</w:t>
            </w:r>
            <w:r>
              <w:rPr>
                <w:rFonts w:hAnsi="宋体"/>
                <w:sz w:val="24"/>
              </w:rPr>
              <w:t>，根据建设单位运行经验，故障频次约</w:t>
            </w:r>
            <w:r>
              <w:rPr>
                <w:sz w:val="24"/>
              </w:rPr>
              <w:t>1</w:t>
            </w:r>
            <w:r>
              <w:rPr>
                <w:rFonts w:hAnsi="宋体"/>
                <w:sz w:val="24"/>
              </w:rPr>
              <w:t>次</w:t>
            </w:r>
            <w:r>
              <w:rPr>
                <w:sz w:val="24"/>
              </w:rPr>
              <w:t>/a</w:t>
            </w:r>
            <w:r>
              <w:rPr>
                <w:rFonts w:hAnsi="宋体"/>
                <w:sz w:val="24"/>
              </w:rPr>
              <w:t>。</w:t>
            </w:r>
            <w:r>
              <w:rPr>
                <w:rFonts w:hint="eastAsia" w:hAnsi="宋体"/>
                <w:sz w:val="24"/>
              </w:rPr>
              <w:t>类比同类型</w:t>
            </w:r>
            <w:r>
              <w:rPr>
                <w:rFonts w:hAnsi="宋体"/>
                <w:sz w:val="24"/>
              </w:rPr>
              <w:t>项目</w:t>
            </w:r>
            <w:r>
              <w:rPr>
                <w:rFonts w:hint="eastAsia" w:hAnsi="宋体"/>
                <w:sz w:val="24"/>
              </w:rPr>
              <w:t>，本项目</w:t>
            </w:r>
            <w:r>
              <w:rPr>
                <w:rFonts w:hAnsi="宋体"/>
                <w:sz w:val="24"/>
              </w:rPr>
              <w:t>非正常</w:t>
            </w:r>
            <w:r>
              <w:rPr>
                <w:rFonts w:hint="eastAsia" w:hAnsi="宋体"/>
                <w:sz w:val="24"/>
              </w:rPr>
              <w:t>工况污染物</w:t>
            </w:r>
            <w:r>
              <w:rPr>
                <w:rFonts w:hAnsi="宋体"/>
                <w:sz w:val="24"/>
              </w:rPr>
              <w:t>排放量核算结果见下表。</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lang w:val="en-US" w:eastAsia="zh-CN"/>
              </w:rPr>
              <w:t>4-5</w:t>
            </w:r>
            <w:r>
              <w:rPr>
                <w:rFonts w:ascii="Times New Roman" w:hAnsi="Times New Roman" w:eastAsia="宋体" w:cs="Times New Roman"/>
                <w:b/>
                <w:color w:val="000000"/>
                <w:sz w:val="24"/>
                <w:szCs w:val="24"/>
              </w:rPr>
              <w:t xml:space="preserve"> </w:t>
            </w:r>
            <w:r>
              <w:rPr>
                <w:rFonts w:hint="eastAsia" w:ascii="Times New Roman" w:hAnsi="Times New Roman" w:eastAsia="宋体" w:cs="Times New Roman"/>
                <w:b/>
                <w:color w:val="000000"/>
                <w:sz w:val="24"/>
                <w:szCs w:val="24"/>
              </w:rPr>
              <w:t xml:space="preserve">               非</w:t>
            </w:r>
            <w:r>
              <w:rPr>
                <w:rFonts w:ascii="Times New Roman" w:hAnsi="Times New Roman" w:eastAsia="宋体" w:cs="Times New Roman"/>
                <w:b/>
                <w:color w:val="000000"/>
                <w:sz w:val="24"/>
                <w:szCs w:val="24"/>
              </w:rPr>
              <w:t>正常排放参数表</w:t>
            </w:r>
          </w:p>
          <w:tbl>
            <w:tblPr>
              <w:tblStyle w:val="25"/>
              <w:tblW w:w="7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4"/>
              <w:gridCol w:w="1036"/>
              <w:gridCol w:w="864"/>
              <w:gridCol w:w="1039"/>
              <w:gridCol w:w="1531"/>
              <w:gridCol w:w="115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4"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非正常排放源</w:t>
                  </w:r>
                </w:p>
              </w:tc>
              <w:tc>
                <w:tcPr>
                  <w:tcW w:w="1036"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非正常排放原因</w:t>
                  </w:r>
                </w:p>
              </w:tc>
              <w:tc>
                <w:tcPr>
                  <w:tcW w:w="864"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污染物</w:t>
                  </w:r>
                </w:p>
              </w:tc>
              <w:tc>
                <w:tcPr>
                  <w:tcW w:w="1039" w:type="dxa"/>
                  <w:tcBorders>
                    <w:tl2br w:val="nil"/>
                    <w:tr2bl w:val="nil"/>
                  </w:tcBorders>
                  <w:shd w:val="clear" w:color="auto" w:fill="FFFFFF"/>
                  <w:vAlign w:val="center"/>
                </w:tcPr>
                <w:p>
                  <w:pPr>
                    <w:tabs>
                      <w:tab w:val="left" w:pos="3620"/>
                    </w:tabs>
                    <w:adjustRightInd w:val="0"/>
                    <w:snapToGrid w:val="0"/>
                    <w:jc w:val="center"/>
                    <w:rPr>
                      <w:b/>
                      <w:sz w:val="21"/>
                      <w:szCs w:val="21"/>
                    </w:rPr>
                  </w:pPr>
                  <w:r>
                    <w:rPr>
                      <w:b/>
                      <w:sz w:val="21"/>
                      <w:szCs w:val="21"/>
                    </w:rPr>
                    <w:t>非正常排放</w:t>
                  </w:r>
                  <w:r>
                    <w:rPr>
                      <w:rFonts w:hint="eastAsia"/>
                      <w:b/>
                      <w:sz w:val="21"/>
                      <w:szCs w:val="21"/>
                    </w:rPr>
                    <w:t>量</w:t>
                  </w:r>
                  <w:r>
                    <w:rPr>
                      <w:b/>
                      <w:sz w:val="21"/>
                      <w:szCs w:val="21"/>
                    </w:rPr>
                    <w:t>（kg/h）</w:t>
                  </w:r>
                </w:p>
              </w:tc>
              <w:tc>
                <w:tcPr>
                  <w:tcW w:w="1531"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非正常排放</w:t>
                  </w:r>
                  <w:r>
                    <w:rPr>
                      <w:rFonts w:hint="eastAsia" w:hAnsi="宋体"/>
                      <w:b/>
                      <w:sz w:val="21"/>
                      <w:szCs w:val="21"/>
                    </w:rPr>
                    <w:t>浓度</w:t>
                  </w:r>
                  <w:r>
                    <w:rPr>
                      <w:b/>
                      <w:sz w:val="21"/>
                      <w:szCs w:val="21"/>
                    </w:rPr>
                    <w:t>/</w:t>
                  </w:r>
                  <w:r>
                    <w:rPr>
                      <w:rFonts w:hAnsi="宋体"/>
                      <w:b/>
                      <w:sz w:val="21"/>
                      <w:szCs w:val="21"/>
                    </w:rPr>
                    <w:t>（</w:t>
                  </w:r>
                  <w:r>
                    <w:rPr>
                      <w:rFonts w:eastAsiaTheme="minorEastAsia"/>
                      <w:b/>
                      <w:sz w:val="21"/>
                      <w:szCs w:val="21"/>
                    </w:rPr>
                    <w:t>mg/m</w:t>
                  </w:r>
                  <w:r>
                    <w:rPr>
                      <w:rFonts w:eastAsiaTheme="minorEastAsia"/>
                      <w:b/>
                      <w:sz w:val="21"/>
                      <w:szCs w:val="21"/>
                      <w:vertAlign w:val="superscript"/>
                    </w:rPr>
                    <w:t>3</w:t>
                  </w:r>
                  <w:r>
                    <w:rPr>
                      <w:rFonts w:hAnsi="宋体"/>
                      <w:b/>
                      <w:sz w:val="21"/>
                      <w:szCs w:val="21"/>
                    </w:rPr>
                    <w:t>）</w:t>
                  </w:r>
                </w:p>
              </w:tc>
              <w:tc>
                <w:tcPr>
                  <w:tcW w:w="1153"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单次持续时间</w:t>
                  </w:r>
                  <w:r>
                    <w:rPr>
                      <w:b/>
                      <w:sz w:val="21"/>
                      <w:szCs w:val="21"/>
                    </w:rPr>
                    <w:t>/h</w:t>
                  </w:r>
                </w:p>
              </w:tc>
              <w:tc>
                <w:tcPr>
                  <w:tcW w:w="1105"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年发生频次</w:t>
                  </w:r>
                  <w:r>
                    <w:rPr>
                      <w:b/>
                      <w:sz w:val="21"/>
                      <w:szCs w:val="21"/>
                    </w:rPr>
                    <w:t>/</w:t>
                  </w:r>
                  <w:r>
                    <w:rPr>
                      <w:rFonts w:hAnsi="宋体"/>
                      <w:b/>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64" w:type="dxa"/>
                  <w:vMerge w:val="restart"/>
                  <w:tcBorders>
                    <w:tl2br w:val="nil"/>
                    <w:tr2bl w:val="nil"/>
                  </w:tcBorders>
                  <w:vAlign w:val="center"/>
                </w:tcPr>
                <w:p>
                  <w:pPr>
                    <w:adjustRightInd w:val="0"/>
                    <w:snapToGrid w:val="0"/>
                    <w:jc w:val="center"/>
                    <w:rPr>
                      <w:sz w:val="21"/>
                      <w:szCs w:val="21"/>
                    </w:rPr>
                  </w:pPr>
                  <w:r>
                    <w:rPr>
                      <w:rFonts w:hint="eastAsia"/>
                      <w:sz w:val="21"/>
                      <w:szCs w:val="21"/>
                    </w:rPr>
                    <w:t>DA001</w:t>
                  </w:r>
                </w:p>
              </w:tc>
              <w:tc>
                <w:tcPr>
                  <w:tcW w:w="1036" w:type="dxa"/>
                  <w:vMerge w:val="restart"/>
                  <w:tcBorders>
                    <w:tl2br w:val="nil"/>
                    <w:tr2bl w:val="nil"/>
                  </w:tcBorders>
                  <w:vAlign w:val="center"/>
                </w:tcPr>
                <w:p>
                  <w:pPr>
                    <w:tabs>
                      <w:tab w:val="left" w:pos="3620"/>
                    </w:tabs>
                    <w:adjustRightInd w:val="0"/>
                    <w:snapToGrid w:val="0"/>
                    <w:jc w:val="center"/>
                    <w:rPr>
                      <w:sz w:val="21"/>
                      <w:szCs w:val="21"/>
                    </w:rPr>
                  </w:pPr>
                  <w:r>
                    <w:rPr>
                      <w:rFonts w:hAnsi="宋体"/>
                      <w:sz w:val="21"/>
                      <w:szCs w:val="21"/>
                    </w:rPr>
                    <w:t>设备出现故障</w:t>
                  </w:r>
                </w:p>
              </w:tc>
              <w:tc>
                <w:tcPr>
                  <w:tcW w:w="864" w:type="dxa"/>
                  <w:tcBorders>
                    <w:tl2br w:val="nil"/>
                    <w:tr2bl w:val="nil"/>
                  </w:tcBorders>
                  <w:vAlign w:val="center"/>
                </w:tcPr>
                <w:p>
                  <w:pPr>
                    <w:tabs>
                      <w:tab w:val="left" w:pos="3620"/>
                    </w:tabs>
                    <w:adjustRightInd w:val="0"/>
                    <w:snapToGrid w:val="0"/>
                    <w:jc w:val="center"/>
                    <w:rPr>
                      <w:sz w:val="21"/>
                      <w:szCs w:val="21"/>
                    </w:rPr>
                  </w:pPr>
                  <w:r>
                    <w:rPr>
                      <w:rFonts w:hint="eastAsia" w:hAnsi="宋体"/>
                      <w:sz w:val="21"/>
                      <w:szCs w:val="21"/>
                    </w:rPr>
                    <w:t>非甲烷总烃</w:t>
                  </w:r>
                </w:p>
              </w:tc>
              <w:tc>
                <w:tcPr>
                  <w:tcW w:w="1039" w:type="dxa"/>
                  <w:tcBorders>
                    <w:tl2br w:val="nil"/>
                    <w:tr2bl w:val="nil"/>
                  </w:tcBorders>
                  <w:vAlign w:val="center"/>
                </w:tcPr>
                <w:p>
                  <w:pPr>
                    <w:adjustRightInd w:val="0"/>
                    <w:snapToGrid w:val="0"/>
                    <w:jc w:val="center"/>
                    <w:rPr>
                      <w:rFonts w:hint="default" w:ascii="Times New Roman" w:hAnsi="Times New Roman" w:cs="Times New Roman" w:eastAsiaTheme="majorEastAsia"/>
                      <w:kern w:val="2"/>
                      <w:sz w:val="21"/>
                      <w:szCs w:val="21"/>
                      <w:lang w:val="en-US" w:eastAsia="zh-CN" w:bidi="ar-SA"/>
                    </w:rPr>
                  </w:pPr>
                  <w:r>
                    <w:rPr>
                      <w:rFonts w:hint="eastAsia" w:eastAsiaTheme="majorEastAsia"/>
                      <w:sz w:val="21"/>
                      <w:szCs w:val="21"/>
                      <w:lang w:val="en-US" w:eastAsia="zh-CN"/>
                    </w:rPr>
                    <w:t>0.0403</w:t>
                  </w:r>
                </w:p>
              </w:tc>
              <w:tc>
                <w:tcPr>
                  <w:tcW w:w="1531" w:type="dxa"/>
                  <w:tcBorders>
                    <w:tl2br w:val="nil"/>
                    <w:tr2bl w:val="nil"/>
                  </w:tcBorders>
                  <w:vAlign w:val="center"/>
                </w:tcPr>
                <w:p>
                  <w:pPr>
                    <w:tabs>
                      <w:tab w:val="left" w:pos="3620"/>
                    </w:tabs>
                    <w:adjustRightInd w:val="0"/>
                    <w:snapToGrid w:val="0"/>
                    <w:jc w:val="center"/>
                    <w:rPr>
                      <w:rFonts w:hint="default" w:eastAsia="宋体"/>
                      <w:sz w:val="21"/>
                      <w:szCs w:val="21"/>
                      <w:lang w:val="en-US" w:eastAsia="zh-CN"/>
                    </w:rPr>
                  </w:pPr>
                  <w:r>
                    <w:rPr>
                      <w:rFonts w:hint="eastAsia"/>
                      <w:sz w:val="21"/>
                      <w:szCs w:val="21"/>
                      <w:lang w:val="en-US" w:eastAsia="zh-CN"/>
                    </w:rPr>
                    <w:t>2.7</w:t>
                  </w:r>
                </w:p>
              </w:tc>
              <w:tc>
                <w:tcPr>
                  <w:tcW w:w="1153" w:type="dxa"/>
                  <w:tcBorders>
                    <w:tl2br w:val="nil"/>
                    <w:tr2bl w:val="nil"/>
                  </w:tcBorders>
                  <w:vAlign w:val="center"/>
                </w:tcPr>
                <w:p>
                  <w:pPr>
                    <w:tabs>
                      <w:tab w:val="left" w:pos="3620"/>
                    </w:tabs>
                    <w:adjustRightInd w:val="0"/>
                    <w:snapToGrid w:val="0"/>
                    <w:jc w:val="center"/>
                    <w:rPr>
                      <w:sz w:val="21"/>
                      <w:szCs w:val="21"/>
                    </w:rPr>
                  </w:pPr>
                  <w:r>
                    <w:rPr>
                      <w:rFonts w:hint="eastAsia"/>
                      <w:sz w:val="21"/>
                      <w:szCs w:val="21"/>
                    </w:rPr>
                    <w:t>2</w:t>
                  </w:r>
                </w:p>
              </w:tc>
              <w:tc>
                <w:tcPr>
                  <w:tcW w:w="1105" w:type="dxa"/>
                  <w:tcBorders>
                    <w:tl2br w:val="nil"/>
                    <w:tr2bl w:val="nil"/>
                  </w:tcBorders>
                  <w:vAlign w:val="center"/>
                </w:tcPr>
                <w:p>
                  <w:pPr>
                    <w:tabs>
                      <w:tab w:val="left" w:pos="3620"/>
                    </w:tabs>
                    <w:adjustRightInd w:val="0"/>
                    <w:snapToGrid w:val="0"/>
                    <w:jc w:val="center"/>
                    <w:rPr>
                      <w:sz w:val="21"/>
                      <w:szCs w:val="21"/>
                    </w:rPr>
                  </w:pPr>
                  <w:r>
                    <w:rPr>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164" w:type="dxa"/>
                  <w:vMerge w:val="continue"/>
                  <w:tcBorders>
                    <w:tl2br w:val="nil"/>
                    <w:tr2bl w:val="nil"/>
                  </w:tcBorders>
                  <w:vAlign w:val="center"/>
                </w:tcPr>
                <w:p>
                  <w:pPr>
                    <w:adjustRightInd w:val="0"/>
                    <w:snapToGrid w:val="0"/>
                    <w:jc w:val="center"/>
                    <w:rPr>
                      <w:rFonts w:hint="eastAsia"/>
                      <w:sz w:val="21"/>
                      <w:szCs w:val="21"/>
                    </w:rPr>
                  </w:pPr>
                </w:p>
              </w:tc>
              <w:tc>
                <w:tcPr>
                  <w:tcW w:w="1036" w:type="dxa"/>
                  <w:vMerge w:val="continue"/>
                  <w:tcBorders>
                    <w:tl2br w:val="nil"/>
                    <w:tr2bl w:val="nil"/>
                  </w:tcBorders>
                  <w:vAlign w:val="center"/>
                </w:tcPr>
                <w:p>
                  <w:pPr>
                    <w:tabs>
                      <w:tab w:val="left" w:pos="3620"/>
                    </w:tabs>
                    <w:adjustRightInd w:val="0"/>
                    <w:snapToGrid w:val="0"/>
                    <w:jc w:val="center"/>
                    <w:rPr>
                      <w:rFonts w:hAnsi="宋体"/>
                      <w:sz w:val="21"/>
                      <w:szCs w:val="21"/>
                    </w:rPr>
                  </w:pPr>
                </w:p>
              </w:tc>
              <w:tc>
                <w:tcPr>
                  <w:tcW w:w="864" w:type="dxa"/>
                  <w:tcBorders>
                    <w:tl2br w:val="nil"/>
                    <w:tr2bl w:val="nil"/>
                  </w:tcBorders>
                  <w:vAlign w:val="center"/>
                </w:tcPr>
                <w:p>
                  <w:pPr>
                    <w:tabs>
                      <w:tab w:val="left" w:pos="3620"/>
                    </w:tabs>
                    <w:adjustRightInd w:val="0"/>
                    <w:snapToGrid w:val="0"/>
                    <w:jc w:val="center"/>
                    <w:rPr>
                      <w:rFonts w:hint="default" w:hAnsi="宋体" w:eastAsia="宋体"/>
                      <w:sz w:val="21"/>
                      <w:szCs w:val="21"/>
                      <w:lang w:val="en-US" w:eastAsia="zh-CN"/>
                    </w:rPr>
                  </w:pPr>
                  <w:r>
                    <w:rPr>
                      <w:rFonts w:hint="eastAsia" w:hAnsi="宋体"/>
                      <w:sz w:val="21"/>
                      <w:szCs w:val="21"/>
                      <w:lang w:val="en-US" w:eastAsia="zh-CN"/>
                    </w:rPr>
                    <w:t>氯化氢</w:t>
                  </w:r>
                </w:p>
              </w:tc>
              <w:tc>
                <w:tcPr>
                  <w:tcW w:w="1039" w:type="dxa"/>
                  <w:tcBorders>
                    <w:tl2br w:val="nil"/>
                    <w:tr2bl w:val="nil"/>
                  </w:tcBorders>
                  <w:vAlign w:val="center"/>
                </w:tcPr>
                <w:p>
                  <w:pPr>
                    <w:adjustRightInd w:val="0"/>
                    <w:snapToGrid w:val="0"/>
                    <w:jc w:val="center"/>
                    <w:rPr>
                      <w:rFonts w:hint="eastAsia" w:ascii="Times New Roman" w:hAnsi="Times New Roman" w:cs="Times New Roman" w:eastAsiaTheme="majorEastAsia"/>
                      <w:kern w:val="2"/>
                      <w:sz w:val="21"/>
                      <w:szCs w:val="21"/>
                      <w:lang w:val="en-US" w:eastAsia="zh-CN" w:bidi="ar-SA"/>
                    </w:rPr>
                  </w:pPr>
                  <w:r>
                    <w:rPr>
                      <w:rFonts w:hint="eastAsia" w:eastAsiaTheme="majorEastAsia"/>
                      <w:sz w:val="21"/>
                      <w:szCs w:val="21"/>
                      <w:lang w:val="en-US" w:eastAsia="zh-CN"/>
                    </w:rPr>
                    <w:t>0.0167</w:t>
                  </w:r>
                </w:p>
              </w:tc>
              <w:tc>
                <w:tcPr>
                  <w:tcW w:w="1531" w:type="dxa"/>
                  <w:tcBorders>
                    <w:tl2br w:val="nil"/>
                    <w:tr2bl w:val="nil"/>
                  </w:tcBorders>
                  <w:vAlign w:val="center"/>
                </w:tcPr>
                <w:p>
                  <w:pPr>
                    <w:tabs>
                      <w:tab w:val="left" w:pos="3620"/>
                    </w:tabs>
                    <w:adjustRightInd w:val="0"/>
                    <w:snapToGrid w:val="0"/>
                    <w:jc w:val="center"/>
                    <w:rPr>
                      <w:rFonts w:hint="default"/>
                      <w:sz w:val="21"/>
                      <w:szCs w:val="21"/>
                      <w:lang w:val="en-US" w:eastAsia="zh-CN"/>
                    </w:rPr>
                  </w:pPr>
                  <w:r>
                    <w:rPr>
                      <w:rFonts w:hint="eastAsia"/>
                      <w:sz w:val="21"/>
                      <w:szCs w:val="21"/>
                      <w:lang w:val="en-US" w:eastAsia="zh-CN"/>
                    </w:rPr>
                    <w:t>1.1</w:t>
                  </w:r>
                </w:p>
              </w:tc>
              <w:tc>
                <w:tcPr>
                  <w:tcW w:w="1153" w:type="dxa"/>
                  <w:tcBorders>
                    <w:tl2br w:val="nil"/>
                    <w:tr2bl w:val="nil"/>
                  </w:tcBorders>
                  <w:vAlign w:val="center"/>
                </w:tcPr>
                <w:p>
                  <w:pPr>
                    <w:tabs>
                      <w:tab w:val="left" w:pos="3620"/>
                    </w:tabs>
                    <w:adjustRightInd w:val="0"/>
                    <w:snapToGrid w:val="0"/>
                    <w:jc w:val="center"/>
                    <w:rPr>
                      <w:rFonts w:hint="eastAsia" w:eastAsia="宋体"/>
                      <w:sz w:val="21"/>
                      <w:szCs w:val="21"/>
                      <w:lang w:val="en-US" w:eastAsia="zh-CN"/>
                    </w:rPr>
                  </w:pPr>
                  <w:r>
                    <w:rPr>
                      <w:rFonts w:hint="eastAsia"/>
                      <w:sz w:val="21"/>
                      <w:szCs w:val="21"/>
                      <w:lang w:val="en-US" w:eastAsia="zh-CN"/>
                    </w:rPr>
                    <w:t>2</w:t>
                  </w:r>
                </w:p>
              </w:tc>
              <w:tc>
                <w:tcPr>
                  <w:tcW w:w="1105" w:type="dxa"/>
                  <w:tcBorders>
                    <w:tl2br w:val="nil"/>
                    <w:tr2bl w:val="nil"/>
                  </w:tcBorders>
                  <w:vAlign w:val="center"/>
                </w:tcPr>
                <w:p>
                  <w:pPr>
                    <w:tabs>
                      <w:tab w:val="left" w:pos="3620"/>
                    </w:tabs>
                    <w:adjustRightInd w:val="0"/>
                    <w:snapToGrid w:val="0"/>
                    <w:jc w:val="center"/>
                    <w:rPr>
                      <w:rFonts w:hint="eastAsia" w:eastAsia="宋体"/>
                      <w:sz w:val="21"/>
                      <w:szCs w:val="21"/>
                      <w:lang w:val="en-US" w:eastAsia="zh-CN"/>
                    </w:rPr>
                  </w:pPr>
                  <w:r>
                    <w:rPr>
                      <w:rFonts w:hint="eastAsia"/>
                      <w:sz w:val="21"/>
                      <w:szCs w:val="21"/>
                      <w:lang w:val="en-US" w:eastAsia="zh-CN"/>
                    </w:rPr>
                    <w:t>1</w:t>
                  </w:r>
                </w:p>
              </w:tc>
            </w:tr>
          </w:tbl>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0" w:firstLineChars="200"/>
              <w:textAlignment w:val="auto"/>
              <w:rPr>
                <w:sz w:val="24"/>
              </w:rPr>
            </w:pPr>
            <w:r>
              <w:rPr>
                <w:sz w:val="24"/>
              </w:rPr>
              <w:t>根据核算，单次事故状态下，</w:t>
            </w:r>
            <w:r>
              <w:rPr>
                <w:rFonts w:hint="eastAsia"/>
                <w:sz w:val="24"/>
              </w:rPr>
              <w:t>非甲烷总烃</w:t>
            </w:r>
            <w:r>
              <w:rPr>
                <w:sz w:val="24"/>
              </w:rPr>
              <w:t>排放量约</w:t>
            </w:r>
            <w:r>
              <w:rPr>
                <w:rFonts w:hint="eastAsia"/>
                <w:sz w:val="24"/>
              </w:rPr>
              <w:t>0.</w:t>
            </w:r>
            <w:r>
              <w:rPr>
                <w:rFonts w:hint="eastAsia"/>
                <w:sz w:val="24"/>
                <w:lang w:val="en-US" w:eastAsia="zh-CN"/>
              </w:rPr>
              <w:t>08</w:t>
            </w:r>
            <w:r>
              <w:rPr>
                <w:sz w:val="24"/>
              </w:rPr>
              <w:t>kg</w:t>
            </w:r>
            <w:r>
              <w:rPr>
                <w:rFonts w:hint="eastAsia"/>
                <w:sz w:val="24"/>
                <w:lang w:eastAsia="zh-CN"/>
              </w:rPr>
              <w:t>、</w:t>
            </w:r>
            <w:r>
              <w:rPr>
                <w:rFonts w:hint="eastAsia"/>
                <w:sz w:val="24"/>
                <w:lang w:val="en-US" w:eastAsia="zh-CN"/>
              </w:rPr>
              <w:t>氯化氢排放量0.034kg</w:t>
            </w:r>
            <w:r>
              <w:rPr>
                <w:rFonts w:hint="eastAsia"/>
                <w:sz w:val="24"/>
              </w:rPr>
              <w:t>。</w:t>
            </w:r>
            <w:r>
              <w:rPr>
                <w:sz w:val="24"/>
              </w:rPr>
              <w:t>建设单位通过定期、及时对废气处理装置进行日常检修，可有效降低其出现故障的频率，进而减少污染物的排放量。因此，建设单位在做好设备日常检修、可有效降低非正常工况下的非甲烷总烃、</w:t>
            </w:r>
            <w:r>
              <w:rPr>
                <w:rFonts w:hint="eastAsia"/>
                <w:sz w:val="24"/>
              </w:rPr>
              <w:t>氮氧化物</w:t>
            </w:r>
            <w:r>
              <w:rPr>
                <w:sz w:val="24"/>
              </w:rPr>
              <w:t>对环境空气的影响。</w:t>
            </w:r>
          </w:p>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2" w:firstLineChars="200"/>
              <w:textAlignment w:val="auto"/>
              <w:rPr>
                <w:b/>
                <w:sz w:val="24"/>
                <w:lang w:val="en-GB"/>
              </w:rPr>
            </w:pPr>
            <w:r>
              <w:rPr>
                <w:rFonts w:hAnsi="宋体"/>
                <w:b/>
                <w:sz w:val="24"/>
                <w:lang w:val="en-GB"/>
              </w:rPr>
              <w:t>（</w:t>
            </w:r>
            <w:r>
              <w:rPr>
                <w:rFonts w:hint="eastAsia"/>
                <w:b/>
                <w:sz w:val="24"/>
                <w:lang w:val="en-GB"/>
              </w:rPr>
              <w:t>6</w:t>
            </w:r>
            <w:r>
              <w:rPr>
                <w:rFonts w:hAnsi="宋体"/>
                <w:b/>
                <w:sz w:val="24"/>
                <w:lang w:val="en-GB"/>
              </w:rPr>
              <w:t>）废气监测要求</w:t>
            </w:r>
          </w:p>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0" w:firstLineChars="200"/>
              <w:textAlignment w:val="auto"/>
              <w:rPr>
                <w:sz w:val="24"/>
                <w:lang w:val="en-GB"/>
              </w:rPr>
            </w:pPr>
            <w:r>
              <w:rPr>
                <w:rFonts w:hAnsi="宋体"/>
                <w:sz w:val="24"/>
                <w:lang w:val="en-GB"/>
              </w:rPr>
              <w:t>本项目全厂废气监测要求如下表。</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hint="default" w:ascii="Times New Roman" w:hAnsi="Times New Roman" w:eastAsia="宋体" w:cs="Times New Roman"/>
                <w:b/>
                <w:color w:val="000000"/>
                <w:sz w:val="24"/>
                <w:szCs w:val="24"/>
                <w:lang w:val="en-US" w:eastAsia="zh-CN"/>
              </w:rPr>
            </w:pPr>
            <w:r>
              <w:rPr>
                <w:rFonts w:ascii="Times New Roman" w:hAnsi="Times New Roman" w:eastAsia="宋体" w:cs="Times New Roman"/>
                <w:b/>
                <w:color w:val="000000"/>
                <w:sz w:val="24"/>
                <w:szCs w:val="24"/>
                <w:lang w:val="en-GB"/>
              </w:rPr>
              <w:t>表</w:t>
            </w:r>
            <w:r>
              <w:rPr>
                <w:rFonts w:hint="eastAsia" w:ascii="Times New Roman" w:hAnsi="Times New Roman" w:eastAsia="宋体" w:cs="Times New Roman"/>
                <w:b/>
                <w:color w:val="000000"/>
                <w:sz w:val="24"/>
                <w:szCs w:val="24"/>
                <w:lang w:val="en-US" w:eastAsia="zh-CN"/>
              </w:rPr>
              <w:t>4-6</w:t>
            </w:r>
            <w:r>
              <w:rPr>
                <w:rFonts w:ascii="Times New Roman" w:hAnsi="Times New Roman" w:eastAsia="宋体" w:cs="Times New Roman"/>
                <w:b/>
                <w:color w:val="000000"/>
                <w:sz w:val="24"/>
                <w:szCs w:val="24"/>
                <w:lang w:val="en-GB"/>
              </w:rPr>
              <w:t xml:space="preserve">              全厂废气监测要求</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239"/>
              <w:gridCol w:w="3093"/>
              <w:gridCol w:w="2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监测点位</w:t>
                  </w:r>
                </w:p>
              </w:tc>
              <w:tc>
                <w:tcPr>
                  <w:tcW w:w="3093"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监测因子</w:t>
                  </w:r>
                </w:p>
              </w:tc>
              <w:tc>
                <w:tcPr>
                  <w:tcW w:w="2558"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2239" w:type="dxa"/>
                  <w:tcBorders>
                    <w:tl2br w:val="nil"/>
                    <w:tr2bl w:val="nil"/>
                  </w:tcBorders>
                  <w:shd w:val="clear" w:color="auto" w:fill="FFFFFF"/>
                  <w:vAlign w:val="center"/>
                </w:tcPr>
                <w:p>
                  <w:pPr>
                    <w:tabs>
                      <w:tab w:val="left" w:pos="3620"/>
                    </w:tabs>
                    <w:adjustRightInd w:val="0"/>
                    <w:snapToGrid w:val="0"/>
                    <w:jc w:val="center"/>
                    <w:rPr>
                      <w:sz w:val="21"/>
                      <w:szCs w:val="21"/>
                    </w:rPr>
                  </w:pPr>
                  <w:r>
                    <w:rPr>
                      <w:rFonts w:hint="eastAsia" w:hAnsi="宋体"/>
                      <w:sz w:val="21"/>
                      <w:szCs w:val="21"/>
                    </w:rPr>
                    <w:t>DA001</w:t>
                  </w:r>
                </w:p>
              </w:tc>
              <w:tc>
                <w:tcPr>
                  <w:tcW w:w="3093" w:type="dxa"/>
                  <w:tcBorders>
                    <w:tl2br w:val="nil"/>
                    <w:tr2bl w:val="nil"/>
                  </w:tcBorders>
                  <w:shd w:val="clear" w:color="auto" w:fill="FFFFFF"/>
                  <w:vAlign w:val="center"/>
                </w:tcPr>
                <w:p>
                  <w:pPr>
                    <w:tabs>
                      <w:tab w:val="left" w:pos="3620"/>
                    </w:tabs>
                    <w:adjustRightInd w:val="0"/>
                    <w:snapToGrid w:val="0"/>
                    <w:jc w:val="center"/>
                    <w:rPr>
                      <w:rFonts w:hint="default" w:eastAsia="宋体"/>
                      <w:sz w:val="21"/>
                      <w:szCs w:val="21"/>
                      <w:lang w:val="en-US" w:eastAsia="zh-CN"/>
                    </w:rPr>
                  </w:pPr>
                  <w:r>
                    <w:rPr>
                      <w:rFonts w:hint="eastAsia" w:hAnsi="宋体"/>
                      <w:sz w:val="21"/>
                      <w:szCs w:val="21"/>
                    </w:rPr>
                    <w:t>非甲烷总烃</w:t>
                  </w:r>
                  <w:r>
                    <w:rPr>
                      <w:rFonts w:hint="eastAsia" w:hAnsi="宋体"/>
                      <w:sz w:val="21"/>
                      <w:szCs w:val="21"/>
                      <w:lang w:eastAsia="zh-CN"/>
                    </w:rPr>
                    <w:t>、</w:t>
                  </w:r>
                  <w:r>
                    <w:rPr>
                      <w:rFonts w:hint="eastAsia" w:hAnsi="宋体"/>
                      <w:sz w:val="21"/>
                      <w:szCs w:val="21"/>
                      <w:lang w:val="en-US" w:eastAsia="zh-CN"/>
                    </w:rPr>
                    <w:t>氯化氢</w:t>
                  </w:r>
                </w:p>
              </w:tc>
              <w:tc>
                <w:tcPr>
                  <w:tcW w:w="2558" w:type="dxa"/>
                  <w:tcBorders>
                    <w:tl2br w:val="nil"/>
                    <w:tr2bl w:val="nil"/>
                  </w:tcBorders>
                  <w:shd w:val="clear" w:color="auto" w:fill="FFFFFF"/>
                  <w:vAlign w:val="center"/>
                </w:tcPr>
                <w:p>
                  <w:pPr>
                    <w:tabs>
                      <w:tab w:val="left" w:pos="3620"/>
                    </w:tabs>
                    <w:adjustRightInd w:val="0"/>
                    <w:snapToGrid w:val="0"/>
                    <w:jc w:val="center"/>
                    <w:rPr>
                      <w:sz w:val="21"/>
                      <w:szCs w:val="21"/>
                    </w:rPr>
                  </w:pPr>
                  <w:r>
                    <w:rPr>
                      <w:rFonts w:hAnsi="宋体"/>
                      <w:sz w:val="21"/>
                      <w:szCs w:val="21"/>
                      <w:lang w:val="en-GB"/>
                    </w:rPr>
                    <w:t>每</w:t>
                  </w:r>
                  <w:r>
                    <w:rPr>
                      <w:rFonts w:hint="eastAsia" w:hAnsi="宋体"/>
                      <w:sz w:val="21"/>
                      <w:szCs w:val="21"/>
                      <w:lang w:val="en-US" w:eastAsia="zh-CN"/>
                    </w:rPr>
                    <w:t>半</w:t>
                  </w:r>
                  <w:r>
                    <w:rPr>
                      <w:rFonts w:hAnsi="宋体"/>
                      <w:sz w:val="21"/>
                      <w:szCs w:val="21"/>
                      <w:lang w:val="en-GB"/>
                    </w:rPr>
                    <w:t>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39" w:type="dxa"/>
                  <w:tcBorders>
                    <w:tl2br w:val="nil"/>
                    <w:tr2bl w:val="nil"/>
                  </w:tcBorders>
                  <w:shd w:val="clear" w:color="auto" w:fill="FFFFFF"/>
                  <w:vAlign w:val="center"/>
                </w:tcPr>
                <w:p>
                  <w:pPr>
                    <w:tabs>
                      <w:tab w:val="left" w:pos="3620"/>
                    </w:tabs>
                    <w:adjustRightInd w:val="0"/>
                    <w:snapToGrid w:val="0"/>
                    <w:jc w:val="center"/>
                    <w:rPr>
                      <w:sz w:val="21"/>
                      <w:szCs w:val="21"/>
                    </w:rPr>
                  </w:pPr>
                  <w:r>
                    <w:rPr>
                      <w:rFonts w:hAnsi="宋体"/>
                      <w:sz w:val="21"/>
                      <w:szCs w:val="21"/>
                    </w:rPr>
                    <w:t>厂界</w:t>
                  </w:r>
                </w:p>
              </w:tc>
              <w:tc>
                <w:tcPr>
                  <w:tcW w:w="3093" w:type="dxa"/>
                  <w:tcBorders>
                    <w:tl2br w:val="nil"/>
                    <w:tr2bl w:val="nil"/>
                  </w:tcBorders>
                  <w:shd w:val="clear" w:color="auto" w:fill="FFFFFF"/>
                  <w:vAlign w:val="center"/>
                </w:tcPr>
                <w:p>
                  <w:pPr>
                    <w:tabs>
                      <w:tab w:val="left" w:pos="3620"/>
                    </w:tabs>
                    <w:adjustRightInd w:val="0"/>
                    <w:snapToGrid w:val="0"/>
                    <w:jc w:val="center"/>
                    <w:rPr>
                      <w:rFonts w:hint="default" w:eastAsia="宋体"/>
                      <w:sz w:val="21"/>
                      <w:szCs w:val="21"/>
                      <w:lang w:val="en-US" w:eastAsia="zh-CN"/>
                    </w:rPr>
                  </w:pPr>
                  <w:r>
                    <w:rPr>
                      <w:rFonts w:hAnsi="宋体"/>
                      <w:sz w:val="21"/>
                      <w:szCs w:val="21"/>
                    </w:rPr>
                    <w:t>非甲烷总烃</w:t>
                  </w:r>
                  <w:r>
                    <w:rPr>
                      <w:rFonts w:hint="eastAsia" w:hAnsi="宋体"/>
                      <w:sz w:val="21"/>
                      <w:szCs w:val="21"/>
                      <w:lang w:eastAsia="zh-CN"/>
                    </w:rPr>
                    <w:t>、</w:t>
                  </w:r>
                  <w:r>
                    <w:rPr>
                      <w:rFonts w:hint="eastAsia" w:hAnsi="宋体"/>
                      <w:sz w:val="21"/>
                      <w:szCs w:val="21"/>
                      <w:lang w:val="en-US" w:eastAsia="zh-CN"/>
                    </w:rPr>
                    <w:t>氯化氢</w:t>
                  </w:r>
                </w:p>
              </w:tc>
              <w:tc>
                <w:tcPr>
                  <w:tcW w:w="2558" w:type="dxa"/>
                  <w:tcBorders>
                    <w:tl2br w:val="nil"/>
                    <w:tr2bl w:val="nil"/>
                  </w:tcBorders>
                  <w:shd w:val="clear" w:color="auto" w:fill="FFFFFF"/>
                  <w:vAlign w:val="center"/>
                </w:tcPr>
                <w:p>
                  <w:pPr>
                    <w:tabs>
                      <w:tab w:val="left" w:pos="3620"/>
                    </w:tabs>
                    <w:adjustRightInd w:val="0"/>
                    <w:snapToGrid w:val="0"/>
                    <w:jc w:val="center"/>
                    <w:rPr>
                      <w:sz w:val="21"/>
                      <w:szCs w:val="21"/>
                      <w:lang w:val="en-GB"/>
                    </w:rPr>
                  </w:pPr>
                  <w:r>
                    <w:rPr>
                      <w:rFonts w:hAnsi="宋体"/>
                      <w:sz w:val="21"/>
                      <w:szCs w:val="21"/>
                      <w:lang w:val="en-GB"/>
                    </w:rPr>
                    <w:t>每年一次</w:t>
                  </w:r>
                </w:p>
              </w:tc>
            </w:tr>
          </w:tbl>
          <w:p>
            <w:pPr>
              <w:keepNext w:val="0"/>
              <w:keepLines w:val="0"/>
              <w:pageBreakBefore w:val="0"/>
              <w:widowControl w:val="0"/>
              <w:kinsoku/>
              <w:wordWrap/>
              <w:overflowPunct/>
              <w:topLinePunct w:val="0"/>
              <w:bidi w:val="0"/>
              <w:spacing w:line="520" w:lineRule="exact"/>
              <w:ind w:firstLine="482" w:firstLineChars="200"/>
              <w:textAlignment w:val="baseline"/>
              <w:rPr>
                <w:b/>
                <w:sz w:val="24"/>
                <w:szCs w:val="24"/>
              </w:rPr>
            </w:pPr>
            <w:r>
              <w:rPr>
                <w:rFonts w:hint="eastAsia"/>
                <w:b/>
                <w:sz w:val="24"/>
                <w:szCs w:val="24"/>
              </w:rPr>
              <w:t>二、</w:t>
            </w:r>
            <w:r>
              <w:rPr>
                <w:b/>
                <w:sz w:val="24"/>
                <w:szCs w:val="24"/>
              </w:rPr>
              <w:t>废水</w:t>
            </w:r>
          </w:p>
          <w:p>
            <w:pPr>
              <w:keepNext w:val="0"/>
              <w:keepLines w:val="0"/>
              <w:pageBreakBefore w:val="0"/>
              <w:widowControl w:val="0"/>
              <w:kinsoku/>
              <w:wordWrap/>
              <w:overflowPunct/>
              <w:topLinePunct w:val="0"/>
              <w:bidi w:val="0"/>
              <w:spacing w:line="520" w:lineRule="exact"/>
              <w:ind w:firstLine="480" w:firstLineChars="200"/>
              <w:rPr>
                <w:b w:val="0"/>
                <w:bCs/>
                <w:sz w:val="24"/>
                <w:szCs w:val="24"/>
              </w:rPr>
            </w:pPr>
            <w:r>
              <w:rPr>
                <w:rFonts w:hint="eastAsia"/>
                <w:sz w:val="24"/>
                <w:szCs w:val="24"/>
                <w:lang w:val="en-US" w:eastAsia="zh-CN"/>
              </w:rPr>
              <w:t>1、</w:t>
            </w:r>
            <w:r>
              <w:rPr>
                <w:b w:val="0"/>
                <w:bCs/>
                <w:sz w:val="24"/>
                <w:szCs w:val="24"/>
              </w:rPr>
              <w:t>用水量及废水产生量核算</w:t>
            </w:r>
          </w:p>
          <w:p>
            <w:pPr>
              <w:keepNext w:val="0"/>
              <w:keepLines w:val="0"/>
              <w:pageBreakBefore w:val="0"/>
              <w:widowControl w:val="0"/>
              <w:kinsoku/>
              <w:wordWrap/>
              <w:overflowPunct/>
              <w:topLinePunct w:val="0"/>
              <w:bidi w:val="0"/>
              <w:adjustRightInd w:val="0"/>
              <w:spacing w:line="520" w:lineRule="exact"/>
              <w:ind w:firstLine="470" w:firstLineChars="196"/>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生活污水</w:t>
            </w:r>
          </w:p>
          <w:p>
            <w:pPr>
              <w:keepNext w:val="0"/>
              <w:keepLines w:val="0"/>
              <w:pageBreakBefore w:val="0"/>
              <w:widowControl w:val="0"/>
              <w:kinsoku/>
              <w:wordWrap/>
              <w:overflowPunct/>
              <w:topLinePunct w:val="0"/>
              <w:bidi w:val="0"/>
              <w:adjustRightInd w:val="0"/>
              <w:spacing w:line="520" w:lineRule="exact"/>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本项目职工5人，</w:t>
            </w:r>
            <w:r>
              <w:rPr>
                <w:color w:val="000000" w:themeColor="text1"/>
                <w:sz w:val="24"/>
                <w14:textFill>
                  <w14:solidFill>
                    <w14:schemeClr w14:val="tx1"/>
                  </w14:solidFill>
                </w14:textFill>
              </w:rPr>
              <w:t>单班生产，年工作</w:t>
            </w:r>
            <w:r>
              <w:rPr>
                <w:rFonts w:hint="eastAsia"/>
                <w:color w:val="000000" w:themeColor="text1"/>
                <w:sz w:val="24"/>
                <w:lang w:val="en-US" w:eastAsia="zh-CN"/>
                <w14:textFill>
                  <w14:solidFill>
                    <w14:schemeClr w14:val="tx1"/>
                  </w14:solidFill>
                </w14:textFill>
              </w:rPr>
              <w:t>3</w:t>
            </w:r>
            <w:r>
              <w:rPr>
                <w:rFonts w:hint="eastAsia"/>
                <w:color w:val="000000" w:themeColor="text1"/>
                <w:sz w:val="24"/>
                <w14:textFill>
                  <w14:solidFill>
                    <w14:schemeClr w14:val="tx1"/>
                  </w14:solidFill>
                </w14:textFill>
              </w:rPr>
              <w:t>00</w:t>
            </w:r>
            <w:r>
              <w:rPr>
                <w:color w:val="000000" w:themeColor="text1"/>
                <w:sz w:val="24"/>
                <w14:textFill>
                  <w14:solidFill>
                    <w14:schemeClr w14:val="tx1"/>
                  </w14:solidFill>
                </w14:textFill>
              </w:rPr>
              <w:t>天，</w:t>
            </w:r>
            <w:r>
              <w:rPr>
                <w:rFonts w:hint="eastAsia"/>
                <w:color w:val="000000" w:themeColor="text1"/>
                <w:sz w:val="24"/>
                <w14:textFill>
                  <w14:solidFill>
                    <w14:schemeClr w14:val="tx1"/>
                  </w14:solidFill>
                </w14:textFill>
              </w:rPr>
              <w:t>人均</w:t>
            </w:r>
            <w:r>
              <w:rPr>
                <w:color w:val="000000" w:themeColor="text1"/>
                <w:sz w:val="24"/>
                <w14:textFill>
                  <w14:solidFill>
                    <w14:schemeClr w14:val="tx1"/>
                  </w14:solidFill>
                </w14:textFill>
              </w:rPr>
              <w:t>用水量按照</w:t>
            </w:r>
            <w:r>
              <w:rPr>
                <w:rFonts w:hint="eastAsia"/>
                <w:color w:val="000000" w:themeColor="text1"/>
                <w:sz w:val="24"/>
                <w14:textFill>
                  <w14:solidFill>
                    <w14:schemeClr w14:val="tx1"/>
                  </w14:solidFill>
                </w14:textFill>
              </w:rPr>
              <w:t>30</w:t>
            </w:r>
            <w:r>
              <w:rPr>
                <w:color w:val="000000" w:themeColor="text1"/>
                <w:sz w:val="24"/>
                <w14:textFill>
                  <w14:solidFill>
                    <w14:schemeClr w14:val="tx1"/>
                  </w14:solidFill>
                </w14:textFill>
              </w:rPr>
              <w:t>L/d计算，则项目用水量为</w:t>
            </w:r>
            <w:r>
              <w:rPr>
                <w:rFonts w:hint="eastAsia"/>
                <w:color w:val="000000" w:themeColor="text1"/>
                <w:sz w:val="24"/>
                <w14:textFill>
                  <w14:solidFill>
                    <w14:schemeClr w14:val="tx1"/>
                  </w14:solidFill>
                </w14:textFill>
              </w:rPr>
              <w:t>0.15t/d（</w:t>
            </w:r>
            <w:r>
              <w:rPr>
                <w:rFonts w:hint="eastAsia"/>
                <w:color w:val="000000" w:themeColor="text1"/>
                <w:sz w:val="24"/>
                <w:lang w:val="en-US" w:eastAsia="zh-CN"/>
                <w14:textFill>
                  <w14:solidFill>
                    <w14:schemeClr w14:val="tx1"/>
                  </w14:solidFill>
                </w14:textFill>
              </w:rPr>
              <w:t>45</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排污系数以0.8计</w:t>
            </w:r>
            <w:r>
              <w:rPr>
                <w:color w:val="000000" w:themeColor="text1"/>
                <w:sz w:val="24"/>
                <w14:textFill>
                  <w14:solidFill>
                    <w14:schemeClr w14:val="tx1"/>
                  </w14:solidFill>
                </w14:textFill>
              </w:rPr>
              <w:t>，则项目废水产生量为</w:t>
            </w:r>
            <w:r>
              <w:rPr>
                <w:rFonts w:hint="eastAsia"/>
                <w:color w:val="000000" w:themeColor="text1"/>
                <w:sz w:val="24"/>
                <w14:textFill>
                  <w14:solidFill>
                    <w14:schemeClr w14:val="tx1"/>
                  </w14:solidFill>
                </w14:textFill>
              </w:rPr>
              <w:t>0.12t/d（</w:t>
            </w:r>
            <w:r>
              <w:rPr>
                <w:rFonts w:hint="eastAsia"/>
                <w:color w:val="000000" w:themeColor="text1"/>
                <w:sz w:val="24"/>
                <w:lang w:val="en-US" w:eastAsia="zh-CN"/>
                <w14:textFill>
                  <w14:solidFill>
                    <w14:schemeClr w14:val="tx1"/>
                  </w14:solidFill>
                </w14:textFill>
              </w:rPr>
              <w:t>36</w:t>
            </w:r>
            <w:r>
              <w:rPr>
                <w:color w:val="000000" w:themeColor="text1"/>
                <w:sz w:val="24"/>
                <w14:textFill>
                  <w14:solidFill>
                    <w14:schemeClr w14:val="tx1"/>
                  </w14:solidFill>
                </w14:textFill>
              </w:rPr>
              <w:t>t/a</w:t>
            </w: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废水水质为</w:t>
            </w:r>
            <w:r>
              <w:rPr>
                <w:color w:val="000000" w:themeColor="text1"/>
                <w:sz w:val="24"/>
                <w14:textFill>
                  <w14:solidFill>
                    <w14:schemeClr w14:val="tx1"/>
                  </w14:solidFill>
                </w14:textFill>
              </w:rPr>
              <w:t>COD</w:t>
            </w:r>
            <w:r>
              <w:rPr>
                <w:rFonts w:hint="eastAsia"/>
                <w:color w:val="000000" w:themeColor="text1"/>
                <w:sz w:val="24"/>
                <w14:textFill>
                  <w14:solidFill>
                    <w14:schemeClr w14:val="tx1"/>
                  </w14:solidFill>
                </w14:textFill>
              </w:rPr>
              <w:t>300</w:t>
            </w:r>
            <w:r>
              <w:rPr>
                <w:color w:val="000000" w:themeColor="text1"/>
                <w:sz w:val="24"/>
                <w14:textFill>
                  <w14:solidFill>
                    <w14:schemeClr w14:val="tx1"/>
                  </w14:solidFill>
                </w14:textFill>
              </w:rPr>
              <w:t>mg/L、SS</w:t>
            </w:r>
            <w:r>
              <w:rPr>
                <w:rFonts w:hint="eastAsia"/>
                <w:color w:val="000000" w:themeColor="text1"/>
                <w:sz w:val="24"/>
                <w14:textFill>
                  <w14:solidFill>
                    <w14:schemeClr w14:val="tx1"/>
                  </w14:solidFill>
                </w14:textFill>
              </w:rPr>
              <w:t>25</w:t>
            </w:r>
            <w:r>
              <w:rPr>
                <w:color w:val="000000" w:themeColor="text1"/>
                <w:sz w:val="24"/>
                <w14:textFill>
                  <w14:solidFill>
                    <w14:schemeClr w14:val="tx1"/>
                  </w14:solidFill>
                </w14:textFill>
              </w:rPr>
              <w:t>0mg/L、氨氮2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、TP2</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、TN35</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，经化粪池处理后废水水质为</w:t>
            </w:r>
            <w:r>
              <w:rPr>
                <w:color w:val="000000" w:themeColor="text1"/>
                <w:sz w:val="24"/>
                <w14:textFill>
                  <w14:solidFill>
                    <w14:schemeClr w14:val="tx1"/>
                  </w14:solidFill>
                </w14:textFill>
              </w:rPr>
              <w:t>COD</w:t>
            </w:r>
            <w:r>
              <w:rPr>
                <w:rFonts w:hint="eastAsia"/>
                <w:color w:val="000000" w:themeColor="text1"/>
                <w:sz w:val="24"/>
                <w14:textFill>
                  <w14:solidFill>
                    <w14:schemeClr w14:val="tx1"/>
                  </w14:solidFill>
                </w14:textFill>
              </w:rPr>
              <w:t>200</w:t>
            </w:r>
            <w:r>
              <w:rPr>
                <w:color w:val="000000" w:themeColor="text1"/>
                <w:sz w:val="24"/>
                <w14:textFill>
                  <w14:solidFill>
                    <w14:schemeClr w14:val="tx1"/>
                  </w14:solidFill>
                </w14:textFill>
              </w:rPr>
              <w:t>mg/L、SS</w:t>
            </w:r>
            <w:r>
              <w:rPr>
                <w:rFonts w:hint="eastAsia"/>
                <w:color w:val="000000" w:themeColor="text1"/>
                <w:sz w:val="24"/>
                <w14:textFill>
                  <w14:solidFill>
                    <w14:schemeClr w14:val="tx1"/>
                  </w14:solidFill>
                </w14:textFill>
              </w:rPr>
              <w:t>14</w:t>
            </w:r>
            <w:r>
              <w:rPr>
                <w:color w:val="000000" w:themeColor="text1"/>
                <w:sz w:val="24"/>
                <w14:textFill>
                  <w14:solidFill>
                    <w14:schemeClr w14:val="tx1"/>
                  </w14:solidFill>
                </w14:textFill>
              </w:rPr>
              <w:t>0mg/L、氨氮2</w:t>
            </w:r>
            <w:r>
              <w:rPr>
                <w:rFonts w:hint="eastAsia"/>
                <w:color w:val="000000" w:themeColor="text1"/>
                <w:sz w:val="24"/>
                <w14:textFill>
                  <w14:solidFill>
                    <w14:schemeClr w14:val="tx1"/>
                  </w14:solidFill>
                </w14:textFill>
              </w:rPr>
              <w:t>5</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、TP2</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、TN35</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，能够满足大块镇污水处理厂收水水质要求：COD350mg/L、SS150mg/L、氨氮35mg/L、TP4.0mg/L、TN40</w:t>
            </w:r>
            <w:r>
              <w:rPr>
                <w:color w:val="000000" w:themeColor="text1"/>
                <w:sz w:val="24"/>
                <w14:textFill>
                  <w14:solidFill>
                    <w14:schemeClr w14:val="tx1"/>
                  </w14:solidFill>
                </w14:textFill>
              </w:rPr>
              <w:t>mg/L</w:t>
            </w:r>
            <w:r>
              <w:rPr>
                <w:rFonts w:hint="eastAsia"/>
                <w:color w:val="000000" w:themeColor="text1"/>
                <w:sz w:val="24"/>
                <w14:textFill>
                  <w14:solidFill>
                    <w14:schemeClr w14:val="tx1"/>
                  </w14:solidFill>
                </w14:textFill>
              </w:rPr>
              <w:t>。评价提出：前期生活污水经化粪池处理后，定期清运，待管网接通后，通入大块镇</w:t>
            </w:r>
            <w:r>
              <w:rPr>
                <w:color w:val="000000" w:themeColor="text1"/>
                <w:sz w:val="24"/>
                <w14:textFill>
                  <w14:solidFill>
                    <w14:schemeClr w14:val="tx1"/>
                  </w14:solidFill>
                </w14:textFill>
              </w:rPr>
              <w:t>污水处理厂进一步处理</w:t>
            </w:r>
            <w:r>
              <w:rPr>
                <w:rFonts w:hint="eastAsia"/>
                <w:color w:val="000000" w:themeColor="text1"/>
                <w:sz w:val="24"/>
                <w14:textFill>
                  <w14:solidFill>
                    <w14:schemeClr w14:val="tx1"/>
                  </w14:solidFill>
                </w14:textFill>
              </w:rPr>
              <w:t>。大块镇污水处理厂出水水质为COD40mg/L、SS10mg/L、氨氮2mg/L、TP0.4mg/L、TN15mg/L。</w:t>
            </w:r>
          </w:p>
          <w:p>
            <w:pPr>
              <w:keepNext w:val="0"/>
              <w:keepLines w:val="0"/>
              <w:pageBreakBefore w:val="0"/>
              <w:widowControl w:val="0"/>
              <w:kinsoku/>
              <w:wordWrap/>
              <w:overflowPunct/>
              <w:topLinePunct w:val="0"/>
              <w:bidi w:val="0"/>
              <w:adjustRightInd w:val="0"/>
              <w:spacing w:line="520" w:lineRule="exact"/>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本项目污染物排放总量为：COD0.001</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t/a、SS0.000</w:t>
            </w:r>
            <w:r>
              <w:rPr>
                <w:rFonts w:hint="eastAsia"/>
                <w:color w:val="000000" w:themeColor="text1"/>
                <w:sz w:val="24"/>
                <w:lang w:val="en-US" w:eastAsia="zh-CN"/>
                <w14:textFill>
                  <w14:solidFill>
                    <w14:schemeClr w14:val="tx1"/>
                  </w14:solidFill>
                </w14:textFill>
              </w:rPr>
              <w:t>4</w:t>
            </w:r>
            <w:r>
              <w:rPr>
                <w:rFonts w:hint="eastAsia"/>
                <w:color w:val="000000" w:themeColor="text1"/>
                <w:sz w:val="24"/>
                <w14:textFill>
                  <w14:solidFill>
                    <w14:schemeClr w14:val="tx1"/>
                  </w14:solidFill>
                </w14:textFill>
              </w:rPr>
              <w:t>t/a、氨氮0.0001t/a、TP0.000</w:t>
            </w:r>
            <w:r>
              <w:rPr>
                <w:rFonts w:hint="eastAsia"/>
                <w:color w:val="000000" w:themeColor="text1"/>
                <w:sz w:val="24"/>
                <w:lang w:val="en-US" w:eastAsia="zh-CN"/>
                <w14:textFill>
                  <w14:solidFill>
                    <w14:schemeClr w14:val="tx1"/>
                  </w14:solidFill>
                </w14:textFill>
              </w:rPr>
              <w:t>02</w:t>
            </w:r>
            <w:r>
              <w:rPr>
                <w:rFonts w:hint="eastAsia"/>
                <w:color w:val="000000" w:themeColor="text1"/>
                <w:sz w:val="24"/>
                <w14:textFill>
                  <w14:solidFill>
                    <w14:schemeClr w14:val="tx1"/>
                  </w14:solidFill>
                </w14:textFill>
              </w:rPr>
              <w:t>t/a、TN0.000</w:t>
            </w:r>
            <w:r>
              <w:rPr>
                <w:rFonts w:hint="eastAsia"/>
                <w:color w:val="000000" w:themeColor="text1"/>
                <w:sz w:val="24"/>
                <w:lang w:val="en-US" w:eastAsia="zh-CN"/>
                <w14:textFill>
                  <w14:solidFill>
                    <w14:schemeClr w14:val="tx1"/>
                  </w14:solidFill>
                </w14:textFill>
              </w:rPr>
              <w:t>5</w:t>
            </w:r>
            <w:r>
              <w:rPr>
                <w:rFonts w:hint="eastAsia"/>
                <w:color w:val="000000" w:themeColor="text1"/>
                <w:sz w:val="24"/>
                <w14:textFill>
                  <w14:solidFill>
                    <w14:schemeClr w14:val="tx1"/>
                  </w14:solidFill>
                </w14:textFill>
              </w:rPr>
              <w:t>t/a。</w:t>
            </w:r>
          </w:p>
          <w:p>
            <w:pPr>
              <w:keepNext w:val="0"/>
              <w:keepLines w:val="0"/>
              <w:pageBreakBefore w:val="0"/>
              <w:widowControl w:val="0"/>
              <w:kinsoku/>
              <w:wordWrap/>
              <w:overflowPunct/>
              <w:topLinePunct w:val="0"/>
              <w:bidi w:val="0"/>
              <w:adjustRightInd w:val="0"/>
              <w:spacing w:line="520" w:lineRule="exact"/>
              <w:ind w:firstLine="480" w:firstLineChars="200"/>
              <w:rPr>
                <w:b w:val="0"/>
                <w:bCs/>
                <w:sz w:val="24"/>
                <w:szCs w:val="24"/>
                <w:lang w:val="pt-BR"/>
              </w:rPr>
            </w:pPr>
            <w:r>
              <w:rPr>
                <w:rFonts w:hint="eastAsia"/>
                <w:b w:val="0"/>
                <w:bCs/>
                <w:sz w:val="24"/>
                <w:szCs w:val="24"/>
                <w:lang w:val="en-US" w:eastAsia="zh-CN"/>
              </w:rPr>
              <w:t>2、</w:t>
            </w:r>
            <w:r>
              <w:rPr>
                <w:b w:val="0"/>
                <w:bCs/>
                <w:sz w:val="24"/>
                <w:szCs w:val="24"/>
              </w:rPr>
              <w:t>污水接管可行性分析</w:t>
            </w:r>
          </w:p>
          <w:p>
            <w:pPr>
              <w:keepNext w:val="0"/>
              <w:keepLines w:val="0"/>
              <w:pageBreakBefore w:val="0"/>
              <w:widowControl w:val="0"/>
              <w:kinsoku/>
              <w:wordWrap/>
              <w:overflowPunct/>
              <w:topLinePunct w:val="0"/>
              <w:autoSpaceDE w:val="0"/>
              <w:autoSpaceDN w:val="0"/>
              <w:bidi w:val="0"/>
              <w:spacing w:line="520" w:lineRule="exact"/>
              <w:ind w:firstLine="480" w:firstLineChars="200"/>
              <w:rPr>
                <w:sz w:val="24"/>
              </w:rPr>
            </w:pPr>
            <w:r>
              <w:rPr>
                <w:rFonts w:hint="eastAsia"/>
                <w:sz w:val="24"/>
              </w:rPr>
              <w:t>大块镇污水处理厂位于</w:t>
            </w:r>
            <w:r>
              <w:rPr>
                <w:sz w:val="24"/>
              </w:rPr>
              <w:t>凤泉区大块镇北庄村东南，民生渠以北</w:t>
            </w:r>
            <w:r>
              <w:rPr>
                <w:rFonts w:hint="eastAsia"/>
                <w:sz w:val="24"/>
              </w:rPr>
              <w:t>，</w:t>
            </w:r>
            <w:r>
              <w:rPr>
                <w:bCs/>
                <w:sz w:val="24"/>
              </w:rPr>
              <w:t>设计污水处理能力</w:t>
            </w:r>
            <w:r>
              <w:rPr>
                <w:rFonts w:hint="eastAsia"/>
                <w:bCs/>
                <w:sz w:val="24"/>
              </w:rPr>
              <w:t>3000</w:t>
            </w:r>
            <w:r>
              <w:rPr>
                <w:bCs/>
                <w:sz w:val="24"/>
              </w:rPr>
              <w:t>m</w:t>
            </w:r>
            <w:r>
              <w:rPr>
                <w:bCs/>
                <w:sz w:val="24"/>
                <w:vertAlign w:val="superscript"/>
              </w:rPr>
              <w:t>3</w:t>
            </w:r>
            <w:r>
              <w:rPr>
                <w:bCs/>
                <w:sz w:val="24"/>
              </w:rPr>
              <w:t>/d，</w:t>
            </w:r>
            <w:r>
              <w:rPr>
                <w:rFonts w:hint="eastAsia"/>
                <w:bCs/>
                <w:sz w:val="24"/>
              </w:rPr>
              <w:t>目前大块镇污水处理厂</w:t>
            </w:r>
            <w:r>
              <w:rPr>
                <w:rFonts w:hint="eastAsia"/>
                <w:sz w:val="24"/>
              </w:rPr>
              <w:t>已建成。本项目建设地点管网未接通，生活污水定期清运，待管网接通后，废水经管网进入大块镇污水处理厂处理。</w:t>
            </w:r>
          </w:p>
          <w:p>
            <w:pPr>
              <w:keepNext w:val="0"/>
              <w:keepLines w:val="0"/>
              <w:pageBreakBefore w:val="0"/>
              <w:widowControl w:val="0"/>
              <w:kinsoku/>
              <w:wordWrap/>
              <w:overflowPunct/>
              <w:topLinePunct w:val="0"/>
              <w:bidi w:val="0"/>
              <w:spacing w:line="520" w:lineRule="exact"/>
              <w:ind w:firstLine="480" w:firstLineChars="200"/>
              <w:rPr>
                <w:sz w:val="24"/>
                <w:szCs w:val="24"/>
              </w:rPr>
            </w:pPr>
            <w:r>
              <w:rPr>
                <w:sz w:val="24"/>
                <w:szCs w:val="24"/>
              </w:rPr>
              <w:t>①污水水量</w:t>
            </w:r>
            <w:r>
              <w:rPr>
                <w:rFonts w:hint="eastAsia"/>
                <w:sz w:val="24"/>
                <w:szCs w:val="24"/>
              </w:rPr>
              <w:t>处理可行性分析</w:t>
            </w:r>
          </w:p>
          <w:p>
            <w:pPr>
              <w:keepNext w:val="0"/>
              <w:keepLines w:val="0"/>
              <w:pageBreakBefore w:val="0"/>
              <w:widowControl w:val="0"/>
              <w:kinsoku/>
              <w:wordWrap/>
              <w:overflowPunct/>
              <w:topLinePunct w:val="0"/>
              <w:bidi w:val="0"/>
              <w:adjustRightInd w:val="0"/>
              <w:snapToGrid w:val="0"/>
              <w:spacing w:line="520" w:lineRule="exact"/>
              <w:ind w:firstLine="480" w:firstLineChars="200"/>
              <w:jc w:val="left"/>
              <w:rPr>
                <w:sz w:val="24"/>
              </w:rPr>
            </w:pPr>
            <w:r>
              <w:rPr>
                <w:rFonts w:hint="eastAsia"/>
                <w:sz w:val="24"/>
              </w:rPr>
              <w:t>大块镇污水处理厂</w:t>
            </w:r>
            <w:r>
              <w:rPr>
                <w:bCs/>
                <w:sz w:val="24"/>
              </w:rPr>
              <w:t>工程设计污水处理能力</w:t>
            </w:r>
            <w:r>
              <w:rPr>
                <w:rFonts w:hint="eastAsia"/>
                <w:bCs/>
                <w:sz w:val="24"/>
              </w:rPr>
              <w:t>3000</w:t>
            </w:r>
            <w:r>
              <w:rPr>
                <w:bCs/>
                <w:sz w:val="24"/>
              </w:rPr>
              <w:t>m</w:t>
            </w:r>
            <w:r>
              <w:rPr>
                <w:bCs/>
                <w:sz w:val="24"/>
                <w:vertAlign w:val="superscript"/>
              </w:rPr>
              <w:t>3</w:t>
            </w:r>
            <w:r>
              <w:rPr>
                <w:bCs/>
                <w:sz w:val="24"/>
              </w:rPr>
              <w:t>/d，</w:t>
            </w:r>
            <w:r>
              <w:rPr>
                <w:rFonts w:hint="eastAsia"/>
                <w:bCs/>
                <w:sz w:val="24"/>
              </w:rPr>
              <w:t>目前大块镇污水处理厂</w:t>
            </w:r>
            <w:r>
              <w:rPr>
                <w:rFonts w:hint="eastAsia"/>
                <w:sz w:val="24"/>
              </w:rPr>
              <w:t>已建成</w:t>
            </w:r>
            <w:r>
              <w:rPr>
                <w:bCs/>
                <w:sz w:val="24"/>
              </w:rPr>
              <w:t>，</w:t>
            </w:r>
            <w:r>
              <w:rPr>
                <w:rFonts w:hint="eastAsia"/>
                <w:bCs/>
                <w:sz w:val="24"/>
              </w:rPr>
              <w:t>本</w:t>
            </w:r>
            <w:r>
              <w:rPr>
                <w:bCs/>
                <w:sz w:val="24"/>
              </w:rPr>
              <w:t>项目</w:t>
            </w:r>
            <w:r>
              <w:rPr>
                <w:rFonts w:hint="eastAsia"/>
                <w:bCs/>
                <w:sz w:val="24"/>
              </w:rPr>
              <w:t>建成后全厂</w:t>
            </w:r>
            <w:r>
              <w:rPr>
                <w:bCs/>
                <w:sz w:val="24"/>
              </w:rPr>
              <w:t>废水排放总量为</w:t>
            </w:r>
            <w:r>
              <w:rPr>
                <w:rFonts w:hint="eastAsia"/>
                <w:bCs/>
                <w:sz w:val="24"/>
              </w:rPr>
              <w:t>0.12</w:t>
            </w:r>
            <w:r>
              <w:rPr>
                <w:bCs/>
                <w:sz w:val="24"/>
              </w:rPr>
              <w:t>m</w:t>
            </w:r>
            <w:r>
              <w:rPr>
                <w:bCs/>
                <w:sz w:val="24"/>
                <w:vertAlign w:val="superscript"/>
              </w:rPr>
              <w:t>3</w:t>
            </w:r>
            <w:r>
              <w:rPr>
                <w:bCs/>
                <w:sz w:val="24"/>
              </w:rPr>
              <w:t>/d</w:t>
            </w:r>
            <w:r>
              <w:rPr>
                <w:sz w:val="24"/>
              </w:rPr>
              <w:t>，约占</w:t>
            </w:r>
            <w:r>
              <w:rPr>
                <w:rFonts w:hint="eastAsia"/>
                <w:sz w:val="24"/>
              </w:rPr>
              <w:t>大块镇污水处理厂</w:t>
            </w:r>
            <w:r>
              <w:rPr>
                <w:bCs/>
                <w:sz w:val="24"/>
              </w:rPr>
              <w:t>处理能力</w:t>
            </w:r>
            <w:r>
              <w:rPr>
                <w:sz w:val="24"/>
              </w:rPr>
              <w:t>的</w:t>
            </w:r>
            <w:r>
              <w:rPr>
                <w:rFonts w:hint="eastAsia"/>
                <w:sz w:val="24"/>
              </w:rPr>
              <w:t>0.004</w:t>
            </w:r>
            <w:r>
              <w:rPr>
                <w:sz w:val="24"/>
              </w:rPr>
              <w:t>%，</w:t>
            </w:r>
            <w:r>
              <w:rPr>
                <w:rFonts w:hint="eastAsia"/>
                <w:sz w:val="24"/>
              </w:rPr>
              <w:t>大块镇污水处理厂有能力接纳本项目产生的生活污水</w:t>
            </w:r>
            <w:r>
              <w:rPr>
                <w:sz w:val="24"/>
              </w:rPr>
              <w:t>。</w:t>
            </w:r>
          </w:p>
          <w:p>
            <w:pPr>
              <w:keepNext w:val="0"/>
              <w:keepLines w:val="0"/>
              <w:pageBreakBefore w:val="0"/>
              <w:widowControl w:val="0"/>
              <w:kinsoku/>
              <w:wordWrap/>
              <w:overflowPunct/>
              <w:topLinePunct w:val="0"/>
              <w:bidi w:val="0"/>
              <w:adjustRightInd w:val="0"/>
              <w:snapToGrid w:val="0"/>
              <w:spacing w:line="520" w:lineRule="exact"/>
              <w:ind w:firstLine="480" w:firstLineChars="200"/>
              <w:jc w:val="left"/>
              <w:rPr>
                <w:sz w:val="24"/>
                <w:szCs w:val="24"/>
              </w:rPr>
            </w:pPr>
            <w:r>
              <w:rPr>
                <w:sz w:val="24"/>
                <w:szCs w:val="24"/>
              </w:rPr>
              <w:t>②污水水质</w:t>
            </w:r>
            <w:r>
              <w:rPr>
                <w:rFonts w:hint="eastAsia"/>
                <w:sz w:val="24"/>
                <w:szCs w:val="24"/>
              </w:rPr>
              <w:t>处理可行性分析</w:t>
            </w:r>
          </w:p>
          <w:p>
            <w:pPr>
              <w:keepNext w:val="0"/>
              <w:keepLines w:val="0"/>
              <w:pageBreakBefore w:val="0"/>
              <w:widowControl w:val="0"/>
              <w:kinsoku/>
              <w:wordWrap/>
              <w:overflowPunct/>
              <w:topLinePunct w:val="0"/>
              <w:bidi w:val="0"/>
              <w:adjustRightInd w:val="0"/>
              <w:snapToGrid w:val="0"/>
              <w:spacing w:line="520" w:lineRule="exact"/>
              <w:ind w:firstLine="480" w:firstLineChars="200"/>
              <w:rPr>
                <w:sz w:val="24"/>
              </w:rPr>
            </w:pPr>
            <w:r>
              <w:rPr>
                <w:bCs/>
                <w:sz w:val="24"/>
              </w:rPr>
              <w:t>本项目生活污水经化粪池处理后水质为</w:t>
            </w:r>
            <w:r>
              <w:rPr>
                <w:sz w:val="24"/>
              </w:rPr>
              <w:t>COD</w:t>
            </w:r>
            <w:r>
              <w:rPr>
                <w:rFonts w:hint="eastAsia"/>
                <w:sz w:val="24"/>
              </w:rPr>
              <w:t>200</w:t>
            </w:r>
            <w:r>
              <w:rPr>
                <w:sz w:val="24"/>
              </w:rPr>
              <w:t>mg/L、SS</w:t>
            </w:r>
            <w:r>
              <w:rPr>
                <w:rFonts w:hint="eastAsia"/>
                <w:sz w:val="24"/>
              </w:rPr>
              <w:t>14</w:t>
            </w:r>
            <w:r>
              <w:rPr>
                <w:sz w:val="24"/>
              </w:rPr>
              <w:t>0mg/L、氨氮2</w:t>
            </w:r>
            <w:r>
              <w:rPr>
                <w:rFonts w:hint="eastAsia"/>
                <w:sz w:val="24"/>
              </w:rPr>
              <w:t>5</w:t>
            </w:r>
            <w:r>
              <w:rPr>
                <w:sz w:val="24"/>
              </w:rPr>
              <w:t>mg/L</w:t>
            </w:r>
            <w:r>
              <w:rPr>
                <w:rFonts w:hint="eastAsia"/>
                <w:sz w:val="24"/>
              </w:rPr>
              <w:t>、TP2</w:t>
            </w:r>
            <w:r>
              <w:rPr>
                <w:sz w:val="24"/>
              </w:rPr>
              <w:t>mg/L</w:t>
            </w:r>
            <w:r>
              <w:rPr>
                <w:rFonts w:hint="eastAsia"/>
                <w:sz w:val="24"/>
              </w:rPr>
              <w:t>、TN35</w:t>
            </w:r>
            <w:r>
              <w:rPr>
                <w:sz w:val="24"/>
              </w:rPr>
              <w:t>mg/L</w:t>
            </w:r>
            <w:r>
              <w:rPr>
                <w:bCs/>
                <w:sz w:val="24"/>
              </w:rPr>
              <w:t>。</w:t>
            </w:r>
            <w:r>
              <w:rPr>
                <w:rFonts w:hint="eastAsia"/>
                <w:sz w:val="24"/>
              </w:rPr>
              <w:t>能够满足大块镇污水处理厂收水水质要求：COD350mg/L、SS150mg/L、氨氮35mg/L、TP4.0mg/L、TN40</w:t>
            </w:r>
            <w:r>
              <w:rPr>
                <w:sz w:val="24"/>
              </w:rPr>
              <w:t>mg/L，从水质上分析是可行的。</w:t>
            </w:r>
          </w:p>
          <w:p>
            <w:pPr>
              <w:keepNext w:val="0"/>
              <w:keepLines w:val="0"/>
              <w:pageBreakBefore w:val="0"/>
              <w:widowControl w:val="0"/>
              <w:kinsoku/>
              <w:wordWrap/>
              <w:overflowPunct/>
              <w:topLinePunct w:val="0"/>
              <w:bidi w:val="0"/>
              <w:adjustRightInd w:val="0"/>
              <w:snapToGrid w:val="0"/>
              <w:spacing w:line="520" w:lineRule="exact"/>
              <w:ind w:firstLine="482"/>
              <w:rPr>
                <w:sz w:val="24"/>
                <w:szCs w:val="24"/>
              </w:rPr>
            </w:pPr>
            <w:r>
              <w:rPr>
                <w:sz w:val="24"/>
                <w:szCs w:val="24"/>
              </w:rPr>
              <w:t>综上</w:t>
            </w:r>
            <w:r>
              <w:rPr>
                <w:rFonts w:hint="eastAsia"/>
                <w:sz w:val="24"/>
                <w:szCs w:val="24"/>
              </w:rPr>
              <w:t>，本</w:t>
            </w:r>
            <w:r>
              <w:rPr>
                <w:sz w:val="24"/>
                <w:szCs w:val="24"/>
              </w:rPr>
              <w:t>项目</w:t>
            </w:r>
            <w:r>
              <w:rPr>
                <w:rFonts w:hint="eastAsia"/>
                <w:sz w:val="24"/>
                <w:szCs w:val="24"/>
              </w:rPr>
              <w:t>污水水质、水量均满足</w:t>
            </w:r>
            <w:r>
              <w:rPr>
                <w:rFonts w:hint="eastAsia"/>
                <w:sz w:val="24"/>
              </w:rPr>
              <w:t>大块镇污水处理厂</w:t>
            </w:r>
            <w:r>
              <w:rPr>
                <w:rFonts w:hint="eastAsia"/>
                <w:sz w:val="24"/>
                <w:szCs w:val="24"/>
              </w:rPr>
              <w:t>处理要求，废水经处理后可达标排放，</w:t>
            </w:r>
            <w:r>
              <w:rPr>
                <w:sz w:val="24"/>
                <w:szCs w:val="24"/>
              </w:rPr>
              <w:t>本项目废水进入</w:t>
            </w:r>
            <w:r>
              <w:rPr>
                <w:rFonts w:hint="eastAsia"/>
                <w:sz w:val="24"/>
              </w:rPr>
              <w:t>大块镇污水处理厂</w:t>
            </w:r>
            <w:r>
              <w:rPr>
                <w:sz w:val="24"/>
                <w:szCs w:val="24"/>
              </w:rPr>
              <w:t>是可行的</w:t>
            </w:r>
            <w:r>
              <w:rPr>
                <w:rFonts w:hint="eastAsia"/>
                <w:sz w:val="24"/>
                <w:szCs w:val="24"/>
              </w:rPr>
              <w:t>。</w:t>
            </w:r>
          </w:p>
          <w:p>
            <w:pPr>
              <w:keepNext w:val="0"/>
              <w:keepLines w:val="0"/>
              <w:pageBreakBefore w:val="0"/>
              <w:widowControl w:val="0"/>
              <w:kinsoku/>
              <w:wordWrap/>
              <w:overflowPunct/>
              <w:topLinePunct w:val="0"/>
              <w:bidi w:val="0"/>
              <w:spacing w:line="520" w:lineRule="exact"/>
              <w:ind w:firstLine="480" w:firstLineChars="200"/>
              <w:rPr>
                <w:sz w:val="24"/>
                <w:szCs w:val="24"/>
              </w:rPr>
            </w:pPr>
            <w:r>
              <w:rPr>
                <w:sz w:val="24"/>
                <w:szCs w:val="24"/>
              </w:rPr>
              <w:t>本项目废水类别、污染物及污染治理设施情况见</w:t>
            </w:r>
            <w:r>
              <w:rPr>
                <w:rFonts w:hint="eastAsia"/>
                <w:sz w:val="24"/>
                <w:szCs w:val="24"/>
              </w:rPr>
              <w:t>下表</w:t>
            </w:r>
            <w:r>
              <w:rPr>
                <w:sz w:val="24"/>
                <w:szCs w:val="24"/>
              </w:rPr>
              <w:t>。</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lang w:val="en-US" w:eastAsia="zh-CN"/>
              </w:rPr>
              <w:t>4-7</w:t>
            </w:r>
            <w:r>
              <w:rPr>
                <w:rFonts w:hint="eastAsia" w:ascii="Times New Roman" w:hAnsi="Times New Roman" w:eastAsia="宋体" w:cs="Times New Roman"/>
                <w:b/>
                <w:color w:val="000000"/>
                <w:sz w:val="24"/>
                <w:szCs w:val="24"/>
              </w:rPr>
              <w:t xml:space="preserve">     </w:t>
            </w:r>
            <w:r>
              <w:rPr>
                <w:rFonts w:ascii="Times New Roman" w:hAnsi="Times New Roman" w:eastAsia="宋体" w:cs="Times New Roman"/>
                <w:b/>
                <w:color w:val="000000"/>
                <w:sz w:val="24"/>
                <w:szCs w:val="24"/>
              </w:rPr>
              <w:t>废水类别、污染物及污染治理设施信息表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
              <w:gridCol w:w="370"/>
              <w:gridCol w:w="864"/>
              <w:gridCol w:w="703"/>
              <w:gridCol w:w="656"/>
              <w:gridCol w:w="680"/>
              <w:gridCol w:w="1417"/>
              <w:gridCol w:w="669"/>
              <w:gridCol w:w="783"/>
              <w:gridCol w:w="1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dxa"/>
                  <w:vMerge w:val="restart"/>
                  <w:tcBorders>
                    <w:tl2br w:val="nil"/>
                    <w:tr2bl w:val="nil"/>
                  </w:tcBorders>
                  <w:vAlign w:val="center"/>
                </w:tcPr>
                <w:p>
                  <w:pPr>
                    <w:adjustRightInd w:val="0"/>
                    <w:snapToGrid w:val="0"/>
                    <w:jc w:val="center"/>
                    <w:rPr>
                      <w:rFonts w:ascii="Times New Roman" w:hAnsi="Times New Roman" w:eastAsia="宋体" w:cs="Times New Roman"/>
                      <w:b/>
                      <w:sz w:val="21"/>
                      <w:szCs w:val="21"/>
                    </w:rPr>
                  </w:pPr>
                  <w:r>
                    <w:rPr>
                      <w:rFonts w:ascii="Times New Roman" w:hAnsi="Times New Roman" w:eastAsia="宋体" w:cs="Times New Roman"/>
                      <w:b/>
                      <w:sz w:val="21"/>
                      <w:szCs w:val="21"/>
                    </w:rPr>
                    <w:t>序号</w:t>
                  </w:r>
                </w:p>
              </w:tc>
              <w:tc>
                <w:tcPr>
                  <w:tcW w:w="370" w:type="dxa"/>
                  <w:vMerge w:val="restart"/>
                  <w:tcBorders>
                    <w:tl2br w:val="nil"/>
                    <w:tr2bl w:val="nil"/>
                  </w:tcBorders>
                  <w:vAlign w:val="center"/>
                </w:tcPr>
                <w:p>
                  <w:pPr>
                    <w:adjustRightInd w:val="0"/>
                    <w:snapToGrid w:val="0"/>
                    <w:jc w:val="center"/>
                    <w:rPr>
                      <w:rFonts w:ascii="Times New Roman" w:hAnsi="Times New Roman" w:eastAsia="宋体" w:cs="Times New Roman"/>
                      <w:b/>
                      <w:sz w:val="21"/>
                      <w:szCs w:val="21"/>
                    </w:rPr>
                  </w:pPr>
                  <w:r>
                    <w:rPr>
                      <w:rFonts w:ascii="Times New Roman" w:hAnsi="Times New Roman" w:eastAsia="宋体" w:cs="Times New Roman"/>
                      <w:b/>
                      <w:sz w:val="21"/>
                      <w:szCs w:val="21"/>
                    </w:rPr>
                    <w:t>废水类别</w:t>
                  </w:r>
                </w:p>
              </w:tc>
              <w:tc>
                <w:tcPr>
                  <w:tcW w:w="865" w:type="dxa"/>
                  <w:vMerge w:val="restart"/>
                  <w:tcBorders>
                    <w:tl2br w:val="nil"/>
                    <w:tr2bl w:val="nil"/>
                  </w:tcBorders>
                  <w:vAlign w:val="center"/>
                </w:tcPr>
                <w:p>
                  <w:pPr>
                    <w:adjustRightInd w:val="0"/>
                    <w:snapToGrid w:val="0"/>
                    <w:jc w:val="center"/>
                    <w:rPr>
                      <w:b/>
                      <w:sz w:val="21"/>
                      <w:szCs w:val="21"/>
                    </w:rPr>
                  </w:pPr>
                  <w:r>
                    <w:rPr>
                      <w:b/>
                      <w:sz w:val="21"/>
                      <w:szCs w:val="21"/>
                    </w:rPr>
                    <w:t>污染物种类</w:t>
                  </w:r>
                </w:p>
              </w:tc>
              <w:tc>
                <w:tcPr>
                  <w:tcW w:w="704" w:type="dxa"/>
                  <w:vMerge w:val="restart"/>
                  <w:tcBorders>
                    <w:tl2br w:val="nil"/>
                    <w:tr2bl w:val="nil"/>
                  </w:tcBorders>
                  <w:vAlign w:val="center"/>
                </w:tcPr>
                <w:p>
                  <w:pPr>
                    <w:adjustRightInd w:val="0"/>
                    <w:snapToGrid w:val="0"/>
                    <w:jc w:val="center"/>
                    <w:rPr>
                      <w:b/>
                      <w:sz w:val="21"/>
                      <w:szCs w:val="21"/>
                    </w:rPr>
                  </w:pPr>
                  <w:r>
                    <w:rPr>
                      <w:b/>
                      <w:sz w:val="21"/>
                      <w:szCs w:val="21"/>
                    </w:rPr>
                    <w:t>排放</w:t>
                  </w:r>
                </w:p>
                <w:p>
                  <w:pPr>
                    <w:adjustRightInd w:val="0"/>
                    <w:snapToGrid w:val="0"/>
                    <w:jc w:val="center"/>
                    <w:rPr>
                      <w:b/>
                      <w:sz w:val="21"/>
                      <w:szCs w:val="21"/>
                    </w:rPr>
                  </w:pPr>
                  <w:r>
                    <w:rPr>
                      <w:b/>
                      <w:sz w:val="21"/>
                      <w:szCs w:val="21"/>
                    </w:rPr>
                    <w:t>规律</w:t>
                  </w:r>
                </w:p>
              </w:tc>
              <w:tc>
                <w:tcPr>
                  <w:tcW w:w="2757" w:type="dxa"/>
                  <w:gridSpan w:val="3"/>
                  <w:tcBorders>
                    <w:tl2br w:val="nil"/>
                    <w:tr2bl w:val="nil"/>
                  </w:tcBorders>
                  <w:vAlign w:val="center"/>
                </w:tcPr>
                <w:p>
                  <w:pPr>
                    <w:adjustRightInd w:val="0"/>
                    <w:snapToGrid w:val="0"/>
                    <w:jc w:val="center"/>
                    <w:rPr>
                      <w:b/>
                      <w:sz w:val="21"/>
                      <w:szCs w:val="21"/>
                    </w:rPr>
                  </w:pPr>
                  <w:r>
                    <w:rPr>
                      <w:b/>
                      <w:sz w:val="21"/>
                      <w:szCs w:val="21"/>
                    </w:rPr>
                    <w:t>污染治理设施</w:t>
                  </w:r>
                </w:p>
              </w:tc>
              <w:tc>
                <w:tcPr>
                  <w:tcW w:w="670" w:type="dxa"/>
                  <w:vMerge w:val="restart"/>
                  <w:tcBorders>
                    <w:tl2br w:val="nil"/>
                    <w:tr2bl w:val="nil"/>
                  </w:tcBorders>
                  <w:vAlign w:val="center"/>
                </w:tcPr>
                <w:p>
                  <w:pPr>
                    <w:adjustRightInd w:val="0"/>
                    <w:snapToGrid w:val="0"/>
                    <w:jc w:val="center"/>
                    <w:rPr>
                      <w:b/>
                      <w:sz w:val="21"/>
                      <w:szCs w:val="21"/>
                    </w:rPr>
                  </w:pPr>
                  <w:r>
                    <w:rPr>
                      <w:b/>
                      <w:sz w:val="21"/>
                      <w:szCs w:val="21"/>
                    </w:rPr>
                    <w:t>排放口编号</w:t>
                  </w:r>
                </w:p>
              </w:tc>
              <w:tc>
                <w:tcPr>
                  <w:tcW w:w="784" w:type="dxa"/>
                  <w:vMerge w:val="restart"/>
                  <w:tcBorders>
                    <w:tl2br w:val="nil"/>
                    <w:tr2bl w:val="nil"/>
                  </w:tcBorders>
                  <w:vAlign w:val="center"/>
                </w:tcPr>
                <w:p>
                  <w:pPr>
                    <w:adjustRightInd w:val="0"/>
                    <w:snapToGrid w:val="0"/>
                    <w:jc w:val="center"/>
                    <w:rPr>
                      <w:b/>
                      <w:sz w:val="21"/>
                      <w:szCs w:val="21"/>
                    </w:rPr>
                  </w:pPr>
                  <w:r>
                    <w:rPr>
                      <w:b/>
                      <w:sz w:val="21"/>
                      <w:szCs w:val="21"/>
                    </w:rPr>
                    <w:t>排放口设施是否符合要求</w:t>
                  </w:r>
                </w:p>
              </w:tc>
              <w:tc>
                <w:tcPr>
                  <w:tcW w:w="1459" w:type="dxa"/>
                  <w:vMerge w:val="restart"/>
                  <w:tcBorders>
                    <w:tl2br w:val="nil"/>
                    <w:tr2bl w:val="nil"/>
                  </w:tcBorders>
                  <w:vAlign w:val="center"/>
                </w:tcPr>
                <w:p>
                  <w:pPr>
                    <w:adjustRightInd w:val="0"/>
                    <w:snapToGrid w:val="0"/>
                    <w:jc w:val="center"/>
                    <w:rPr>
                      <w:b/>
                      <w:sz w:val="21"/>
                      <w:szCs w:val="21"/>
                    </w:rPr>
                  </w:pPr>
                  <w:r>
                    <w:rPr>
                      <w:b/>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dxa"/>
                  <w:vMerge w:val="continue"/>
                  <w:tcBorders>
                    <w:tl2br w:val="nil"/>
                    <w:tr2bl w:val="nil"/>
                  </w:tcBorders>
                  <w:vAlign w:val="center"/>
                </w:tcPr>
                <w:p>
                  <w:pPr>
                    <w:widowControl/>
                    <w:adjustRightInd w:val="0"/>
                    <w:snapToGrid w:val="0"/>
                    <w:jc w:val="left"/>
                    <w:rPr>
                      <w:sz w:val="21"/>
                      <w:szCs w:val="21"/>
                    </w:rPr>
                  </w:pPr>
                </w:p>
              </w:tc>
              <w:tc>
                <w:tcPr>
                  <w:tcW w:w="370" w:type="dxa"/>
                  <w:vMerge w:val="continue"/>
                  <w:tcBorders>
                    <w:tl2br w:val="nil"/>
                    <w:tr2bl w:val="nil"/>
                  </w:tcBorders>
                  <w:vAlign w:val="center"/>
                </w:tcPr>
                <w:p>
                  <w:pPr>
                    <w:widowControl/>
                    <w:adjustRightInd w:val="0"/>
                    <w:snapToGrid w:val="0"/>
                    <w:jc w:val="left"/>
                    <w:rPr>
                      <w:sz w:val="21"/>
                      <w:szCs w:val="21"/>
                    </w:rPr>
                  </w:pPr>
                </w:p>
              </w:tc>
              <w:tc>
                <w:tcPr>
                  <w:tcW w:w="865" w:type="dxa"/>
                  <w:vMerge w:val="continue"/>
                  <w:tcBorders>
                    <w:tl2br w:val="nil"/>
                    <w:tr2bl w:val="nil"/>
                  </w:tcBorders>
                  <w:vAlign w:val="center"/>
                </w:tcPr>
                <w:p>
                  <w:pPr>
                    <w:widowControl/>
                    <w:adjustRightInd w:val="0"/>
                    <w:snapToGrid w:val="0"/>
                    <w:jc w:val="left"/>
                    <w:rPr>
                      <w:sz w:val="21"/>
                      <w:szCs w:val="21"/>
                    </w:rPr>
                  </w:pPr>
                </w:p>
              </w:tc>
              <w:tc>
                <w:tcPr>
                  <w:tcW w:w="704" w:type="dxa"/>
                  <w:vMerge w:val="continue"/>
                  <w:tcBorders>
                    <w:tl2br w:val="nil"/>
                    <w:tr2bl w:val="nil"/>
                  </w:tcBorders>
                  <w:vAlign w:val="center"/>
                </w:tcPr>
                <w:p>
                  <w:pPr>
                    <w:widowControl/>
                    <w:adjustRightInd w:val="0"/>
                    <w:snapToGrid w:val="0"/>
                    <w:jc w:val="left"/>
                    <w:rPr>
                      <w:sz w:val="21"/>
                      <w:szCs w:val="21"/>
                    </w:rPr>
                  </w:pPr>
                </w:p>
              </w:tc>
              <w:tc>
                <w:tcPr>
                  <w:tcW w:w="657" w:type="dxa"/>
                  <w:tcBorders>
                    <w:tl2br w:val="nil"/>
                    <w:tr2bl w:val="nil"/>
                  </w:tcBorders>
                  <w:vAlign w:val="center"/>
                </w:tcPr>
                <w:p>
                  <w:pPr>
                    <w:adjustRightInd w:val="0"/>
                    <w:snapToGrid w:val="0"/>
                    <w:jc w:val="center"/>
                    <w:rPr>
                      <w:b/>
                      <w:sz w:val="21"/>
                      <w:szCs w:val="21"/>
                    </w:rPr>
                  </w:pPr>
                  <w:r>
                    <w:rPr>
                      <w:b/>
                      <w:sz w:val="21"/>
                      <w:szCs w:val="21"/>
                    </w:rPr>
                    <w:t>污染治理设施编号</w:t>
                  </w:r>
                </w:p>
              </w:tc>
              <w:tc>
                <w:tcPr>
                  <w:tcW w:w="681" w:type="dxa"/>
                  <w:tcBorders>
                    <w:tl2br w:val="nil"/>
                    <w:tr2bl w:val="nil"/>
                  </w:tcBorders>
                  <w:vAlign w:val="center"/>
                </w:tcPr>
                <w:p>
                  <w:pPr>
                    <w:adjustRightInd w:val="0"/>
                    <w:snapToGrid w:val="0"/>
                    <w:jc w:val="center"/>
                    <w:rPr>
                      <w:b/>
                      <w:sz w:val="21"/>
                      <w:szCs w:val="21"/>
                    </w:rPr>
                  </w:pPr>
                  <w:r>
                    <w:rPr>
                      <w:b/>
                      <w:sz w:val="21"/>
                      <w:szCs w:val="21"/>
                    </w:rPr>
                    <w:t>污染治理设施名称</w:t>
                  </w:r>
                </w:p>
              </w:tc>
              <w:tc>
                <w:tcPr>
                  <w:tcW w:w="1419" w:type="dxa"/>
                  <w:tcBorders>
                    <w:tl2br w:val="nil"/>
                    <w:tr2bl w:val="nil"/>
                  </w:tcBorders>
                  <w:vAlign w:val="center"/>
                </w:tcPr>
                <w:p>
                  <w:pPr>
                    <w:adjustRightInd w:val="0"/>
                    <w:snapToGrid w:val="0"/>
                    <w:jc w:val="center"/>
                    <w:rPr>
                      <w:b/>
                      <w:sz w:val="21"/>
                      <w:szCs w:val="21"/>
                    </w:rPr>
                  </w:pPr>
                  <w:r>
                    <w:rPr>
                      <w:b/>
                      <w:sz w:val="21"/>
                      <w:szCs w:val="21"/>
                    </w:rPr>
                    <w:t>污染治理设施工艺</w:t>
                  </w:r>
                </w:p>
              </w:tc>
              <w:tc>
                <w:tcPr>
                  <w:tcW w:w="670" w:type="dxa"/>
                  <w:vMerge w:val="continue"/>
                  <w:tcBorders>
                    <w:tl2br w:val="nil"/>
                    <w:tr2bl w:val="nil"/>
                  </w:tcBorders>
                  <w:vAlign w:val="center"/>
                </w:tcPr>
                <w:p>
                  <w:pPr>
                    <w:widowControl/>
                    <w:adjustRightInd w:val="0"/>
                    <w:snapToGrid w:val="0"/>
                    <w:jc w:val="left"/>
                    <w:rPr>
                      <w:sz w:val="21"/>
                      <w:szCs w:val="21"/>
                    </w:rPr>
                  </w:pPr>
                </w:p>
              </w:tc>
              <w:tc>
                <w:tcPr>
                  <w:tcW w:w="784" w:type="dxa"/>
                  <w:vMerge w:val="continue"/>
                  <w:tcBorders>
                    <w:tl2br w:val="nil"/>
                    <w:tr2bl w:val="nil"/>
                  </w:tcBorders>
                  <w:vAlign w:val="center"/>
                </w:tcPr>
                <w:p>
                  <w:pPr>
                    <w:widowControl/>
                    <w:adjustRightInd w:val="0"/>
                    <w:snapToGrid w:val="0"/>
                    <w:jc w:val="left"/>
                    <w:rPr>
                      <w:sz w:val="21"/>
                      <w:szCs w:val="21"/>
                    </w:rPr>
                  </w:pPr>
                </w:p>
              </w:tc>
              <w:tc>
                <w:tcPr>
                  <w:tcW w:w="1459" w:type="dxa"/>
                  <w:vMerge w:val="continue"/>
                  <w:tcBorders>
                    <w:tl2br w:val="nil"/>
                    <w:tr2bl w:val="nil"/>
                  </w:tcBorders>
                  <w:vAlign w:val="center"/>
                </w:tcPr>
                <w:p>
                  <w:pPr>
                    <w:widowControl/>
                    <w:adjustRightInd w:val="0"/>
                    <w:snapToGrid w:val="0"/>
                    <w:jc w:val="left"/>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dxa"/>
                  <w:tcBorders>
                    <w:tl2br w:val="nil"/>
                    <w:tr2bl w:val="nil"/>
                  </w:tcBorders>
                  <w:vAlign w:val="center"/>
                </w:tcPr>
                <w:p>
                  <w:pPr>
                    <w:adjustRightInd w:val="0"/>
                    <w:snapToGrid w:val="0"/>
                    <w:jc w:val="center"/>
                    <w:rPr>
                      <w:sz w:val="21"/>
                      <w:szCs w:val="21"/>
                    </w:rPr>
                  </w:pPr>
                  <w:r>
                    <w:rPr>
                      <w:sz w:val="21"/>
                      <w:szCs w:val="21"/>
                    </w:rPr>
                    <w:t>1</w:t>
                  </w:r>
                </w:p>
              </w:tc>
              <w:tc>
                <w:tcPr>
                  <w:tcW w:w="370" w:type="dxa"/>
                  <w:tcBorders>
                    <w:tl2br w:val="nil"/>
                    <w:tr2bl w:val="nil"/>
                  </w:tcBorders>
                  <w:vAlign w:val="center"/>
                </w:tcPr>
                <w:p>
                  <w:pPr>
                    <w:widowControl/>
                    <w:adjustRightInd w:val="0"/>
                    <w:snapToGrid w:val="0"/>
                    <w:jc w:val="center"/>
                    <w:rPr>
                      <w:sz w:val="21"/>
                      <w:szCs w:val="21"/>
                    </w:rPr>
                  </w:pPr>
                  <w:r>
                    <w:rPr>
                      <w:sz w:val="21"/>
                      <w:szCs w:val="21"/>
                    </w:rPr>
                    <w:t>生活污水</w:t>
                  </w:r>
                </w:p>
              </w:tc>
              <w:tc>
                <w:tcPr>
                  <w:tcW w:w="865" w:type="dxa"/>
                  <w:tcBorders>
                    <w:tl2br w:val="nil"/>
                    <w:tr2bl w:val="nil"/>
                  </w:tcBorders>
                  <w:vAlign w:val="center"/>
                </w:tcPr>
                <w:p>
                  <w:pPr>
                    <w:widowControl/>
                    <w:adjustRightInd w:val="0"/>
                    <w:snapToGrid w:val="0"/>
                    <w:jc w:val="center"/>
                    <w:rPr>
                      <w:sz w:val="21"/>
                      <w:szCs w:val="21"/>
                    </w:rPr>
                  </w:pPr>
                  <w:r>
                    <w:rPr>
                      <w:sz w:val="21"/>
                      <w:szCs w:val="21"/>
                    </w:rPr>
                    <w:t>COD、</w:t>
                  </w:r>
                </w:p>
                <w:p>
                  <w:pPr>
                    <w:widowControl/>
                    <w:adjustRightInd w:val="0"/>
                    <w:snapToGrid w:val="0"/>
                    <w:jc w:val="center"/>
                    <w:rPr>
                      <w:sz w:val="21"/>
                      <w:szCs w:val="21"/>
                    </w:rPr>
                  </w:pPr>
                  <w:r>
                    <w:rPr>
                      <w:sz w:val="21"/>
                      <w:szCs w:val="21"/>
                    </w:rPr>
                    <w:t>SS</w:t>
                  </w:r>
                </w:p>
                <w:p>
                  <w:pPr>
                    <w:widowControl/>
                    <w:adjustRightInd w:val="0"/>
                    <w:snapToGrid w:val="0"/>
                    <w:jc w:val="center"/>
                    <w:rPr>
                      <w:sz w:val="21"/>
                      <w:szCs w:val="21"/>
                    </w:rPr>
                  </w:pPr>
                  <w:r>
                    <w:rPr>
                      <w:sz w:val="21"/>
                      <w:szCs w:val="21"/>
                    </w:rPr>
                    <w:t>NH</w:t>
                  </w:r>
                  <w:r>
                    <w:rPr>
                      <w:sz w:val="21"/>
                      <w:szCs w:val="21"/>
                      <w:vertAlign w:val="subscript"/>
                    </w:rPr>
                    <w:t>3</w:t>
                  </w:r>
                  <w:r>
                    <w:rPr>
                      <w:sz w:val="21"/>
                      <w:szCs w:val="21"/>
                    </w:rPr>
                    <w:t>-N</w:t>
                  </w:r>
                  <w:r>
                    <w:rPr>
                      <w:rFonts w:hint="eastAsia"/>
                      <w:sz w:val="21"/>
                      <w:szCs w:val="21"/>
                    </w:rPr>
                    <w:t>、TP、</w:t>
                  </w:r>
                </w:p>
                <w:p>
                  <w:pPr>
                    <w:widowControl/>
                    <w:adjustRightInd w:val="0"/>
                    <w:snapToGrid w:val="0"/>
                    <w:jc w:val="center"/>
                    <w:rPr>
                      <w:sz w:val="21"/>
                      <w:szCs w:val="21"/>
                    </w:rPr>
                  </w:pPr>
                  <w:r>
                    <w:rPr>
                      <w:rFonts w:hint="eastAsia"/>
                      <w:sz w:val="21"/>
                      <w:szCs w:val="21"/>
                    </w:rPr>
                    <w:t>TN</w:t>
                  </w:r>
                </w:p>
              </w:tc>
              <w:tc>
                <w:tcPr>
                  <w:tcW w:w="704" w:type="dxa"/>
                  <w:tcBorders>
                    <w:tl2br w:val="nil"/>
                    <w:tr2bl w:val="nil"/>
                  </w:tcBorders>
                  <w:vAlign w:val="center"/>
                </w:tcPr>
                <w:p>
                  <w:pPr>
                    <w:widowControl/>
                    <w:adjustRightInd w:val="0"/>
                    <w:snapToGrid w:val="0"/>
                    <w:jc w:val="center"/>
                    <w:rPr>
                      <w:sz w:val="21"/>
                      <w:szCs w:val="21"/>
                    </w:rPr>
                  </w:pPr>
                  <w:r>
                    <w:rPr>
                      <w:sz w:val="21"/>
                      <w:szCs w:val="21"/>
                    </w:rPr>
                    <w:t>连续排放流量稳定</w:t>
                  </w:r>
                </w:p>
              </w:tc>
              <w:tc>
                <w:tcPr>
                  <w:tcW w:w="657" w:type="dxa"/>
                  <w:tcBorders>
                    <w:tl2br w:val="nil"/>
                    <w:tr2bl w:val="nil"/>
                  </w:tcBorders>
                  <w:vAlign w:val="center"/>
                </w:tcPr>
                <w:p>
                  <w:pPr>
                    <w:adjustRightInd w:val="0"/>
                    <w:snapToGrid w:val="0"/>
                    <w:jc w:val="center"/>
                    <w:rPr>
                      <w:sz w:val="21"/>
                      <w:szCs w:val="21"/>
                    </w:rPr>
                  </w:pPr>
                  <w:r>
                    <w:rPr>
                      <w:sz w:val="21"/>
                      <w:szCs w:val="21"/>
                    </w:rPr>
                    <w:t>TW001</w:t>
                  </w:r>
                </w:p>
              </w:tc>
              <w:tc>
                <w:tcPr>
                  <w:tcW w:w="681" w:type="dxa"/>
                  <w:tcBorders>
                    <w:tl2br w:val="nil"/>
                    <w:tr2bl w:val="nil"/>
                  </w:tcBorders>
                  <w:vAlign w:val="center"/>
                </w:tcPr>
                <w:p>
                  <w:pPr>
                    <w:adjustRightInd w:val="0"/>
                    <w:snapToGrid w:val="0"/>
                    <w:jc w:val="center"/>
                    <w:rPr>
                      <w:sz w:val="21"/>
                      <w:szCs w:val="21"/>
                    </w:rPr>
                  </w:pPr>
                  <w:r>
                    <w:rPr>
                      <w:sz w:val="21"/>
                      <w:szCs w:val="21"/>
                    </w:rPr>
                    <w:t>化粪池</w:t>
                  </w:r>
                </w:p>
              </w:tc>
              <w:tc>
                <w:tcPr>
                  <w:tcW w:w="1419" w:type="dxa"/>
                  <w:tcBorders>
                    <w:tl2br w:val="nil"/>
                    <w:tr2bl w:val="nil"/>
                  </w:tcBorders>
                  <w:vAlign w:val="center"/>
                </w:tcPr>
                <w:p>
                  <w:pPr>
                    <w:adjustRightInd w:val="0"/>
                    <w:snapToGrid w:val="0"/>
                    <w:jc w:val="center"/>
                    <w:rPr>
                      <w:sz w:val="21"/>
                      <w:szCs w:val="21"/>
                    </w:rPr>
                  </w:pPr>
                  <w:r>
                    <w:rPr>
                      <w:rFonts w:hint="eastAsia"/>
                      <w:bCs/>
                      <w:sz w:val="21"/>
                      <w:szCs w:val="21"/>
                    </w:rPr>
                    <w:t>前期经化粪池处理后，定期清运，待管网接通后，通入大块镇</w:t>
                  </w:r>
                  <w:r>
                    <w:rPr>
                      <w:bCs/>
                      <w:sz w:val="21"/>
                      <w:szCs w:val="21"/>
                    </w:rPr>
                    <w:t>污水处理厂进一步处理</w:t>
                  </w:r>
                </w:p>
              </w:tc>
              <w:tc>
                <w:tcPr>
                  <w:tcW w:w="670" w:type="dxa"/>
                  <w:tcBorders>
                    <w:tl2br w:val="nil"/>
                    <w:tr2bl w:val="nil"/>
                  </w:tcBorders>
                  <w:vAlign w:val="center"/>
                </w:tcPr>
                <w:p>
                  <w:pPr>
                    <w:widowControl/>
                    <w:adjustRightInd w:val="0"/>
                    <w:snapToGrid w:val="0"/>
                    <w:jc w:val="center"/>
                    <w:rPr>
                      <w:sz w:val="21"/>
                      <w:szCs w:val="21"/>
                    </w:rPr>
                  </w:pPr>
                  <w:r>
                    <w:rPr>
                      <w:sz w:val="21"/>
                      <w:szCs w:val="21"/>
                    </w:rPr>
                    <w:t>DW001</w:t>
                  </w:r>
                </w:p>
              </w:tc>
              <w:tc>
                <w:tcPr>
                  <w:tcW w:w="784" w:type="dxa"/>
                  <w:tcBorders>
                    <w:tl2br w:val="nil"/>
                    <w:tr2bl w:val="nil"/>
                  </w:tcBorders>
                  <w:vAlign w:val="center"/>
                </w:tcPr>
                <w:p>
                  <w:pPr>
                    <w:widowControl/>
                    <w:adjustRightInd w:val="0"/>
                    <w:snapToGrid w:val="0"/>
                    <w:jc w:val="center"/>
                    <w:rPr>
                      <w:sz w:val="21"/>
                      <w:szCs w:val="21"/>
                    </w:rPr>
                  </w:pPr>
                  <w:r>
                    <w:rPr>
                      <w:sz w:val="21"/>
                      <w:szCs w:val="21"/>
                    </w:rPr>
                    <w:t>是</w:t>
                  </w:r>
                </w:p>
              </w:tc>
              <w:tc>
                <w:tcPr>
                  <w:tcW w:w="1459" w:type="dxa"/>
                  <w:tcBorders>
                    <w:tl2br w:val="nil"/>
                    <w:tr2bl w:val="nil"/>
                  </w:tcBorders>
                  <w:vAlign w:val="center"/>
                </w:tcPr>
                <w:p>
                  <w:pPr>
                    <w:widowControl/>
                    <w:adjustRightInd w:val="0"/>
                    <w:snapToGrid w:val="0"/>
                    <w:rPr>
                      <w:sz w:val="21"/>
                      <w:szCs w:val="21"/>
                    </w:rPr>
                  </w:pPr>
                  <w:r>
                    <w:rPr>
                      <w:sz w:val="21"/>
                      <w:szCs w:val="21"/>
                    </w:rPr>
                    <w:t>■企业总排</w:t>
                  </w:r>
                </w:p>
                <w:p>
                  <w:pPr>
                    <w:widowControl/>
                    <w:adjustRightInd w:val="0"/>
                    <w:snapToGrid w:val="0"/>
                    <w:rPr>
                      <w:sz w:val="21"/>
                      <w:szCs w:val="21"/>
                    </w:rPr>
                  </w:pPr>
                  <w:r>
                    <w:rPr>
                      <w:color w:val="000000"/>
                      <w:sz w:val="24"/>
                      <w:szCs w:val="24"/>
                    </w:rPr>
                    <w:t>□</w:t>
                  </w:r>
                  <w:r>
                    <w:rPr>
                      <w:sz w:val="21"/>
                      <w:szCs w:val="21"/>
                    </w:rPr>
                    <w:t>雨水排放</w:t>
                  </w:r>
                </w:p>
                <w:p>
                  <w:pPr>
                    <w:widowControl/>
                    <w:adjustRightInd w:val="0"/>
                    <w:snapToGrid w:val="0"/>
                    <w:rPr>
                      <w:sz w:val="21"/>
                      <w:szCs w:val="21"/>
                    </w:rPr>
                  </w:pPr>
                  <w:r>
                    <w:rPr>
                      <w:color w:val="000000"/>
                      <w:sz w:val="24"/>
                      <w:szCs w:val="24"/>
                    </w:rPr>
                    <w:t>□</w:t>
                  </w:r>
                  <w:r>
                    <w:rPr>
                      <w:sz w:val="21"/>
                      <w:szCs w:val="21"/>
                    </w:rPr>
                    <w:t>清静下水排放</w:t>
                  </w:r>
                </w:p>
                <w:p>
                  <w:pPr>
                    <w:widowControl/>
                    <w:adjustRightInd w:val="0"/>
                    <w:snapToGrid w:val="0"/>
                    <w:rPr>
                      <w:sz w:val="21"/>
                      <w:szCs w:val="21"/>
                    </w:rPr>
                  </w:pPr>
                  <w:r>
                    <w:rPr>
                      <w:color w:val="000000"/>
                      <w:sz w:val="24"/>
                      <w:szCs w:val="24"/>
                    </w:rPr>
                    <w:t>□</w:t>
                  </w:r>
                  <w:r>
                    <w:rPr>
                      <w:sz w:val="21"/>
                      <w:szCs w:val="21"/>
                    </w:rPr>
                    <w:t>温排水排放</w:t>
                  </w:r>
                </w:p>
                <w:p>
                  <w:pPr>
                    <w:widowControl/>
                    <w:adjustRightInd w:val="0"/>
                    <w:snapToGrid w:val="0"/>
                    <w:rPr>
                      <w:sz w:val="21"/>
                      <w:szCs w:val="21"/>
                    </w:rPr>
                  </w:pPr>
                  <w:r>
                    <w:rPr>
                      <w:color w:val="000000"/>
                      <w:sz w:val="24"/>
                      <w:szCs w:val="24"/>
                    </w:rPr>
                    <w:t>□</w:t>
                  </w:r>
                  <w:r>
                    <w:rPr>
                      <w:sz w:val="21"/>
                      <w:szCs w:val="21"/>
                    </w:rPr>
                    <w:t>车间或车间处理设施排放口</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ascii="宋体" w:hAnsi="宋体"/>
                <w:sz w:val="24"/>
                <w:szCs w:val="24"/>
              </w:rPr>
            </w:pPr>
            <w:r>
              <w:rPr>
                <w:rFonts w:hint="eastAsia" w:ascii="宋体" w:hAnsi="宋体"/>
                <w:sz w:val="24"/>
                <w:szCs w:val="24"/>
              </w:rPr>
              <w:t>本项目废水间接排放口基本情况见</w:t>
            </w:r>
            <w:r>
              <w:rPr>
                <w:rFonts w:hint="eastAsia"/>
                <w:sz w:val="24"/>
                <w:szCs w:val="24"/>
              </w:rPr>
              <w:t>下表</w:t>
            </w:r>
            <w:r>
              <w:rPr>
                <w:sz w:val="24"/>
                <w:szCs w:val="24"/>
              </w:rPr>
              <w:t>。</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lang w:val="en-US" w:eastAsia="zh-CN"/>
              </w:rPr>
              <w:t>4-8</w:t>
            </w:r>
            <w:r>
              <w:rPr>
                <w:rFonts w:hint="eastAsia" w:ascii="Times New Roman" w:hAnsi="Times New Roman" w:eastAsia="宋体" w:cs="Times New Roman"/>
                <w:b/>
                <w:color w:val="000000"/>
                <w:sz w:val="24"/>
                <w:szCs w:val="24"/>
              </w:rPr>
              <w:t xml:space="preserve">            </w:t>
            </w:r>
            <w:r>
              <w:rPr>
                <w:rFonts w:ascii="Times New Roman" w:hAnsi="Times New Roman" w:eastAsia="宋体" w:cs="Times New Roman"/>
                <w:b/>
                <w:color w:val="000000"/>
                <w:sz w:val="24"/>
                <w:szCs w:val="24"/>
              </w:rPr>
              <w:t>废水间接排放口基本情况表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861"/>
              <w:gridCol w:w="1177"/>
              <w:gridCol w:w="1084"/>
              <w:gridCol w:w="777"/>
              <w:gridCol w:w="421"/>
              <w:gridCol w:w="421"/>
              <w:gridCol w:w="421"/>
              <w:gridCol w:w="421"/>
              <w:gridCol w:w="794"/>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restart"/>
                  <w:tcBorders>
                    <w:tl2br w:val="nil"/>
                    <w:tr2bl w:val="nil"/>
                  </w:tcBorders>
                  <w:vAlign w:val="center"/>
                </w:tcPr>
                <w:p>
                  <w:pPr>
                    <w:adjustRightInd w:val="0"/>
                    <w:snapToGrid w:val="0"/>
                    <w:jc w:val="center"/>
                    <w:rPr>
                      <w:b/>
                      <w:sz w:val="21"/>
                      <w:szCs w:val="21"/>
                    </w:rPr>
                  </w:pPr>
                  <w:r>
                    <w:rPr>
                      <w:b/>
                      <w:sz w:val="21"/>
                      <w:szCs w:val="21"/>
                    </w:rPr>
                    <w:t>序号</w:t>
                  </w:r>
                </w:p>
              </w:tc>
              <w:tc>
                <w:tcPr>
                  <w:tcW w:w="858" w:type="dxa"/>
                  <w:vMerge w:val="restart"/>
                  <w:tcBorders>
                    <w:tl2br w:val="nil"/>
                    <w:tr2bl w:val="nil"/>
                  </w:tcBorders>
                  <w:vAlign w:val="center"/>
                </w:tcPr>
                <w:p>
                  <w:pPr>
                    <w:adjustRightInd w:val="0"/>
                    <w:snapToGrid w:val="0"/>
                    <w:jc w:val="center"/>
                    <w:rPr>
                      <w:b/>
                      <w:sz w:val="21"/>
                      <w:szCs w:val="21"/>
                    </w:rPr>
                  </w:pPr>
                  <w:r>
                    <w:rPr>
                      <w:b/>
                      <w:sz w:val="21"/>
                      <w:szCs w:val="21"/>
                    </w:rPr>
                    <w:t>排放口编号</w:t>
                  </w:r>
                </w:p>
              </w:tc>
              <w:tc>
                <w:tcPr>
                  <w:tcW w:w="2251" w:type="dxa"/>
                  <w:gridSpan w:val="2"/>
                  <w:tcBorders>
                    <w:tl2br w:val="nil"/>
                    <w:tr2bl w:val="nil"/>
                  </w:tcBorders>
                  <w:vAlign w:val="center"/>
                </w:tcPr>
                <w:p>
                  <w:pPr>
                    <w:adjustRightInd w:val="0"/>
                    <w:snapToGrid w:val="0"/>
                    <w:jc w:val="center"/>
                    <w:rPr>
                      <w:b/>
                      <w:sz w:val="21"/>
                      <w:szCs w:val="21"/>
                    </w:rPr>
                  </w:pPr>
                  <w:r>
                    <w:rPr>
                      <w:b/>
                      <w:sz w:val="21"/>
                      <w:szCs w:val="21"/>
                    </w:rPr>
                    <w:t>排放口地理坐标</w:t>
                  </w:r>
                </w:p>
              </w:tc>
              <w:tc>
                <w:tcPr>
                  <w:tcW w:w="774" w:type="dxa"/>
                  <w:vMerge w:val="restart"/>
                  <w:tcBorders>
                    <w:tl2br w:val="nil"/>
                    <w:tr2bl w:val="nil"/>
                  </w:tcBorders>
                  <w:vAlign w:val="center"/>
                </w:tcPr>
                <w:p>
                  <w:pPr>
                    <w:adjustRightInd w:val="0"/>
                    <w:snapToGrid w:val="0"/>
                    <w:jc w:val="center"/>
                    <w:rPr>
                      <w:b/>
                      <w:sz w:val="21"/>
                      <w:szCs w:val="21"/>
                    </w:rPr>
                  </w:pPr>
                  <w:r>
                    <w:rPr>
                      <w:b/>
                      <w:sz w:val="21"/>
                      <w:szCs w:val="21"/>
                    </w:rPr>
                    <w:t>废水排放量（万t/a）</w:t>
                  </w:r>
                </w:p>
              </w:tc>
              <w:tc>
                <w:tcPr>
                  <w:tcW w:w="420" w:type="dxa"/>
                  <w:vMerge w:val="restart"/>
                  <w:tcBorders>
                    <w:tl2br w:val="nil"/>
                    <w:tr2bl w:val="nil"/>
                  </w:tcBorders>
                  <w:vAlign w:val="center"/>
                </w:tcPr>
                <w:p>
                  <w:pPr>
                    <w:adjustRightInd w:val="0"/>
                    <w:snapToGrid w:val="0"/>
                    <w:jc w:val="center"/>
                    <w:rPr>
                      <w:b/>
                      <w:sz w:val="21"/>
                      <w:szCs w:val="21"/>
                    </w:rPr>
                  </w:pPr>
                  <w:r>
                    <w:rPr>
                      <w:b/>
                      <w:sz w:val="21"/>
                      <w:szCs w:val="21"/>
                    </w:rPr>
                    <w:t>排放去向</w:t>
                  </w:r>
                </w:p>
              </w:tc>
              <w:tc>
                <w:tcPr>
                  <w:tcW w:w="420" w:type="dxa"/>
                  <w:vMerge w:val="restart"/>
                  <w:tcBorders>
                    <w:tl2br w:val="nil"/>
                    <w:tr2bl w:val="nil"/>
                  </w:tcBorders>
                  <w:vAlign w:val="center"/>
                </w:tcPr>
                <w:p>
                  <w:pPr>
                    <w:adjustRightInd w:val="0"/>
                    <w:snapToGrid w:val="0"/>
                    <w:jc w:val="center"/>
                    <w:rPr>
                      <w:b/>
                      <w:sz w:val="21"/>
                      <w:szCs w:val="21"/>
                    </w:rPr>
                  </w:pPr>
                  <w:r>
                    <w:rPr>
                      <w:b/>
                      <w:sz w:val="21"/>
                      <w:szCs w:val="21"/>
                    </w:rPr>
                    <w:t>排放规律</w:t>
                  </w:r>
                </w:p>
              </w:tc>
              <w:tc>
                <w:tcPr>
                  <w:tcW w:w="420" w:type="dxa"/>
                  <w:vMerge w:val="restart"/>
                  <w:tcBorders>
                    <w:tl2br w:val="nil"/>
                    <w:tr2bl w:val="nil"/>
                  </w:tcBorders>
                  <w:vAlign w:val="center"/>
                </w:tcPr>
                <w:p>
                  <w:pPr>
                    <w:adjustRightInd w:val="0"/>
                    <w:snapToGrid w:val="0"/>
                    <w:jc w:val="center"/>
                    <w:rPr>
                      <w:b/>
                      <w:sz w:val="21"/>
                      <w:szCs w:val="21"/>
                    </w:rPr>
                  </w:pPr>
                  <w:r>
                    <w:rPr>
                      <w:b/>
                      <w:sz w:val="21"/>
                      <w:szCs w:val="21"/>
                    </w:rPr>
                    <w:t>间歇排放时段</w:t>
                  </w:r>
                </w:p>
              </w:tc>
              <w:tc>
                <w:tcPr>
                  <w:tcW w:w="2296" w:type="dxa"/>
                  <w:gridSpan w:val="3"/>
                  <w:vMerge w:val="restart"/>
                  <w:tcBorders>
                    <w:tl2br w:val="nil"/>
                    <w:tr2bl w:val="nil"/>
                  </w:tcBorders>
                  <w:vAlign w:val="center"/>
                </w:tcPr>
                <w:p>
                  <w:pPr>
                    <w:adjustRightInd w:val="0"/>
                    <w:snapToGrid w:val="0"/>
                    <w:jc w:val="center"/>
                    <w:rPr>
                      <w:b/>
                      <w:sz w:val="21"/>
                      <w:szCs w:val="21"/>
                    </w:rPr>
                  </w:pPr>
                  <w:r>
                    <w:rPr>
                      <w:b/>
                      <w:sz w:val="21"/>
                      <w:szCs w:val="21"/>
                    </w:rPr>
                    <w:t>收纳污水处理厂信息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tcBorders>
                    <w:tl2br w:val="nil"/>
                    <w:tr2bl w:val="nil"/>
                  </w:tcBorders>
                  <w:vAlign w:val="center"/>
                </w:tcPr>
                <w:p>
                  <w:pPr>
                    <w:widowControl/>
                    <w:adjustRightInd w:val="0"/>
                    <w:snapToGrid w:val="0"/>
                    <w:jc w:val="left"/>
                    <w:rPr>
                      <w:b/>
                      <w:sz w:val="21"/>
                      <w:szCs w:val="21"/>
                    </w:rPr>
                  </w:pPr>
                </w:p>
              </w:tc>
              <w:tc>
                <w:tcPr>
                  <w:tcW w:w="858" w:type="dxa"/>
                  <w:vMerge w:val="continue"/>
                  <w:tcBorders>
                    <w:tl2br w:val="nil"/>
                    <w:tr2bl w:val="nil"/>
                  </w:tcBorders>
                  <w:vAlign w:val="center"/>
                </w:tcPr>
                <w:p>
                  <w:pPr>
                    <w:widowControl/>
                    <w:adjustRightInd w:val="0"/>
                    <w:snapToGrid w:val="0"/>
                    <w:jc w:val="left"/>
                    <w:rPr>
                      <w:b/>
                      <w:sz w:val="21"/>
                      <w:szCs w:val="21"/>
                    </w:rPr>
                  </w:pPr>
                </w:p>
              </w:tc>
              <w:tc>
                <w:tcPr>
                  <w:tcW w:w="1172" w:type="dxa"/>
                  <w:vMerge w:val="restart"/>
                  <w:tcBorders>
                    <w:tl2br w:val="nil"/>
                    <w:tr2bl w:val="nil"/>
                  </w:tcBorders>
                  <w:vAlign w:val="center"/>
                </w:tcPr>
                <w:p>
                  <w:pPr>
                    <w:adjustRightInd w:val="0"/>
                    <w:snapToGrid w:val="0"/>
                    <w:jc w:val="center"/>
                    <w:rPr>
                      <w:b/>
                      <w:sz w:val="21"/>
                      <w:szCs w:val="21"/>
                    </w:rPr>
                  </w:pPr>
                  <w:r>
                    <w:rPr>
                      <w:b/>
                      <w:sz w:val="21"/>
                      <w:szCs w:val="21"/>
                    </w:rPr>
                    <w:t>经度</w:t>
                  </w:r>
                </w:p>
              </w:tc>
              <w:tc>
                <w:tcPr>
                  <w:tcW w:w="1079" w:type="dxa"/>
                  <w:vMerge w:val="restart"/>
                  <w:tcBorders>
                    <w:tl2br w:val="nil"/>
                    <w:tr2bl w:val="nil"/>
                  </w:tcBorders>
                  <w:vAlign w:val="center"/>
                </w:tcPr>
                <w:p>
                  <w:pPr>
                    <w:adjustRightInd w:val="0"/>
                    <w:snapToGrid w:val="0"/>
                    <w:jc w:val="center"/>
                    <w:rPr>
                      <w:b/>
                      <w:sz w:val="21"/>
                      <w:szCs w:val="21"/>
                    </w:rPr>
                  </w:pPr>
                  <w:r>
                    <w:rPr>
                      <w:b/>
                      <w:sz w:val="21"/>
                      <w:szCs w:val="21"/>
                    </w:rPr>
                    <w:t>纬度</w:t>
                  </w:r>
                </w:p>
              </w:tc>
              <w:tc>
                <w:tcPr>
                  <w:tcW w:w="774" w:type="dxa"/>
                  <w:vMerge w:val="continue"/>
                  <w:tcBorders>
                    <w:tl2br w:val="nil"/>
                    <w:tr2bl w:val="nil"/>
                  </w:tcBorders>
                  <w:vAlign w:val="center"/>
                </w:tcPr>
                <w:p>
                  <w:pPr>
                    <w:widowControl/>
                    <w:adjustRightInd w:val="0"/>
                    <w:snapToGrid w:val="0"/>
                    <w:jc w:val="left"/>
                    <w:rPr>
                      <w:b/>
                      <w:sz w:val="21"/>
                      <w:szCs w:val="21"/>
                    </w:rPr>
                  </w:pPr>
                </w:p>
              </w:tc>
              <w:tc>
                <w:tcPr>
                  <w:tcW w:w="420" w:type="dxa"/>
                  <w:vMerge w:val="continue"/>
                  <w:tcBorders>
                    <w:tl2br w:val="nil"/>
                    <w:tr2bl w:val="nil"/>
                  </w:tcBorders>
                  <w:vAlign w:val="center"/>
                </w:tcPr>
                <w:p>
                  <w:pPr>
                    <w:widowControl/>
                    <w:adjustRightInd w:val="0"/>
                    <w:snapToGrid w:val="0"/>
                    <w:jc w:val="left"/>
                    <w:rPr>
                      <w:b/>
                      <w:sz w:val="21"/>
                      <w:szCs w:val="21"/>
                    </w:rPr>
                  </w:pPr>
                </w:p>
              </w:tc>
              <w:tc>
                <w:tcPr>
                  <w:tcW w:w="420" w:type="dxa"/>
                  <w:vMerge w:val="continue"/>
                  <w:tcBorders>
                    <w:tl2br w:val="nil"/>
                    <w:tr2bl w:val="nil"/>
                  </w:tcBorders>
                  <w:vAlign w:val="center"/>
                </w:tcPr>
                <w:p>
                  <w:pPr>
                    <w:widowControl/>
                    <w:adjustRightInd w:val="0"/>
                    <w:snapToGrid w:val="0"/>
                    <w:jc w:val="left"/>
                    <w:rPr>
                      <w:b/>
                      <w:sz w:val="21"/>
                      <w:szCs w:val="21"/>
                    </w:rPr>
                  </w:pPr>
                </w:p>
              </w:tc>
              <w:tc>
                <w:tcPr>
                  <w:tcW w:w="420" w:type="dxa"/>
                  <w:vMerge w:val="continue"/>
                  <w:tcBorders>
                    <w:tl2br w:val="nil"/>
                    <w:tr2bl w:val="nil"/>
                  </w:tcBorders>
                  <w:vAlign w:val="center"/>
                </w:tcPr>
                <w:p>
                  <w:pPr>
                    <w:widowControl/>
                    <w:adjustRightInd w:val="0"/>
                    <w:snapToGrid w:val="0"/>
                    <w:jc w:val="left"/>
                    <w:rPr>
                      <w:b/>
                      <w:sz w:val="21"/>
                      <w:szCs w:val="21"/>
                    </w:rPr>
                  </w:pPr>
                </w:p>
              </w:tc>
              <w:tc>
                <w:tcPr>
                  <w:tcW w:w="2296" w:type="dxa"/>
                  <w:gridSpan w:val="3"/>
                  <w:vMerge w:val="continue"/>
                  <w:tcBorders>
                    <w:tl2br w:val="nil"/>
                    <w:tr2bl w:val="nil"/>
                  </w:tcBorders>
                  <w:vAlign w:val="center"/>
                </w:tcPr>
                <w:p>
                  <w:pPr>
                    <w:widowControl/>
                    <w:adjustRightInd w:val="0"/>
                    <w:snapToGrid w:val="0"/>
                    <w:jc w:val="left"/>
                    <w:rPr>
                      <w:b/>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tcBorders>
                    <w:tl2br w:val="nil"/>
                    <w:tr2bl w:val="nil"/>
                  </w:tcBorders>
                  <w:vAlign w:val="center"/>
                </w:tcPr>
                <w:p>
                  <w:pPr>
                    <w:widowControl/>
                    <w:adjustRightInd w:val="0"/>
                    <w:snapToGrid w:val="0"/>
                    <w:jc w:val="left"/>
                    <w:rPr>
                      <w:b/>
                      <w:sz w:val="21"/>
                      <w:szCs w:val="21"/>
                    </w:rPr>
                  </w:pPr>
                </w:p>
              </w:tc>
              <w:tc>
                <w:tcPr>
                  <w:tcW w:w="858" w:type="dxa"/>
                  <w:vMerge w:val="continue"/>
                  <w:tcBorders>
                    <w:tl2br w:val="nil"/>
                    <w:tr2bl w:val="nil"/>
                  </w:tcBorders>
                  <w:vAlign w:val="center"/>
                </w:tcPr>
                <w:p>
                  <w:pPr>
                    <w:widowControl/>
                    <w:adjustRightInd w:val="0"/>
                    <w:snapToGrid w:val="0"/>
                    <w:jc w:val="left"/>
                    <w:rPr>
                      <w:b/>
                      <w:sz w:val="21"/>
                      <w:szCs w:val="21"/>
                    </w:rPr>
                  </w:pPr>
                </w:p>
              </w:tc>
              <w:tc>
                <w:tcPr>
                  <w:tcW w:w="1172" w:type="dxa"/>
                  <w:vMerge w:val="continue"/>
                  <w:tcBorders>
                    <w:tl2br w:val="nil"/>
                    <w:tr2bl w:val="nil"/>
                  </w:tcBorders>
                  <w:vAlign w:val="center"/>
                </w:tcPr>
                <w:p>
                  <w:pPr>
                    <w:widowControl/>
                    <w:adjustRightInd w:val="0"/>
                    <w:snapToGrid w:val="0"/>
                    <w:jc w:val="left"/>
                    <w:rPr>
                      <w:b/>
                      <w:sz w:val="21"/>
                      <w:szCs w:val="21"/>
                    </w:rPr>
                  </w:pPr>
                </w:p>
              </w:tc>
              <w:tc>
                <w:tcPr>
                  <w:tcW w:w="1079" w:type="dxa"/>
                  <w:vMerge w:val="continue"/>
                  <w:tcBorders>
                    <w:tl2br w:val="nil"/>
                    <w:tr2bl w:val="nil"/>
                  </w:tcBorders>
                  <w:vAlign w:val="center"/>
                </w:tcPr>
                <w:p>
                  <w:pPr>
                    <w:widowControl/>
                    <w:adjustRightInd w:val="0"/>
                    <w:snapToGrid w:val="0"/>
                    <w:jc w:val="left"/>
                    <w:rPr>
                      <w:b/>
                      <w:sz w:val="21"/>
                      <w:szCs w:val="21"/>
                    </w:rPr>
                  </w:pPr>
                </w:p>
              </w:tc>
              <w:tc>
                <w:tcPr>
                  <w:tcW w:w="774" w:type="dxa"/>
                  <w:vMerge w:val="continue"/>
                  <w:tcBorders>
                    <w:tl2br w:val="nil"/>
                    <w:tr2bl w:val="nil"/>
                  </w:tcBorders>
                  <w:vAlign w:val="center"/>
                </w:tcPr>
                <w:p>
                  <w:pPr>
                    <w:widowControl/>
                    <w:adjustRightInd w:val="0"/>
                    <w:snapToGrid w:val="0"/>
                    <w:jc w:val="left"/>
                    <w:rPr>
                      <w:b/>
                      <w:sz w:val="21"/>
                      <w:szCs w:val="21"/>
                    </w:rPr>
                  </w:pPr>
                </w:p>
              </w:tc>
              <w:tc>
                <w:tcPr>
                  <w:tcW w:w="420" w:type="dxa"/>
                  <w:vMerge w:val="continue"/>
                  <w:tcBorders>
                    <w:tl2br w:val="nil"/>
                    <w:tr2bl w:val="nil"/>
                  </w:tcBorders>
                  <w:vAlign w:val="center"/>
                </w:tcPr>
                <w:p>
                  <w:pPr>
                    <w:widowControl/>
                    <w:adjustRightInd w:val="0"/>
                    <w:snapToGrid w:val="0"/>
                    <w:jc w:val="left"/>
                    <w:rPr>
                      <w:b/>
                      <w:sz w:val="21"/>
                      <w:szCs w:val="21"/>
                    </w:rPr>
                  </w:pPr>
                </w:p>
              </w:tc>
              <w:tc>
                <w:tcPr>
                  <w:tcW w:w="420" w:type="dxa"/>
                  <w:vMerge w:val="continue"/>
                  <w:tcBorders>
                    <w:tl2br w:val="nil"/>
                    <w:tr2bl w:val="nil"/>
                  </w:tcBorders>
                  <w:vAlign w:val="center"/>
                </w:tcPr>
                <w:p>
                  <w:pPr>
                    <w:widowControl/>
                    <w:adjustRightInd w:val="0"/>
                    <w:snapToGrid w:val="0"/>
                    <w:jc w:val="left"/>
                    <w:rPr>
                      <w:b/>
                      <w:sz w:val="21"/>
                      <w:szCs w:val="21"/>
                    </w:rPr>
                  </w:pPr>
                </w:p>
              </w:tc>
              <w:tc>
                <w:tcPr>
                  <w:tcW w:w="420" w:type="dxa"/>
                  <w:vMerge w:val="continue"/>
                  <w:tcBorders>
                    <w:tl2br w:val="nil"/>
                    <w:tr2bl w:val="nil"/>
                  </w:tcBorders>
                  <w:vAlign w:val="center"/>
                </w:tcPr>
                <w:p>
                  <w:pPr>
                    <w:widowControl/>
                    <w:adjustRightInd w:val="0"/>
                    <w:snapToGrid w:val="0"/>
                    <w:jc w:val="left"/>
                    <w:rPr>
                      <w:b/>
                      <w:sz w:val="21"/>
                      <w:szCs w:val="21"/>
                    </w:rPr>
                  </w:pPr>
                </w:p>
              </w:tc>
              <w:tc>
                <w:tcPr>
                  <w:tcW w:w="420" w:type="dxa"/>
                  <w:tcBorders>
                    <w:tl2br w:val="nil"/>
                    <w:tr2bl w:val="nil"/>
                  </w:tcBorders>
                  <w:vAlign w:val="center"/>
                </w:tcPr>
                <w:p>
                  <w:pPr>
                    <w:adjustRightInd w:val="0"/>
                    <w:snapToGrid w:val="0"/>
                    <w:jc w:val="center"/>
                    <w:rPr>
                      <w:b/>
                      <w:sz w:val="21"/>
                      <w:szCs w:val="21"/>
                    </w:rPr>
                  </w:pPr>
                  <w:r>
                    <w:rPr>
                      <w:b/>
                      <w:sz w:val="21"/>
                      <w:szCs w:val="21"/>
                    </w:rPr>
                    <w:t>名称</w:t>
                  </w:r>
                </w:p>
              </w:tc>
              <w:tc>
                <w:tcPr>
                  <w:tcW w:w="791" w:type="dxa"/>
                  <w:tcBorders>
                    <w:tl2br w:val="nil"/>
                    <w:tr2bl w:val="nil"/>
                  </w:tcBorders>
                  <w:vAlign w:val="center"/>
                </w:tcPr>
                <w:p>
                  <w:pPr>
                    <w:adjustRightInd w:val="0"/>
                    <w:snapToGrid w:val="0"/>
                    <w:jc w:val="center"/>
                    <w:rPr>
                      <w:b/>
                      <w:sz w:val="21"/>
                      <w:szCs w:val="21"/>
                    </w:rPr>
                  </w:pPr>
                  <w:r>
                    <w:rPr>
                      <w:b/>
                      <w:sz w:val="21"/>
                      <w:szCs w:val="21"/>
                    </w:rPr>
                    <w:t>污染物种类</w:t>
                  </w:r>
                </w:p>
              </w:tc>
              <w:tc>
                <w:tcPr>
                  <w:tcW w:w="1085" w:type="dxa"/>
                  <w:tcBorders>
                    <w:tl2br w:val="nil"/>
                    <w:tr2bl w:val="nil"/>
                  </w:tcBorders>
                  <w:vAlign w:val="center"/>
                </w:tcPr>
                <w:p>
                  <w:pPr>
                    <w:adjustRightInd w:val="0"/>
                    <w:snapToGrid w:val="0"/>
                    <w:jc w:val="center"/>
                    <w:rPr>
                      <w:b/>
                      <w:sz w:val="21"/>
                      <w:szCs w:val="21"/>
                    </w:rPr>
                  </w:pPr>
                  <w:r>
                    <w:rPr>
                      <w:b/>
                      <w:sz w:val="21"/>
                      <w:szCs w:val="21"/>
                    </w:rPr>
                    <w:t>国家或地方污染物排放标准限值（mg/L）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restart"/>
                  <w:tcBorders>
                    <w:tl2br w:val="nil"/>
                    <w:tr2bl w:val="nil"/>
                  </w:tcBorders>
                  <w:vAlign w:val="center"/>
                </w:tcPr>
                <w:p>
                  <w:pPr>
                    <w:adjustRightInd w:val="0"/>
                    <w:snapToGrid w:val="0"/>
                    <w:jc w:val="center"/>
                    <w:rPr>
                      <w:sz w:val="21"/>
                      <w:szCs w:val="21"/>
                    </w:rPr>
                  </w:pPr>
                  <w:r>
                    <w:rPr>
                      <w:sz w:val="21"/>
                      <w:szCs w:val="21"/>
                    </w:rPr>
                    <w:t>1</w:t>
                  </w:r>
                </w:p>
              </w:tc>
              <w:tc>
                <w:tcPr>
                  <w:tcW w:w="858" w:type="dxa"/>
                  <w:vMerge w:val="restart"/>
                  <w:tcBorders>
                    <w:tl2br w:val="nil"/>
                    <w:tr2bl w:val="nil"/>
                  </w:tcBorders>
                  <w:vAlign w:val="center"/>
                </w:tcPr>
                <w:p>
                  <w:pPr>
                    <w:adjustRightInd w:val="0"/>
                    <w:snapToGrid w:val="0"/>
                    <w:jc w:val="center"/>
                    <w:rPr>
                      <w:sz w:val="21"/>
                      <w:szCs w:val="21"/>
                    </w:rPr>
                  </w:pPr>
                  <w:r>
                    <w:rPr>
                      <w:sz w:val="21"/>
                      <w:szCs w:val="21"/>
                    </w:rPr>
                    <w:t>DW001</w:t>
                  </w:r>
                </w:p>
              </w:tc>
              <w:tc>
                <w:tcPr>
                  <w:tcW w:w="1172" w:type="dxa"/>
                  <w:vMerge w:val="restart"/>
                  <w:tcBorders>
                    <w:tl2br w:val="nil"/>
                    <w:tr2bl w:val="nil"/>
                  </w:tcBorders>
                  <w:vAlign w:val="center"/>
                </w:tcPr>
                <w:p>
                  <w:pPr>
                    <w:adjustRightInd w:val="0"/>
                    <w:snapToGrid w:val="0"/>
                    <w:jc w:val="center"/>
                    <w:rPr>
                      <w:sz w:val="21"/>
                      <w:szCs w:val="21"/>
                    </w:rPr>
                  </w:pPr>
                  <w:r>
                    <w:rPr>
                      <w:rFonts w:hint="eastAsia"/>
                      <w:sz w:val="21"/>
                      <w:szCs w:val="21"/>
                    </w:rPr>
                    <w:t>113.8</w:t>
                  </w:r>
                  <w:r>
                    <w:rPr>
                      <w:rFonts w:hint="eastAsia"/>
                      <w:sz w:val="21"/>
                      <w:szCs w:val="21"/>
                      <w:lang w:val="en-US" w:eastAsia="zh-CN"/>
                    </w:rPr>
                    <w:t>4806</w:t>
                  </w:r>
                  <w:r>
                    <w:rPr>
                      <w:rFonts w:hint="eastAsia"/>
                      <w:sz w:val="21"/>
                      <w:szCs w:val="21"/>
                    </w:rPr>
                    <w:t>2</w:t>
                  </w:r>
                </w:p>
              </w:tc>
              <w:tc>
                <w:tcPr>
                  <w:tcW w:w="1079" w:type="dxa"/>
                  <w:vMerge w:val="restart"/>
                  <w:tcBorders>
                    <w:tl2br w:val="nil"/>
                    <w:tr2bl w:val="nil"/>
                  </w:tcBorders>
                  <w:vAlign w:val="center"/>
                </w:tcPr>
                <w:p>
                  <w:pPr>
                    <w:adjustRightInd w:val="0"/>
                    <w:snapToGrid w:val="0"/>
                    <w:jc w:val="center"/>
                    <w:rPr>
                      <w:rFonts w:hint="default" w:eastAsia="宋体"/>
                      <w:sz w:val="21"/>
                      <w:szCs w:val="21"/>
                      <w:lang w:val="en-US" w:eastAsia="zh-CN"/>
                    </w:rPr>
                  </w:pPr>
                  <w:r>
                    <w:rPr>
                      <w:rFonts w:hint="eastAsia"/>
                      <w:sz w:val="21"/>
                      <w:szCs w:val="21"/>
                    </w:rPr>
                    <w:t>35.36</w:t>
                  </w:r>
                  <w:r>
                    <w:rPr>
                      <w:rFonts w:hint="eastAsia"/>
                      <w:sz w:val="21"/>
                      <w:szCs w:val="21"/>
                      <w:lang w:val="en-US" w:eastAsia="zh-CN"/>
                    </w:rPr>
                    <w:t>467</w:t>
                  </w:r>
                </w:p>
              </w:tc>
              <w:tc>
                <w:tcPr>
                  <w:tcW w:w="774" w:type="dxa"/>
                  <w:vMerge w:val="restart"/>
                  <w:tcBorders>
                    <w:tl2br w:val="nil"/>
                    <w:tr2bl w:val="nil"/>
                  </w:tcBorders>
                  <w:vAlign w:val="center"/>
                </w:tcPr>
                <w:p>
                  <w:pPr>
                    <w:adjustRightInd w:val="0"/>
                    <w:snapToGrid w:val="0"/>
                    <w:jc w:val="center"/>
                    <w:rPr>
                      <w:rFonts w:hint="default" w:eastAsia="宋体"/>
                      <w:sz w:val="21"/>
                      <w:szCs w:val="21"/>
                      <w:lang w:val="en-US" w:eastAsia="zh-CN"/>
                    </w:rPr>
                  </w:pPr>
                  <w:r>
                    <w:rPr>
                      <w:rFonts w:hint="eastAsia"/>
                      <w:sz w:val="21"/>
                      <w:szCs w:val="21"/>
                    </w:rPr>
                    <w:t>0.00</w:t>
                  </w:r>
                  <w:r>
                    <w:rPr>
                      <w:rFonts w:hint="eastAsia"/>
                      <w:sz w:val="21"/>
                      <w:szCs w:val="21"/>
                      <w:lang w:val="en-US" w:eastAsia="zh-CN"/>
                    </w:rPr>
                    <w:t>36</w:t>
                  </w:r>
                </w:p>
              </w:tc>
              <w:tc>
                <w:tcPr>
                  <w:tcW w:w="420" w:type="dxa"/>
                  <w:vMerge w:val="restart"/>
                  <w:tcBorders>
                    <w:tl2br w:val="nil"/>
                    <w:tr2bl w:val="nil"/>
                  </w:tcBorders>
                  <w:vAlign w:val="center"/>
                </w:tcPr>
                <w:p>
                  <w:pPr>
                    <w:adjustRightInd w:val="0"/>
                    <w:snapToGrid w:val="0"/>
                    <w:jc w:val="center"/>
                    <w:rPr>
                      <w:sz w:val="21"/>
                      <w:szCs w:val="21"/>
                    </w:rPr>
                  </w:pPr>
                  <w:r>
                    <w:rPr>
                      <w:rFonts w:hint="eastAsia"/>
                      <w:bCs/>
                      <w:sz w:val="21"/>
                      <w:szCs w:val="21"/>
                    </w:rPr>
                    <w:t>大块镇污水处理厂</w:t>
                  </w:r>
                </w:p>
              </w:tc>
              <w:tc>
                <w:tcPr>
                  <w:tcW w:w="420" w:type="dxa"/>
                  <w:vMerge w:val="restart"/>
                  <w:tcBorders>
                    <w:tl2br w:val="nil"/>
                    <w:tr2bl w:val="nil"/>
                  </w:tcBorders>
                  <w:vAlign w:val="center"/>
                </w:tcPr>
                <w:p>
                  <w:pPr>
                    <w:adjustRightInd w:val="0"/>
                    <w:snapToGrid w:val="0"/>
                    <w:jc w:val="center"/>
                    <w:rPr>
                      <w:sz w:val="21"/>
                      <w:szCs w:val="21"/>
                    </w:rPr>
                  </w:pPr>
                  <w:r>
                    <w:rPr>
                      <w:sz w:val="21"/>
                      <w:szCs w:val="21"/>
                    </w:rPr>
                    <w:t>连续排放流量稳定</w:t>
                  </w:r>
                </w:p>
              </w:tc>
              <w:tc>
                <w:tcPr>
                  <w:tcW w:w="420" w:type="dxa"/>
                  <w:vMerge w:val="restart"/>
                  <w:tcBorders>
                    <w:tl2br w:val="nil"/>
                    <w:tr2bl w:val="nil"/>
                  </w:tcBorders>
                  <w:vAlign w:val="center"/>
                </w:tcPr>
                <w:p>
                  <w:pPr>
                    <w:adjustRightInd w:val="0"/>
                    <w:snapToGrid w:val="0"/>
                    <w:jc w:val="center"/>
                    <w:rPr>
                      <w:sz w:val="21"/>
                      <w:szCs w:val="21"/>
                    </w:rPr>
                  </w:pPr>
                  <w:r>
                    <w:rPr>
                      <w:sz w:val="21"/>
                      <w:szCs w:val="21"/>
                    </w:rPr>
                    <w:t>/</w:t>
                  </w:r>
                </w:p>
              </w:tc>
              <w:tc>
                <w:tcPr>
                  <w:tcW w:w="420" w:type="dxa"/>
                  <w:vMerge w:val="restart"/>
                  <w:tcBorders>
                    <w:tl2br w:val="nil"/>
                    <w:tr2bl w:val="nil"/>
                  </w:tcBorders>
                  <w:vAlign w:val="center"/>
                </w:tcPr>
                <w:p>
                  <w:pPr>
                    <w:adjustRightInd w:val="0"/>
                    <w:snapToGrid w:val="0"/>
                    <w:jc w:val="center"/>
                    <w:rPr>
                      <w:sz w:val="21"/>
                      <w:szCs w:val="21"/>
                    </w:rPr>
                  </w:pPr>
                  <w:r>
                    <w:rPr>
                      <w:rFonts w:hint="eastAsia"/>
                      <w:bCs/>
                      <w:sz w:val="21"/>
                      <w:szCs w:val="21"/>
                    </w:rPr>
                    <w:t>大块镇污水处理厂</w:t>
                  </w:r>
                </w:p>
              </w:tc>
              <w:tc>
                <w:tcPr>
                  <w:tcW w:w="791" w:type="dxa"/>
                  <w:tcBorders>
                    <w:tl2br w:val="nil"/>
                    <w:tr2bl w:val="nil"/>
                  </w:tcBorders>
                  <w:vAlign w:val="center"/>
                </w:tcPr>
                <w:p>
                  <w:pPr>
                    <w:adjustRightInd w:val="0"/>
                    <w:snapToGrid w:val="0"/>
                    <w:jc w:val="center"/>
                    <w:rPr>
                      <w:sz w:val="21"/>
                      <w:szCs w:val="21"/>
                    </w:rPr>
                  </w:pPr>
                  <w:r>
                    <w:rPr>
                      <w:sz w:val="21"/>
                      <w:szCs w:val="21"/>
                    </w:rPr>
                    <w:t>COD</w:t>
                  </w:r>
                </w:p>
              </w:tc>
              <w:tc>
                <w:tcPr>
                  <w:tcW w:w="1085" w:type="dxa"/>
                  <w:tcBorders>
                    <w:tl2br w:val="nil"/>
                    <w:tr2bl w:val="nil"/>
                  </w:tcBorders>
                  <w:vAlign w:val="center"/>
                </w:tcPr>
                <w:p>
                  <w:pPr>
                    <w:adjustRightInd w:val="0"/>
                    <w:snapToGrid w:val="0"/>
                    <w:jc w:val="center"/>
                    <w:rPr>
                      <w:sz w:val="21"/>
                      <w:szCs w:val="21"/>
                    </w:rPr>
                  </w:pPr>
                  <w:r>
                    <w:rPr>
                      <w:rFonts w:hint="eastAsia"/>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tcBorders>
                    <w:tl2br w:val="nil"/>
                    <w:tr2bl w:val="nil"/>
                  </w:tcBorders>
                  <w:vAlign w:val="center"/>
                </w:tcPr>
                <w:p>
                  <w:pPr>
                    <w:widowControl/>
                    <w:adjustRightInd w:val="0"/>
                    <w:snapToGrid w:val="0"/>
                    <w:jc w:val="left"/>
                    <w:rPr>
                      <w:sz w:val="21"/>
                      <w:szCs w:val="21"/>
                    </w:rPr>
                  </w:pPr>
                </w:p>
              </w:tc>
              <w:tc>
                <w:tcPr>
                  <w:tcW w:w="858" w:type="dxa"/>
                  <w:vMerge w:val="continue"/>
                  <w:tcBorders>
                    <w:tl2br w:val="nil"/>
                    <w:tr2bl w:val="nil"/>
                  </w:tcBorders>
                  <w:vAlign w:val="center"/>
                </w:tcPr>
                <w:p>
                  <w:pPr>
                    <w:widowControl/>
                    <w:adjustRightInd w:val="0"/>
                    <w:snapToGrid w:val="0"/>
                    <w:jc w:val="left"/>
                    <w:rPr>
                      <w:sz w:val="21"/>
                      <w:szCs w:val="21"/>
                    </w:rPr>
                  </w:pPr>
                </w:p>
              </w:tc>
              <w:tc>
                <w:tcPr>
                  <w:tcW w:w="1172" w:type="dxa"/>
                  <w:vMerge w:val="continue"/>
                  <w:tcBorders>
                    <w:tl2br w:val="nil"/>
                    <w:tr2bl w:val="nil"/>
                  </w:tcBorders>
                  <w:vAlign w:val="center"/>
                </w:tcPr>
                <w:p>
                  <w:pPr>
                    <w:widowControl/>
                    <w:adjustRightInd w:val="0"/>
                    <w:snapToGrid w:val="0"/>
                    <w:jc w:val="left"/>
                    <w:rPr>
                      <w:sz w:val="21"/>
                      <w:szCs w:val="21"/>
                    </w:rPr>
                  </w:pPr>
                </w:p>
              </w:tc>
              <w:tc>
                <w:tcPr>
                  <w:tcW w:w="1079" w:type="dxa"/>
                  <w:vMerge w:val="continue"/>
                  <w:tcBorders>
                    <w:tl2br w:val="nil"/>
                    <w:tr2bl w:val="nil"/>
                  </w:tcBorders>
                  <w:vAlign w:val="center"/>
                </w:tcPr>
                <w:p>
                  <w:pPr>
                    <w:widowControl/>
                    <w:adjustRightInd w:val="0"/>
                    <w:snapToGrid w:val="0"/>
                    <w:jc w:val="left"/>
                    <w:rPr>
                      <w:sz w:val="21"/>
                      <w:szCs w:val="21"/>
                    </w:rPr>
                  </w:pPr>
                </w:p>
              </w:tc>
              <w:tc>
                <w:tcPr>
                  <w:tcW w:w="774"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791" w:type="dxa"/>
                  <w:tcBorders>
                    <w:tl2br w:val="nil"/>
                    <w:tr2bl w:val="nil"/>
                  </w:tcBorders>
                  <w:vAlign w:val="center"/>
                </w:tcPr>
                <w:p>
                  <w:pPr>
                    <w:adjustRightInd w:val="0"/>
                    <w:snapToGrid w:val="0"/>
                    <w:jc w:val="center"/>
                    <w:rPr>
                      <w:sz w:val="21"/>
                      <w:szCs w:val="21"/>
                    </w:rPr>
                  </w:pPr>
                  <w:r>
                    <w:rPr>
                      <w:sz w:val="21"/>
                      <w:szCs w:val="21"/>
                    </w:rPr>
                    <w:t>NH</w:t>
                  </w:r>
                  <w:r>
                    <w:rPr>
                      <w:sz w:val="21"/>
                      <w:szCs w:val="21"/>
                      <w:vertAlign w:val="subscript"/>
                    </w:rPr>
                    <w:t>3</w:t>
                  </w:r>
                  <w:r>
                    <w:rPr>
                      <w:sz w:val="21"/>
                      <w:szCs w:val="21"/>
                    </w:rPr>
                    <w:t>-N</w:t>
                  </w:r>
                </w:p>
              </w:tc>
              <w:tc>
                <w:tcPr>
                  <w:tcW w:w="1085" w:type="dxa"/>
                  <w:tcBorders>
                    <w:tl2br w:val="nil"/>
                    <w:tr2bl w:val="nil"/>
                  </w:tcBorders>
                  <w:vAlign w:val="center"/>
                </w:tcPr>
                <w:p>
                  <w:pPr>
                    <w:adjustRightInd w:val="0"/>
                    <w:snapToGrid w:val="0"/>
                    <w:jc w:val="center"/>
                    <w:rPr>
                      <w:sz w:val="21"/>
                      <w:szCs w:val="21"/>
                    </w:rPr>
                  </w:pPr>
                  <w:r>
                    <w:rPr>
                      <w:rFonts w:hint="eastAsia"/>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tcBorders>
                    <w:tl2br w:val="nil"/>
                    <w:tr2bl w:val="nil"/>
                  </w:tcBorders>
                  <w:vAlign w:val="center"/>
                </w:tcPr>
                <w:p>
                  <w:pPr>
                    <w:widowControl/>
                    <w:adjustRightInd w:val="0"/>
                    <w:snapToGrid w:val="0"/>
                    <w:jc w:val="left"/>
                    <w:rPr>
                      <w:sz w:val="21"/>
                      <w:szCs w:val="21"/>
                    </w:rPr>
                  </w:pPr>
                </w:p>
              </w:tc>
              <w:tc>
                <w:tcPr>
                  <w:tcW w:w="858" w:type="dxa"/>
                  <w:vMerge w:val="continue"/>
                  <w:tcBorders>
                    <w:tl2br w:val="nil"/>
                    <w:tr2bl w:val="nil"/>
                  </w:tcBorders>
                  <w:vAlign w:val="center"/>
                </w:tcPr>
                <w:p>
                  <w:pPr>
                    <w:widowControl/>
                    <w:adjustRightInd w:val="0"/>
                    <w:snapToGrid w:val="0"/>
                    <w:jc w:val="left"/>
                    <w:rPr>
                      <w:sz w:val="21"/>
                      <w:szCs w:val="21"/>
                    </w:rPr>
                  </w:pPr>
                </w:p>
              </w:tc>
              <w:tc>
                <w:tcPr>
                  <w:tcW w:w="1172" w:type="dxa"/>
                  <w:vMerge w:val="continue"/>
                  <w:tcBorders>
                    <w:tl2br w:val="nil"/>
                    <w:tr2bl w:val="nil"/>
                  </w:tcBorders>
                  <w:vAlign w:val="center"/>
                </w:tcPr>
                <w:p>
                  <w:pPr>
                    <w:widowControl/>
                    <w:adjustRightInd w:val="0"/>
                    <w:snapToGrid w:val="0"/>
                    <w:jc w:val="left"/>
                    <w:rPr>
                      <w:sz w:val="21"/>
                      <w:szCs w:val="21"/>
                    </w:rPr>
                  </w:pPr>
                </w:p>
              </w:tc>
              <w:tc>
                <w:tcPr>
                  <w:tcW w:w="1079" w:type="dxa"/>
                  <w:vMerge w:val="continue"/>
                  <w:tcBorders>
                    <w:tl2br w:val="nil"/>
                    <w:tr2bl w:val="nil"/>
                  </w:tcBorders>
                  <w:vAlign w:val="center"/>
                </w:tcPr>
                <w:p>
                  <w:pPr>
                    <w:widowControl/>
                    <w:adjustRightInd w:val="0"/>
                    <w:snapToGrid w:val="0"/>
                    <w:jc w:val="left"/>
                    <w:rPr>
                      <w:sz w:val="21"/>
                      <w:szCs w:val="21"/>
                    </w:rPr>
                  </w:pPr>
                </w:p>
              </w:tc>
              <w:tc>
                <w:tcPr>
                  <w:tcW w:w="774"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791" w:type="dxa"/>
                  <w:tcBorders>
                    <w:tl2br w:val="nil"/>
                    <w:tr2bl w:val="nil"/>
                  </w:tcBorders>
                  <w:vAlign w:val="center"/>
                </w:tcPr>
                <w:p>
                  <w:pPr>
                    <w:adjustRightInd w:val="0"/>
                    <w:snapToGrid w:val="0"/>
                    <w:jc w:val="center"/>
                    <w:rPr>
                      <w:sz w:val="21"/>
                      <w:szCs w:val="21"/>
                    </w:rPr>
                  </w:pPr>
                  <w:r>
                    <w:rPr>
                      <w:rFonts w:hint="eastAsia"/>
                      <w:sz w:val="21"/>
                      <w:szCs w:val="21"/>
                    </w:rPr>
                    <w:t>TP</w:t>
                  </w:r>
                </w:p>
              </w:tc>
              <w:tc>
                <w:tcPr>
                  <w:tcW w:w="1085" w:type="dxa"/>
                  <w:tcBorders>
                    <w:tl2br w:val="nil"/>
                    <w:tr2bl w:val="nil"/>
                  </w:tcBorders>
                  <w:vAlign w:val="center"/>
                </w:tcPr>
                <w:p>
                  <w:pPr>
                    <w:adjustRightInd w:val="0"/>
                    <w:snapToGrid w:val="0"/>
                    <w:jc w:val="center"/>
                    <w:rPr>
                      <w:sz w:val="21"/>
                      <w:szCs w:val="21"/>
                    </w:rPr>
                  </w:pPr>
                  <w:r>
                    <w:rPr>
                      <w:rFonts w:hint="eastAsia"/>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0" w:type="dxa"/>
                  <w:vMerge w:val="continue"/>
                  <w:tcBorders>
                    <w:tl2br w:val="nil"/>
                    <w:tr2bl w:val="nil"/>
                  </w:tcBorders>
                  <w:vAlign w:val="center"/>
                </w:tcPr>
                <w:p>
                  <w:pPr>
                    <w:widowControl/>
                    <w:adjustRightInd w:val="0"/>
                    <w:snapToGrid w:val="0"/>
                    <w:jc w:val="left"/>
                    <w:rPr>
                      <w:sz w:val="21"/>
                      <w:szCs w:val="21"/>
                    </w:rPr>
                  </w:pPr>
                </w:p>
              </w:tc>
              <w:tc>
                <w:tcPr>
                  <w:tcW w:w="858" w:type="dxa"/>
                  <w:vMerge w:val="continue"/>
                  <w:tcBorders>
                    <w:tl2br w:val="nil"/>
                    <w:tr2bl w:val="nil"/>
                  </w:tcBorders>
                  <w:vAlign w:val="center"/>
                </w:tcPr>
                <w:p>
                  <w:pPr>
                    <w:widowControl/>
                    <w:adjustRightInd w:val="0"/>
                    <w:snapToGrid w:val="0"/>
                    <w:jc w:val="left"/>
                    <w:rPr>
                      <w:sz w:val="21"/>
                      <w:szCs w:val="21"/>
                    </w:rPr>
                  </w:pPr>
                </w:p>
              </w:tc>
              <w:tc>
                <w:tcPr>
                  <w:tcW w:w="1172" w:type="dxa"/>
                  <w:vMerge w:val="continue"/>
                  <w:tcBorders>
                    <w:tl2br w:val="nil"/>
                    <w:tr2bl w:val="nil"/>
                  </w:tcBorders>
                  <w:vAlign w:val="center"/>
                </w:tcPr>
                <w:p>
                  <w:pPr>
                    <w:widowControl/>
                    <w:adjustRightInd w:val="0"/>
                    <w:snapToGrid w:val="0"/>
                    <w:jc w:val="left"/>
                    <w:rPr>
                      <w:sz w:val="21"/>
                      <w:szCs w:val="21"/>
                    </w:rPr>
                  </w:pPr>
                </w:p>
              </w:tc>
              <w:tc>
                <w:tcPr>
                  <w:tcW w:w="1079" w:type="dxa"/>
                  <w:vMerge w:val="continue"/>
                  <w:tcBorders>
                    <w:tl2br w:val="nil"/>
                    <w:tr2bl w:val="nil"/>
                  </w:tcBorders>
                  <w:vAlign w:val="center"/>
                </w:tcPr>
                <w:p>
                  <w:pPr>
                    <w:widowControl/>
                    <w:adjustRightInd w:val="0"/>
                    <w:snapToGrid w:val="0"/>
                    <w:jc w:val="left"/>
                    <w:rPr>
                      <w:sz w:val="21"/>
                      <w:szCs w:val="21"/>
                    </w:rPr>
                  </w:pPr>
                </w:p>
              </w:tc>
              <w:tc>
                <w:tcPr>
                  <w:tcW w:w="774"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791" w:type="dxa"/>
                  <w:tcBorders>
                    <w:tl2br w:val="nil"/>
                    <w:tr2bl w:val="nil"/>
                  </w:tcBorders>
                  <w:vAlign w:val="center"/>
                </w:tcPr>
                <w:p>
                  <w:pPr>
                    <w:adjustRightInd w:val="0"/>
                    <w:snapToGrid w:val="0"/>
                    <w:jc w:val="center"/>
                    <w:rPr>
                      <w:sz w:val="21"/>
                      <w:szCs w:val="21"/>
                    </w:rPr>
                  </w:pPr>
                  <w:r>
                    <w:rPr>
                      <w:rFonts w:hint="eastAsia"/>
                      <w:sz w:val="21"/>
                      <w:szCs w:val="21"/>
                    </w:rPr>
                    <w:t>SS</w:t>
                  </w:r>
                </w:p>
              </w:tc>
              <w:tc>
                <w:tcPr>
                  <w:tcW w:w="1085" w:type="dxa"/>
                  <w:tcBorders>
                    <w:tl2br w:val="nil"/>
                    <w:tr2bl w:val="nil"/>
                  </w:tcBorders>
                  <w:vAlign w:val="center"/>
                </w:tcPr>
                <w:p>
                  <w:pPr>
                    <w:adjustRightInd w:val="0"/>
                    <w:snapToGrid w:val="0"/>
                    <w:jc w:val="center"/>
                    <w:rPr>
                      <w:sz w:val="21"/>
                      <w:szCs w:val="21"/>
                    </w:rPr>
                  </w:pPr>
                  <w:r>
                    <w:rPr>
                      <w:rFonts w:hint="eastAsia"/>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420" w:type="dxa"/>
                  <w:vMerge w:val="continue"/>
                  <w:tcBorders>
                    <w:tl2br w:val="nil"/>
                    <w:tr2bl w:val="nil"/>
                  </w:tcBorders>
                  <w:vAlign w:val="center"/>
                </w:tcPr>
                <w:p>
                  <w:pPr>
                    <w:widowControl/>
                    <w:adjustRightInd w:val="0"/>
                    <w:snapToGrid w:val="0"/>
                    <w:jc w:val="left"/>
                    <w:rPr>
                      <w:sz w:val="21"/>
                      <w:szCs w:val="21"/>
                    </w:rPr>
                  </w:pPr>
                </w:p>
              </w:tc>
              <w:tc>
                <w:tcPr>
                  <w:tcW w:w="858" w:type="dxa"/>
                  <w:vMerge w:val="continue"/>
                  <w:tcBorders>
                    <w:tl2br w:val="nil"/>
                    <w:tr2bl w:val="nil"/>
                  </w:tcBorders>
                  <w:vAlign w:val="center"/>
                </w:tcPr>
                <w:p>
                  <w:pPr>
                    <w:widowControl/>
                    <w:adjustRightInd w:val="0"/>
                    <w:snapToGrid w:val="0"/>
                    <w:jc w:val="left"/>
                    <w:rPr>
                      <w:sz w:val="21"/>
                      <w:szCs w:val="21"/>
                    </w:rPr>
                  </w:pPr>
                </w:p>
              </w:tc>
              <w:tc>
                <w:tcPr>
                  <w:tcW w:w="1172" w:type="dxa"/>
                  <w:vMerge w:val="continue"/>
                  <w:tcBorders>
                    <w:tl2br w:val="nil"/>
                    <w:tr2bl w:val="nil"/>
                  </w:tcBorders>
                  <w:vAlign w:val="center"/>
                </w:tcPr>
                <w:p>
                  <w:pPr>
                    <w:widowControl/>
                    <w:adjustRightInd w:val="0"/>
                    <w:snapToGrid w:val="0"/>
                    <w:jc w:val="left"/>
                    <w:rPr>
                      <w:sz w:val="21"/>
                      <w:szCs w:val="21"/>
                    </w:rPr>
                  </w:pPr>
                </w:p>
              </w:tc>
              <w:tc>
                <w:tcPr>
                  <w:tcW w:w="1079" w:type="dxa"/>
                  <w:vMerge w:val="continue"/>
                  <w:tcBorders>
                    <w:tl2br w:val="nil"/>
                    <w:tr2bl w:val="nil"/>
                  </w:tcBorders>
                  <w:vAlign w:val="center"/>
                </w:tcPr>
                <w:p>
                  <w:pPr>
                    <w:widowControl/>
                    <w:adjustRightInd w:val="0"/>
                    <w:snapToGrid w:val="0"/>
                    <w:jc w:val="left"/>
                    <w:rPr>
                      <w:sz w:val="21"/>
                      <w:szCs w:val="21"/>
                    </w:rPr>
                  </w:pPr>
                </w:p>
              </w:tc>
              <w:tc>
                <w:tcPr>
                  <w:tcW w:w="774"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420" w:type="dxa"/>
                  <w:vMerge w:val="continue"/>
                  <w:tcBorders>
                    <w:tl2br w:val="nil"/>
                    <w:tr2bl w:val="nil"/>
                  </w:tcBorders>
                  <w:vAlign w:val="center"/>
                </w:tcPr>
                <w:p>
                  <w:pPr>
                    <w:widowControl/>
                    <w:adjustRightInd w:val="0"/>
                    <w:snapToGrid w:val="0"/>
                    <w:jc w:val="left"/>
                    <w:rPr>
                      <w:sz w:val="21"/>
                      <w:szCs w:val="21"/>
                    </w:rPr>
                  </w:pPr>
                </w:p>
              </w:tc>
              <w:tc>
                <w:tcPr>
                  <w:tcW w:w="791" w:type="dxa"/>
                  <w:tcBorders>
                    <w:tl2br w:val="nil"/>
                    <w:tr2bl w:val="nil"/>
                  </w:tcBorders>
                  <w:vAlign w:val="center"/>
                </w:tcPr>
                <w:p>
                  <w:pPr>
                    <w:adjustRightInd w:val="0"/>
                    <w:snapToGrid w:val="0"/>
                    <w:jc w:val="center"/>
                    <w:rPr>
                      <w:sz w:val="21"/>
                      <w:szCs w:val="21"/>
                    </w:rPr>
                  </w:pPr>
                  <w:r>
                    <w:rPr>
                      <w:rFonts w:hint="eastAsia"/>
                      <w:sz w:val="21"/>
                      <w:szCs w:val="21"/>
                    </w:rPr>
                    <w:t>TN</w:t>
                  </w:r>
                </w:p>
              </w:tc>
              <w:tc>
                <w:tcPr>
                  <w:tcW w:w="1085" w:type="dxa"/>
                  <w:tcBorders>
                    <w:tl2br w:val="nil"/>
                    <w:tr2bl w:val="nil"/>
                  </w:tcBorders>
                  <w:vAlign w:val="center"/>
                </w:tcPr>
                <w:p>
                  <w:pPr>
                    <w:adjustRightInd w:val="0"/>
                    <w:snapToGrid w:val="0"/>
                    <w:jc w:val="center"/>
                    <w:rPr>
                      <w:sz w:val="21"/>
                      <w:szCs w:val="21"/>
                    </w:rPr>
                  </w:pPr>
                  <w:r>
                    <w:rPr>
                      <w:rFonts w:hint="eastAsia"/>
                      <w:sz w:val="21"/>
                      <w:szCs w:val="21"/>
                    </w:rPr>
                    <w:t>15</w:t>
                  </w:r>
                </w:p>
              </w:tc>
            </w:tr>
          </w:tbl>
          <w:p>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sz w:val="24"/>
                <w:szCs w:val="24"/>
              </w:rPr>
            </w:pPr>
            <w:r>
              <w:rPr>
                <w:rFonts w:hint="eastAsia" w:ascii="宋体" w:hAnsi="宋体"/>
                <w:sz w:val="24"/>
                <w:szCs w:val="24"/>
              </w:rPr>
              <w:t>本项目废水污染物排放执行标准见下</w:t>
            </w:r>
            <w:r>
              <w:rPr>
                <w:sz w:val="24"/>
                <w:szCs w:val="24"/>
              </w:rPr>
              <w:t>表。</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lang w:val="en-US" w:eastAsia="zh-CN"/>
              </w:rPr>
              <w:t>4-9</w:t>
            </w:r>
            <w:r>
              <w:rPr>
                <w:rFonts w:hint="eastAsia" w:ascii="Times New Roman" w:hAnsi="Times New Roman" w:eastAsia="宋体" w:cs="Times New Roman"/>
                <w:b/>
                <w:color w:val="000000"/>
                <w:sz w:val="24"/>
                <w:szCs w:val="24"/>
              </w:rPr>
              <w:t xml:space="preserve">            </w:t>
            </w:r>
            <w:r>
              <w:rPr>
                <w:rFonts w:ascii="Times New Roman" w:hAnsi="Times New Roman" w:eastAsia="宋体" w:cs="Times New Roman"/>
                <w:b/>
                <w:color w:val="000000"/>
                <w:sz w:val="24"/>
                <w:szCs w:val="24"/>
              </w:rPr>
              <w:t>废水污染物排放执行标准表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243"/>
              <w:gridCol w:w="1070"/>
              <w:gridCol w:w="2542"/>
              <w:gridCol w:w="2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restart"/>
                  <w:tcBorders>
                    <w:tl2br w:val="nil"/>
                    <w:tr2bl w:val="nil"/>
                  </w:tcBorders>
                  <w:vAlign w:val="center"/>
                </w:tcPr>
                <w:p>
                  <w:pPr>
                    <w:adjustRightInd w:val="0"/>
                    <w:snapToGrid w:val="0"/>
                    <w:jc w:val="center"/>
                    <w:rPr>
                      <w:rFonts w:eastAsiaTheme="majorEastAsia"/>
                      <w:b/>
                      <w:sz w:val="21"/>
                      <w:szCs w:val="21"/>
                    </w:rPr>
                  </w:pPr>
                  <w:r>
                    <w:rPr>
                      <w:rFonts w:hAnsiTheme="majorEastAsia" w:eastAsiaTheme="majorEastAsia"/>
                      <w:b/>
                      <w:sz w:val="21"/>
                      <w:szCs w:val="21"/>
                    </w:rPr>
                    <w:t>序号</w:t>
                  </w:r>
                </w:p>
              </w:tc>
              <w:tc>
                <w:tcPr>
                  <w:tcW w:w="1421" w:type="dxa"/>
                  <w:vMerge w:val="restart"/>
                  <w:tcBorders>
                    <w:tl2br w:val="nil"/>
                    <w:tr2bl w:val="nil"/>
                  </w:tcBorders>
                  <w:vAlign w:val="center"/>
                </w:tcPr>
                <w:p>
                  <w:pPr>
                    <w:adjustRightInd w:val="0"/>
                    <w:snapToGrid w:val="0"/>
                    <w:jc w:val="center"/>
                    <w:rPr>
                      <w:rFonts w:eastAsiaTheme="majorEastAsia"/>
                      <w:b/>
                      <w:sz w:val="21"/>
                      <w:szCs w:val="21"/>
                    </w:rPr>
                  </w:pPr>
                  <w:r>
                    <w:rPr>
                      <w:rFonts w:hAnsiTheme="majorEastAsia" w:eastAsiaTheme="majorEastAsia"/>
                      <w:b/>
                      <w:sz w:val="21"/>
                      <w:szCs w:val="21"/>
                    </w:rPr>
                    <w:t>排放口编号</w:t>
                  </w:r>
                </w:p>
              </w:tc>
              <w:tc>
                <w:tcPr>
                  <w:tcW w:w="1217" w:type="dxa"/>
                  <w:vMerge w:val="restart"/>
                  <w:tcBorders>
                    <w:tl2br w:val="nil"/>
                    <w:tr2bl w:val="nil"/>
                  </w:tcBorders>
                  <w:vAlign w:val="center"/>
                </w:tcPr>
                <w:p>
                  <w:pPr>
                    <w:adjustRightInd w:val="0"/>
                    <w:snapToGrid w:val="0"/>
                    <w:jc w:val="center"/>
                    <w:rPr>
                      <w:rFonts w:eastAsiaTheme="majorEastAsia"/>
                      <w:b/>
                      <w:sz w:val="21"/>
                      <w:szCs w:val="21"/>
                    </w:rPr>
                  </w:pPr>
                  <w:r>
                    <w:rPr>
                      <w:rFonts w:hAnsiTheme="majorEastAsia" w:eastAsiaTheme="majorEastAsia"/>
                      <w:b/>
                      <w:sz w:val="21"/>
                      <w:szCs w:val="21"/>
                    </w:rPr>
                    <w:t>污染物种类</w:t>
                  </w:r>
                </w:p>
              </w:tc>
              <w:tc>
                <w:tcPr>
                  <w:tcW w:w="5560" w:type="dxa"/>
                  <w:gridSpan w:val="2"/>
                  <w:tcBorders>
                    <w:tl2br w:val="nil"/>
                    <w:tr2bl w:val="nil"/>
                  </w:tcBorders>
                  <w:vAlign w:val="center"/>
                </w:tcPr>
                <w:p>
                  <w:pPr>
                    <w:adjustRightInd w:val="0"/>
                    <w:snapToGrid w:val="0"/>
                    <w:jc w:val="center"/>
                    <w:rPr>
                      <w:rFonts w:eastAsiaTheme="majorEastAsia"/>
                      <w:b/>
                      <w:sz w:val="21"/>
                      <w:szCs w:val="21"/>
                    </w:rPr>
                  </w:pPr>
                  <w:r>
                    <w:rPr>
                      <w:rFonts w:hAnsiTheme="majorEastAsia" w:eastAsiaTheme="majorEastAsia"/>
                      <w:b/>
                      <w:sz w:val="21"/>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tcBorders>
                    <w:tl2br w:val="nil"/>
                    <w:tr2bl w:val="nil"/>
                  </w:tcBorders>
                  <w:vAlign w:val="center"/>
                </w:tcPr>
                <w:p>
                  <w:pPr>
                    <w:widowControl/>
                    <w:adjustRightInd w:val="0"/>
                    <w:snapToGrid w:val="0"/>
                    <w:jc w:val="center"/>
                    <w:rPr>
                      <w:rFonts w:eastAsiaTheme="majorEastAsia"/>
                      <w:b/>
                      <w:sz w:val="21"/>
                      <w:szCs w:val="21"/>
                    </w:rPr>
                  </w:pPr>
                </w:p>
              </w:tc>
              <w:tc>
                <w:tcPr>
                  <w:tcW w:w="1421" w:type="dxa"/>
                  <w:vMerge w:val="continue"/>
                  <w:tcBorders>
                    <w:tl2br w:val="nil"/>
                    <w:tr2bl w:val="nil"/>
                  </w:tcBorders>
                  <w:vAlign w:val="center"/>
                </w:tcPr>
                <w:p>
                  <w:pPr>
                    <w:widowControl/>
                    <w:adjustRightInd w:val="0"/>
                    <w:snapToGrid w:val="0"/>
                    <w:jc w:val="center"/>
                    <w:rPr>
                      <w:rFonts w:eastAsiaTheme="majorEastAsia"/>
                      <w:b/>
                      <w:sz w:val="21"/>
                      <w:szCs w:val="21"/>
                    </w:rPr>
                  </w:pPr>
                </w:p>
              </w:tc>
              <w:tc>
                <w:tcPr>
                  <w:tcW w:w="1217" w:type="dxa"/>
                  <w:vMerge w:val="continue"/>
                  <w:tcBorders>
                    <w:tl2br w:val="nil"/>
                    <w:tr2bl w:val="nil"/>
                  </w:tcBorders>
                  <w:vAlign w:val="center"/>
                </w:tcPr>
                <w:p>
                  <w:pPr>
                    <w:widowControl/>
                    <w:adjustRightInd w:val="0"/>
                    <w:snapToGrid w:val="0"/>
                    <w:jc w:val="center"/>
                    <w:rPr>
                      <w:rFonts w:eastAsiaTheme="majorEastAsia"/>
                      <w:b/>
                      <w:sz w:val="21"/>
                      <w:szCs w:val="21"/>
                    </w:rPr>
                  </w:pPr>
                </w:p>
              </w:tc>
              <w:tc>
                <w:tcPr>
                  <w:tcW w:w="2946" w:type="dxa"/>
                  <w:tcBorders>
                    <w:tl2br w:val="nil"/>
                    <w:tr2bl w:val="nil"/>
                  </w:tcBorders>
                  <w:vAlign w:val="center"/>
                </w:tcPr>
                <w:p>
                  <w:pPr>
                    <w:adjustRightInd w:val="0"/>
                    <w:snapToGrid w:val="0"/>
                    <w:jc w:val="center"/>
                    <w:rPr>
                      <w:rFonts w:eastAsiaTheme="majorEastAsia"/>
                      <w:b/>
                      <w:sz w:val="21"/>
                      <w:szCs w:val="21"/>
                    </w:rPr>
                  </w:pPr>
                  <w:r>
                    <w:rPr>
                      <w:rFonts w:hAnsiTheme="majorEastAsia" w:eastAsiaTheme="majorEastAsia"/>
                      <w:b/>
                      <w:sz w:val="21"/>
                      <w:szCs w:val="21"/>
                    </w:rPr>
                    <w:t>名称</w:t>
                  </w:r>
                </w:p>
              </w:tc>
              <w:tc>
                <w:tcPr>
                  <w:tcW w:w="2614" w:type="dxa"/>
                  <w:tcBorders>
                    <w:tl2br w:val="nil"/>
                    <w:tr2bl w:val="nil"/>
                  </w:tcBorders>
                  <w:vAlign w:val="center"/>
                </w:tcPr>
                <w:p>
                  <w:pPr>
                    <w:adjustRightInd w:val="0"/>
                    <w:snapToGrid w:val="0"/>
                    <w:jc w:val="center"/>
                    <w:rPr>
                      <w:rFonts w:eastAsiaTheme="majorEastAsia"/>
                      <w:b/>
                      <w:sz w:val="21"/>
                      <w:szCs w:val="21"/>
                    </w:rPr>
                  </w:pPr>
                  <w:r>
                    <w:rPr>
                      <w:rFonts w:hAnsiTheme="majorEastAsia" w:eastAsiaTheme="majorEastAsia"/>
                      <w:b/>
                      <w:sz w:val="21"/>
                      <w:szCs w:val="21"/>
                    </w:rPr>
                    <w:t>浓度限值（</w:t>
                  </w:r>
                  <w:r>
                    <w:rPr>
                      <w:rFonts w:eastAsiaTheme="majorEastAsia"/>
                      <w:b/>
                      <w:sz w:val="21"/>
                      <w:szCs w:val="21"/>
                    </w:rPr>
                    <w:t>mg/L</w:t>
                  </w:r>
                  <w:r>
                    <w:rPr>
                      <w:rFonts w:hAnsiTheme="majorEastAsia" w:eastAsiaTheme="majorEastAsia"/>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1</w:t>
                  </w:r>
                </w:p>
              </w:tc>
              <w:tc>
                <w:tcPr>
                  <w:tcW w:w="1421" w:type="dxa"/>
                  <w:vMerge w:val="restart"/>
                  <w:tcBorders>
                    <w:tl2br w:val="nil"/>
                    <w:tr2bl w:val="nil"/>
                  </w:tcBorders>
                  <w:vAlign w:val="center"/>
                </w:tcPr>
                <w:p>
                  <w:pPr>
                    <w:adjustRightInd w:val="0"/>
                    <w:snapToGrid w:val="0"/>
                    <w:jc w:val="center"/>
                    <w:rPr>
                      <w:rFonts w:hint="default" w:eastAsiaTheme="majorEastAsia"/>
                      <w:sz w:val="21"/>
                      <w:szCs w:val="21"/>
                      <w:lang w:val="en-US" w:eastAsia="zh-CN"/>
                    </w:rPr>
                  </w:pPr>
                  <w:r>
                    <w:rPr>
                      <w:rFonts w:hint="eastAsia" w:eastAsiaTheme="majorEastAsia"/>
                      <w:sz w:val="21"/>
                      <w:szCs w:val="21"/>
                      <w:lang w:val="en-US" w:eastAsia="zh-CN"/>
                    </w:rPr>
                    <w:t>DW001</w:t>
                  </w:r>
                </w:p>
              </w:tc>
              <w:tc>
                <w:tcPr>
                  <w:tcW w:w="1217"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COD</w:t>
                  </w:r>
                </w:p>
              </w:tc>
              <w:tc>
                <w:tcPr>
                  <w:tcW w:w="2946" w:type="dxa"/>
                  <w:vMerge w:val="restart"/>
                  <w:tcBorders>
                    <w:tl2br w:val="nil"/>
                    <w:tr2bl w:val="nil"/>
                  </w:tcBorders>
                  <w:vAlign w:val="center"/>
                </w:tcPr>
                <w:p>
                  <w:pPr>
                    <w:pStyle w:val="12"/>
                    <w:adjustRightInd w:val="0"/>
                    <w:snapToGrid w:val="0"/>
                    <w:ind w:left="0" w:right="0" w:firstLine="0"/>
                    <w:jc w:val="center"/>
                    <w:rPr>
                      <w:rFonts w:eastAsiaTheme="majorEastAsia"/>
                      <w:sz w:val="21"/>
                      <w:szCs w:val="21"/>
                    </w:rPr>
                  </w:pPr>
                  <w:r>
                    <w:rPr>
                      <w:rFonts w:hint="eastAsia"/>
                      <w:bCs/>
                      <w:sz w:val="21"/>
                      <w:szCs w:val="21"/>
                    </w:rPr>
                    <w:t>大块镇污水处理厂</w:t>
                  </w:r>
                </w:p>
              </w:tc>
              <w:tc>
                <w:tcPr>
                  <w:tcW w:w="2614"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2</w:t>
                  </w:r>
                </w:p>
              </w:tc>
              <w:tc>
                <w:tcPr>
                  <w:tcW w:w="1421" w:type="dxa"/>
                  <w:vMerge w:val="continue"/>
                  <w:tcBorders>
                    <w:tl2br w:val="nil"/>
                    <w:tr2bl w:val="nil"/>
                  </w:tcBorders>
                  <w:vAlign w:val="center"/>
                </w:tcPr>
                <w:p>
                  <w:pPr>
                    <w:widowControl/>
                    <w:adjustRightInd w:val="0"/>
                    <w:snapToGrid w:val="0"/>
                    <w:jc w:val="center"/>
                    <w:rPr>
                      <w:rFonts w:eastAsiaTheme="majorEastAsia"/>
                      <w:sz w:val="21"/>
                      <w:szCs w:val="21"/>
                    </w:rPr>
                  </w:pPr>
                </w:p>
              </w:tc>
              <w:tc>
                <w:tcPr>
                  <w:tcW w:w="1217"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SS</w:t>
                  </w:r>
                </w:p>
              </w:tc>
              <w:tc>
                <w:tcPr>
                  <w:tcW w:w="2946" w:type="dxa"/>
                  <w:vMerge w:val="continue"/>
                  <w:tcBorders>
                    <w:tl2br w:val="nil"/>
                    <w:tr2bl w:val="nil"/>
                  </w:tcBorders>
                  <w:vAlign w:val="center"/>
                </w:tcPr>
                <w:p>
                  <w:pPr>
                    <w:widowControl/>
                    <w:adjustRightInd w:val="0"/>
                    <w:snapToGrid w:val="0"/>
                    <w:jc w:val="center"/>
                    <w:rPr>
                      <w:rFonts w:eastAsiaTheme="majorEastAsia"/>
                      <w:sz w:val="21"/>
                      <w:szCs w:val="21"/>
                    </w:rPr>
                  </w:pPr>
                </w:p>
              </w:tc>
              <w:tc>
                <w:tcPr>
                  <w:tcW w:w="2614" w:type="dxa"/>
                  <w:tcBorders>
                    <w:tl2br w:val="nil"/>
                    <w:tr2bl w:val="nil"/>
                  </w:tcBorders>
                  <w:vAlign w:val="center"/>
                </w:tcPr>
                <w:p>
                  <w:pPr>
                    <w:adjustRightInd w:val="0"/>
                    <w:snapToGrid w:val="0"/>
                    <w:jc w:val="center"/>
                    <w:rPr>
                      <w:rFonts w:eastAsiaTheme="majorEastAsia"/>
                      <w:sz w:val="21"/>
                      <w:szCs w:val="21"/>
                    </w:rPr>
                  </w:pPr>
                  <w:r>
                    <w:rPr>
                      <w:rFonts w:hint="eastAsia" w:eastAsiaTheme="majorEastAsia"/>
                      <w:sz w:val="21"/>
                      <w:szCs w:val="21"/>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3</w:t>
                  </w:r>
                </w:p>
              </w:tc>
              <w:tc>
                <w:tcPr>
                  <w:tcW w:w="1421" w:type="dxa"/>
                  <w:vMerge w:val="continue"/>
                  <w:tcBorders>
                    <w:tl2br w:val="nil"/>
                    <w:tr2bl w:val="nil"/>
                  </w:tcBorders>
                  <w:vAlign w:val="center"/>
                </w:tcPr>
                <w:p>
                  <w:pPr>
                    <w:widowControl/>
                    <w:adjustRightInd w:val="0"/>
                    <w:snapToGrid w:val="0"/>
                    <w:jc w:val="center"/>
                    <w:rPr>
                      <w:rFonts w:eastAsiaTheme="majorEastAsia"/>
                      <w:sz w:val="21"/>
                      <w:szCs w:val="21"/>
                    </w:rPr>
                  </w:pPr>
                </w:p>
              </w:tc>
              <w:tc>
                <w:tcPr>
                  <w:tcW w:w="1217"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NH</w:t>
                  </w:r>
                  <w:r>
                    <w:rPr>
                      <w:rFonts w:eastAsiaTheme="majorEastAsia"/>
                      <w:sz w:val="21"/>
                      <w:szCs w:val="21"/>
                      <w:vertAlign w:val="subscript"/>
                    </w:rPr>
                    <w:t>3</w:t>
                  </w:r>
                  <w:r>
                    <w:rPr>
                      <w:rFonts w:eastAsiaTheme="majorEastAsia"/>
                      <w:sz w:val="21"/>
                      <w:szCs w:val="21"/>
                    </w:rPr>
                    <w:t>-N</w:t>
                  </w:r>
                </w:p>
              </w:tc>
              <w:tc>
                <w:tcPr>
                  <w:tcW w:w="2946" w:type="dxa"/>
                  <w:vMerge w:val="continue"/>
                  <w:tcBorders>
                    <w:tl2br w:val="nil"/>
                    <w:tr2bl w:val="nil"/>
                  </w:tcBorders>
                  <w:vAlign w:val="center"/>
                </w:tcPr>
                <w:p>
                  <w:pPr>
                    <w:adjustRightInd w:val="0"/>
                    <w:snapToGrid w:val="0"/>
                    <w:jc w:val="center"/>
                    <w:rPr>
                      <w:rFonts w:eastAsiaTheme="majorEastAsia"/>
                      <w:sz w:val="21"/>
                      <w:szCs w:val="21"/>
                    </w:rPr>
                  </w:pPr>
                </w:p>
              </w:tc>
              <w:tc>
                <w:tcPr>
                  <w:tcW w:w="2614" w:type="dxa"/>
                  <w:tcBorders>
                    <w:tl2br w:val="nil"/>
                    <w:tr2bl w:val="nil"/>
                  </w:tcBorders>
                  <w:vAlign w:val="center"/>
                </w:tcPr>
                <w:p>
                  <w:pPr>
                    <w:adjustRightInd w:val="0"/>
                    <w:snapToGrid w:val="0"/>
                    <w:jc w:val="center"/>
                    <w:rPr>
                      <w:rFonts w:eastAsiaTheme="majorEastAsia"/>
                      <w:sz w:val="21"/>
                      <w:szCs w:val="21"/>
                    </w:rPr>
                  </w:pPr>
                  <w:r>
                    <w:rPr>
                      <w:rFonts w:hint="eastAsia" w:eastAsiaTheme="majorEastAsia"/>
                      <w:sz w:val="21"/>
                      <w:szCs w:val="21"/>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4</w:t>
                  </w:r>
                </w:p>
              </w:tc>
              <w:tc>
                <w:tcPr>
                  <w:tcW w:w="1421" w:type="dxa"/>
                  <w:vMerge w:val="continue"/>
                  <w:tcBorders>
                    <w:tl2br w:val="nil"/>
                    <w:tr2bl w:val="nil"/>
                  </w:tcBorders>
                  <w:vAlign w:val="center"/>
                </w:tcPr>
                <w:p>
                  <w:pPr>
                    <w:widowControl/>
                    <w:adjustRightInd w:val="0"/>
                    <w:snapToGrid w:val="0"/>
                    <w:jc w:val="center"/>
                    <w:rPr>
                      <w:rFonts w:eastAsiaTheme="majorEastAsia"/>
                      <w:sz w:val="21"/>
                      <w:szCs w:val="21"/>
                    </w:rPr>
                  </w:pPr>
                </w:p>
              </w:tc>
              <w:tc>
                <w:tcPr>
                  <w:tcW w:w="1217"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TP</w:t>
                  </w:r>
                </w:p>
              </w:tc>
              <w:tc>
                <w:tcPr>
                  <w:tcW w:w="2946" w:type="dxa"/>
                  <w:vMerge w:val="continue"/>
                  <w:tcBorders>
                    <w:tl2br w:val="nil"/>
                    <w:tr2bl w:val="nil"/>
                  </w:tcBorders>
                  <w:vAlign w:val="center"/>
                </w:tcPr>
                <w:p>
                  <w:pPr>
                    <w:widowControl/>
                    <w:adjustRightInd w:val="0"/>
                    <w:snapToGrid w:val="0"/>
                    <w:jc w:val="center"/>
                    <w:rPr>
                      <w:rFonts w:eastAsiaTheme="majorEastAsia"/>
                      <w:sz w:val="21"/>
                      <w:szCs w:val="21"/>
                    </w:rPr>
                  </w:pPr>
                </w:p>
              </w:tc>
              <w:tc>
                <w:tcPr>
                  <w:tcW w:w="2614" w:type="dxa"/>
                  <w:tcBorders>
                    <w:tl2br w:val="nil"/>
                    <w:tr2bl w:val="nil"/>
                  </w:tcBorders>
                  <w:vAlign w:val="center"/>
                </w:tcPr>
                <w:p>
                  <w:pPr>
                    <w:adjustRightInd w:val="0"/>
                    <w:snapToGrid w:val="0"/>
                    <w:jc w:val="center"/>
                    <w:rPr>
                      <w:rFonts w:eastAsiaTheme="majorEastAsia"/>
                      <w:sz w:val="21"/>
                      <w:szCs w:val="21"/>
                    </w:rPr>
                  </w:pPr>
                  <w:r>
                    <w:rPr>
                      <w:rFonts w:hint="eastAsia" w:eastAsiaTheme="majorEastAsia"/>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5</w:t>
                  </w:r>
                </w:p>
              </w:tc>
              <w:tc>
                <w:tcPr>
                  <w:tcW w:w="1421" w:type="dxa"/>
                  <w:vMerge w:val="continue"/>
                  <w:tcBorders>
                    <w:tl2br w:val="nil"/>
                    <w:tr2bl w:val="nil"/>
                  </w:tcBorders>
                  <w:vAlign w:val="center"/>
                </w:tcPr>
                <w:p>
                  <w:pPr>
                    <w:widowControl/>
                    <w:adjustRightInd w:val="0"/>
                    <w:snapToGrid w:val="0"/>
                    <w:jc w:val="center"/>
                    <w:rPr>
                      <w:rFonts w:eastAsiaTheme="majorEastAsia"/>
                      <w:sz w:val="21"/>
                      <w:szCs w:val="21"/>
                    </w:rPr>
                  </w:pPr>
                </w:p>
              </w:tc>
              <w:tc>
                <w:tcPr>
                  <w:tcW w:w="1217"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TN</w:t>
                  </w:r>
                </w:p>
              </w:tc>
              <w:tc>
                <w:tcPr>
                  <w:tcW w:w="2946" w:type="dxa"/>
                  <w:vMerge w:val="continue"/>
                  <w:tcBorders>
                    <w:tl2br w:val="nil"/>
                    <w:tr2bl w:val="nil"/>
                  </w:tcBorders>
                  <w:vAlign w:val="center"/>
                </w:tcPr>
                <w:p>
                  <w:pPr>
                    <w:widowControl/>
                    <w:adjustRightInd w:val="0"/>
                    <w:snapToGrid w:val="0"/>
                    <w:jc w:val="center"/>
                    <w:rPr>
                      <w:rFonts w:eastAsiaTheme="majorEastAsia"/>
                      <w:sz w:val="21"/>
                      <w:szCs w:val="21"/>
                    </w:rPr>
                  </w:pPr>
                </w:p>
              </w:tc>
              <w:tc>
                <w:tcPr>
                  <w:tcW w:w="2614" w:type="dxa"/>
                  <w:tcBorders>
                    <w:tl2br w:val="nil"/>
                    <w:tr2bl w:val="nil"/>
                  </w:tcBorders>
                  <w:vAlign w:val="center"/>
                </w:tcPr>
                <w:p>
                  <w:pPr>
                    <w:adjustRightInd w:val="0"/>
                    <w:snapToGrid w:val="0"/>
                    <w:jc w:val="center"/>
                    <w:rPr>
                      <w:rFonts w:eastAsiaTheme="majorEastAsia"/>
                      <w:sz w:val="21"/>
                      <w:szCs w:val="21"/>
                    </w:rPr>
                  </w:pPr>
                  <w:r>
                    <w:rPr>
                      <w:rFonts w:eastAsiaTheme="majorEastAsia"/>
                      <w:sz w:val="21"/>
                      <w:szCs w:val="21"/>
                    </w:rPr>
                    <w:t>40</w:t>
                  </w:r>
                </w:p>
              </w:tc>
            </w:tr>
          </w:tbl>
          <w:p>
            <w:pPr>
              <w:spacing w:line="440" w:lineRule="exact"/>
              <w:ind w:firstLine="482" w:firstLineChars="200"/>
              <w:rPr>
                <w:b/>
                <w:sz w:val="24"/>
                <w:szCs w:val="24"/>
              </w:rPr>
            </w:pPr>
            <w:r>
              <w:rPr>
                <w:b/>
                <w:sz w:val="24"/>
                <w:szCs w:val="24"/>
              </w:rPr>
              <w:t>（</w:t>
            </w:r>
            <w:r>
              <w:rPr>
                <w:rFonts w:hint="eastAsia"/>
                <w:b/>
                <w:sz w:val="24"/>
                <w:szCs w:val="24"/>
              </w:rPr>
              <w:t>3</w:t>
            </w:r>
            <w:r>
              <w:rPr>
                <w:b/>
                <w:sz w:val="24"/>
                <w:szCs w:val="24"/>
              </w:rPr>
              <w:t>）水污染物排放量核算</w:t>
            </w:r>
          </w:p>
          <w:p>
            <w:pPr>
              <w:keepNext w:val="0"/>
              <w:keepLines w:val="0"/>
              <w:pageBreakBefore w:val="0"/>
              <w:widowControl w:val="0"/>
              <w:kinsoku/>
              <w:wordWrap/>
              <w:overflowPunct/>
              <w:topLinePunct w:val="0"/>
              <w:bidi w:val="0"/>
              <w:adjustRightInd w:val="0"/>
              <w:spacing w:line="520" w:lineRule="exact"/>
              <w:ind w:firstLine="470" w:firstLineChars="196"/>
              <w:rPr>
                <w:color w:val="000000" w:themeColor="text1"/>
                <w:sz w:val="24"/>
                <w14:textFill>
                  <w14:solidFill>
                    <w14:schemeClr w14:val="tx1"/>
                  </w14:solidFill>
                </w14:textFill>
              </w:rPr>
            </w:pPr>
            <w:r>
              <w:rPr>
                <w:sz w:val="24"/>
                <w:szCs w:val="24"/>
              </w:rPr>
              <w:t>本项目废水污染物排放信息见</w:t>
            </w:r>
            <w:r>
              <w:rPr>
                <w:rFonts w:hint="eastAsia"/>
                <w:sz w:val="24"/>
                <w:szCs w:val="24"/>
              </w:rPr>
              <w:t>下</w:t>
            </w:r>
            <w:r>
              <w:rPr>
                <w:sz w:val="24"/>
                <w:szCs w:val="24"/>
              </w:rPr>
              <w:t>表。</w:t>
            </w:r>
          </w:p>
          <w:p>
            <w:pPr>
              <w:keepNext w:val="0"/>
              <w:keepLines w:val="0"/>
              <w:pageBreakBefore w:val="0"/>
              <w:widowControl w:val="0"/>
              <w:kinsoku/>
              <w:wordWrap/>
              <w:overflowPunct/>
              <w:topLinePunct w:val="0"/>
              <w:autoSpaceDE/>
              <w:autoSpaceDN/>
              <w:bidi w:val="0"/>
              <w:adjustRightInd w:val="0"/>
              <w:snapToGrid w:val="0"/>
              <w:spacing w:line="520" w:lineRule="exact"/>
              <w:jc w:val="center"/>
              <w:textAlignment w:val="auto"/>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表</w:t>
            </w:r>
            <w:r>
              <w:rPr>
                <w:rFonts w:hint="eastAsia" w:ascii="Times New Roman" w:hAnsi="Times New Roman" w:eastAsia="宋体" w:cs="Times New Roman"/>
                <w:b/>
                <w:color w:val="000000"/>
                <w:sz w:val="24"/>
                <w:szCs w:val="24"/>
                <w:lang w:val="en-US" w:eastAsia="zh-CN"/>
              </w:rPr>
              <w:t>4-10</w:t>
            </w:r>
            <w:r>
              <w:rPr>
                <w:rFonts w:hint="eastAsia" w:ascii="Times New Roman" w:hAnsi="Times New Roman" w:eastAsia="宋体" w:cs="Times New Roman"/>
                <w:b/>
                <w:color w:val="000000"/>
                <w:sz w:val="24"/>
                <w:szCs w:val="24"/>
              </w:rPr>
              <w:t xml:space="preserve">        </w:t>
            </w:r>
            <w:r>
              <w:rPr>
                <w:rFonts w:ascii="Times New Roman" w:hAnsi="Times New Roman" w:eastAsia="宋体" w:cs="Times New Roman"/>
                <w:b/>
                <w:color w:val="000000"/>
                <w:sz w:val="24"/>
                <w:szCs w:val="24"/>
              </w:rPr>
              <w:t>废水污染物排放信息表</w:t>
            </w:r>
          </w:p>
          <w:tbl>
            <w:tblPr>
              <w:tblStyle w:val="25"/>
              <w:tblW w:w="48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849"/>
              <w:gridCol w:w="983"/>
              <w:gridCol w:w="1522"/>
              <w:gridCol w:w="2050"/>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exact"/>
                <w:jc w:val="center"/>
              </w:trPr>
              <w:tc>
                <w:tcPr>
                  <w:tcW w:w="579" w:type="dxa"/>
                  <w:tcBorders>
                    <w:tl2br w:val="nil"/>
                    <w:tr2bl w:val="nil"/>
                  </w:tcBorders>
                  <w:vAlign w:val="center"/>
                </w:tcPr>
                <w:p>
                  <w:pPr>
                    <w:adjustRightInd w:val="0"/>
                    <w:snapToGrid w:val="0"/>
                    <w:jc w:val="center"/>
                    <w:rPr>
                      <w:rFonts w:eastAsiaTheme="minorEastAsia"/>
                      <w:b/>
                      <w:bCs/>
                      <w:sz w:val="21"/>
                      <w:szCs w:val="21"/>
                    </w:rPr>
                  </w:pPr>
                  <w:r>
                    <w:rPr>
                      <w:rFonts w:hAnsiTheme="minorEastAsia" w:eastAsiaTheme="minorEastAsia"/>
                      <w:b/>
                      <w:bCs/>
                      <w:sz w:val="21"/>
                      <w:szCs w:val="21"/>
                    </w:rPr>
                    <w:t>序号</w:t>
                  </w:r>
                </w:p>
              </w:tc>
              <w:tc>
                <w:tcPr>
                  <w:tcW w:w="849" w:type="dxa"/>
                  <w:tcBorders>
                    <w:tl2br w:val="nil"/>
                    <w:tr2bl w:val="nil"/>
                  </w:tcBorders>
                  <w:vAlign w:val="center"/>
                </w:tcPr>
                <w:p>
                  <w:pPr>
                    <w:adjustRightInd w:val="0"/>
                    <w:snapToGrid w:val="0"/>
                    <w:jc w:val="center"/>
                    <w:rPr>
                      <w:rFonts w:eastAsiaTheme="minorEastAsia"/>
                      <w:b/>
                      <w:bCs/>
                      <w:sz w:val="21"/>
                      <w:szCs w:val="21"/>
                    </w:rPr>
                  </w:pPr>
                  <w:r>
                    <w:rPr>
                      <w:rFonts w:hAnsiTheme="minorEastAsia" w:eastAsiaTheme="minorEastAsia"/>
                      <w:b/>
                      <w:bCs/>
                      <w:sz w:val="21"/>
                      <w:szCs w:val="21"/>
                    </w:rPr>
                    <w:t>排放口编号</w:t>
                  </w:r>
                </w:p>
              </w:tc>
              <w:tc>
                <w:tcPr>
                  <w:tcW w:w="983" w:type="dxa"/>
                  <w:tcBorders>
                    <w:tl2br w:val="nil"/>
                    <w:tr2bl w:val="nil"/>
                  </w:tcBorders>
                  <w:vAlign w:val="center"/>
                </w:tcPr>
                <w:p>
                  <w:pPr>
                    <w:adjustRightInd w:val="0"/>
                    <w:snapToGrid w:val="0"/>
                    <w:jc w:val="center"/>
                    <w:rPr>
                      <w:rFonts w:eastAsiaTheme="minorEastAsia"/>
                      <w:b/>
                      <w:bCs/>
                      <w:sz w:val="21"/>
                      <w:szCs w:val="21"/>
                    </w:rPr>
                  </w:pPr>
                  <w:r>
                    <w:rPr>
                      <w:rFonts w:hAnsiTheme="minorEastAsia" w:eastAsiaTheme="minorEastAsia"/>
                      <w:b/>
                      <w:bCs/>
                      <w:sz w:val="21"/>
                      <w:szCs w:val="21"/>
                    </w:rPr>
                    <w:t>污染物种类</w:t>
                  </w:r>
                </w:p>
              </w:tc>
              <w:tc>
                <w:tcPr>
                  <w:tcW w:w="1522" w:type="dxa"/>
                  <w:tcBorders>
                    <w:tl2br w:val="nil"/>
                    <w:tr2bl w:val="nil"/>
                  </w:tcBorders>
                  <w:vAlign w:val="center"/>
                </w:tcPr>
                <w:p>
                  <w:pPr>
                    <w:adjustRightInd w:val="0"/>
                    <w:snapToGrid w:val="0"/>
                    <w:jc w:val="center"/>
                    <w:rPr>
                      <w:rFonts w:eastAsiaTheme="minorEastAsia"/>
                      <w:b/>
                      <w:bCs/>
                      <w:sz w:val="21"/>
                      <w:szCs w:val="21"/>
                    </w:rPr>
                  </w:pPr>
                  <w:r>
                    <w:rPr>
                      <w:rFonts w:hAnsiTheme="minorEastAsia" w:eastAsiaTheme="minorEastAsia"/>
                      <w:b/>
                      <w:bCs/>
                      <w:sz w:val="21"/>
                      <w:szCs w:val="21"/>
                    </w:rPr>
                    <w:t>排放浓度（</w:t>
                  </w:r>
                  <w:r>
                    <w:rPr>
                      <w:rFonts w:eastAsiaTheme="minorEastAsia"/>
                      <w:b/>
                      <w:bCs/>
                      <w:sz w:val="21"/>
                      <w:szCs w:val="21"/>
                    </w:rPr>
                    <w:t>mg/L</w:t>
                  </w:r>
                  <w:r>
                    <w:rPr>
                      <w:rFonts w:hAnsiTheme="minorEastAsia" w:eastAsiaTheme="minorEastAsia"/>
                      <w:b/>
                      <w:bCs/>
                      <w:sz w:val="21"/>
                      <w:szCs w:val="21"/>
                    </w:rPr>
                    <w:t>）</w:t>
                  </w:r>
                </w:p>
              </w:tc>
              <w:tc>
                <w:tcPr>
                  <w:tcW w:w="2050" w:type="dxa"/>
                  <w:tcBorders>
                    <w:tl2br w:val="nil"/>
                    <w:tr2bl w:val="nil"/>
                  </w:tcBorders>
                  <w:vAlign w:val="center"/>
                </w:tcPr>
                <w:p>
                  <w:pPr>
                    <w:adjustRightInd w:val="0"/>
                    <w:snapToGrid w:val="0"/>
                    <w:jc w:val="center"/>
                    <w:rPr>
                      <w:rFonts w:eastAsiaTheme="minorEastAsia"/>
                      <w:b/>
                      <w:bCs/>
                      <w:sz w:val="21"/>
                      <w:szCs w:val="21"/>
                    </w:rPr>
                  </w:pPr>
                  <w:r>
                    <w:rPr>
                      <w:rFonts w:hAnsiTheme="minorEastAsia" w:eastAsiaTheme="minorEastAsia"/>
                      <w:b/>
                      <w:bCs/>
                      <w:sz w:val="21"/>
                      <w:szCs w:val="21"/>
                    </w:rPr>
                    <w:t>日排放量</w:t>
                  </w:r>
                  <w:r>
                    <w:rPr>
                      <w:rFonts w:eastAsiaTheme="minorEastAsia"/>
                      <w:b/>
                      <w:bCs/>
                      <w:sz w:val="21"/>
                      <w:szCs w:val="21"/>
                    </w:rPr>
                    <w:t>/</w:t>
                  </w:r>
                  <w:r>
                    <w:rPr>
                      <w:rFonts w:hAnsiTheme="minorEastAsia" w:eastAsiaTheme="minorEastAsia"/>
                      <w:b/>
                      <w:bCs/>
                      <w:sz w:val="21"/>
                      <w:szCs w:val="21"/>
                    </w:rPr>
                    <w:t>（</w:t>
                  </w:r>
                  <w:r>
                    <w:rPr>
                      <w:rFonts w:eastAsiaTheme="minorEastAsia"/>
                      <w:b/>
                      <w:bCs/>
                      <w:sz w:val="21"/>
                      <w:szCs w:val="21"/>
                    </w:rPr>
                    <w:t>t/d</w:t>
                  </w:r>
                  <w:r>
                    <w:rPr>
                      <w:rFonts w:hAnsiTheme="minorEastAsia" w:eastAsiaTheme="minorEastAsia"/>
                      <w:b/>
                      <w:bCs/>
                      <w:sz w:val="21"/>
                      <w:szCs w:val="21"/>
                    </w:rPr>
                    <w:t>）</w:t>
                  </w:r>
                </w:p>
              </w:tc>
              <w:tc>
                <w:tcPr>
                  <w:tcW w:w="1712" w:type="dxa"/>
                  <w:tcBorders>
                    <w:tl2br w:val="nil"/>
                    <w:tr2bl w:val="nil"/>
                  </w:tcBorders>
                  <w:vAlign w:val="center"/>
                </w:tcPr>
                <w:p>
                  <w:pPr>
                    <w:adjustRightInd w:val="0"/>
                    <w:snapToGrid w:val="0"/>
                    <w:jc w:val="center"/>
                    <w:rPr>
                      <w:rFonts w:eastAsiaTheme="minorEastAsia"/>
                      <w:b/>
                      <w:bCs/>
                      <w:sz w:val="21"/>
                      <w:szCs w:val="21"/>
                    </w:rPr>
                  </w:pPr>
                  <w:r>
                    <w:rPr>
                      <w:rFonts w:hAnsiTheme="minorEastAsia" w:eastAsiaTheme="minorEastAsia"/>
                      <w:b/>
                      <w:bCs/>
                      <w:sz w:val="21"/>
                      <w:szCs w:val="21"/>
                    </w:rPr>
                    <w:t>年排放量</w:t>
                  </w:r>
                  <w:r>
                    <w:rPr>
                      <w:rFonts w:eastAsiaTheme="minorEastAsia"/>
                      <w:b/>
                      <w:bCs/>
                      <w:sz w:val="21"/>
                      <w:szCs w:val="21"/>
                    </w:rPr>
                    <w:t>/</w:t>
                  </w:r>
                  <w:r>
                    <w:rPr>
                      <w:rFonts w:hAnsiTheme="minorEastAsia" w:eastAsiaTheme="minorEastAsia"/>
                      <w:b/>
                      <w:bCs/>
                      <w:sz w:val="21"/>
                      <w:szCs w:val="21"/>
                    </w:rPr>
                    <w:t>（</w:t>
                  </w:r>
                  <w:r>
                    <w:rPr>
                      <w:rFonts w:eastAsiaTheme="minorEastAsia"/>
                      <w:b/>
                      <w:bCs/>
                      <w:sz w:val="21"/>
                      <w:szCs w:val="21"/>
                    </w:rPr>
                    <w:t>t/a</w:t>
                  </w:r>
                  <w:r>
                    <w:rPr>
                      <w:rFonts w:hAnsiTheme="minorEastAsia" w:eastAsiaTheme="minorEastAsia"/>
                      <w:b/>
                      <w:bCs/>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579"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1</w:t>
                  </w:r>
                </w:p>
              </w:tc>
              <w:tc>
                <w:tcPr>
                  <w:tcW w:w="849" w:type="dxa"/>
                  <w:vMerge w:val="restart"/>
                  <w:tcBorders>
                    <w:tl2br w:val="nil"/>
                    <w:tr2bl w:val="nil"/>
                  </w:tcBorders>
                  <w:vAlign w:val="center"/>
                </w:tcPr>
                <w:p>
                  <w:pPr>
                    <w:adjustRightInd w:val="0"/>
                    <w:snapToGrid w:val="0"/>
                    <w:jc w:val="center"/>
                    <w:rPr>
                      <w:rFonts w:eastAsiaTheme="minorEastAsia"/>
                      <w:bCs/>
                      <w:sz w:val="21"/>
                      <w:szCs w:val="21"/>
                    </w:rPr>
                  </w:pPr>
                  <w:r>
                    <w:rPr>
                      <w:rFonts w:eastAsiaTheme="minorEastAsia"/>
                      <w:sz w:val="21"/>
                      <w:szCs w:val="21"/>
                    </w:rPr>
                    <w:t>DW001</w:t>
                  </w:r>
                </w:p>
              </w:tc>
              <w:tc>
                <w:tcPr>
                  <w:tcW w:w="983"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COD</w:t>
                  </w:r>
                </w:p>
              </w:tc>
              <w:tc>
                <w:tcPr>
                  <w:tcW w:w="1522" w:type="dxa"/>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40</w:t>
                  </w:r>
                </w:p>
              </w:tc>
              <w:tc>
                <w:tcPr>
                  <w:tcW w:w="2050" w:type="dxa"/>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4.8</w:t>
                  </w:r>
                  <w:r>
                    <w:rPr>
                      <w:rFonts w:eastAsiaTheme="minorEastAsia"/>
                      <w:bCs/>
                      <w:sz w:val="21"/>
                      <w:szCs w:val="21"/>
                    </w:rPr>
                    <w:t>×10</w:t>
                  </w:r>
                  <w:r>
                    <w:rPr>
                      <w:rFonts w:eastAsiaTheme="minorEastAsia"/>
                      <w:bCs/>
                      <w:sz w:val="21"/>
                      <w:szCs w:val="21"/>
                      <w:vertAlign w:val="superscript"/>
                    </w:rPr>
                    <w:t>-</w:t>
                  </w:r>
                  <w:r>
                    <w:rPr>
                      <w:rFonts w:hint="eastAsia" w:eastAsiaTheme="minorEastAsia"/>
                      <w:bCs/>
                      <w:sz w:val="21"/>
                      <w:szCs w:val="21"/>
                      <w:vertAlign w:val="superscript"/>
                    </w:rPr>
                    <w:t>6</w:t>
                  </w:r>
                </w:p>
              </w:tc>
              <w:tc>
                <w:tcPr>
                  <w:tcW w:w="1712" w:type="dxa"/>
                  <w:tcBorders>
                    <w:tl2br w:val="nil"/>
                    <w:tr2bl w:val="nil"/>
                  </w:tcBorders>
                  <w:vAlign w:val="center"/>
                </w:tcPr>
                <w:p>
                  <w:pPr>
                    <w:adjustRightInd w:val="0"/>
                    <w:snapToGrid w:val="0"/>
                    <w:jc w:val="center"/>
                    <w:rPr>
                      <w:rFonts w:hint="default" w:eastAsiaTheme="minorEastAsia"/>
                      <w:bCs/>
                      <w:sz w:val="21"/>
                      <w:szCs w:val="21"/>
                      <w:lang w:val="en-US" w:eastAsia="zh-CN"/>
                    </w:rPr>
                  </w:pPr>
                  <w:r>
                    <w:rPr>
                      <w:rFonts w:hint="eastAsia" w:eastAsiaTheme="minorEastAsia"/>
                      <w:bCs/>
                      <w:sz w:val="21"/>
                      <w:szCs w:val="21"/>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579"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2</w:t>
                  </w:r>
                </w:p>
              </w:tc>
              <w:tc>
                <w:tcPr>
                  <w:tcW w:w="849" w:type="dxa"/>
                  <w:vMerge w:val="continue"/>
                  <w:tcBorders>
                    <w:tl2br w:val="nil"/>
                    <w:tr2bl w:val="nil"/>
                  </w:tcBorders>
                  <w:vAlign w:val="center"/>
                </w:tcPr>
                <w:p>
                  <w:pPr>
                    <w:adjustRightInd w:val="0"/>
                    <w:snapToGrid w:val="0"/>
                    <w:jc w:val="center"/>
                    <w:rPr>
                      <w:rFonts w:eastAsiaTheme="minorEastAsia"/>
                      <w:bCs/>
                      <w:sz w:val="21"/>
                      <w:szCs w:val="21"/>
                    </w:rPr>
                  </w:pPr>
                </w:p>
              </w:tc>
              <w:tc>
                <w:tcPr>
                  <w:tcW w:w="983"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SS</w:t>
                  </w:r>
                </w:p>
              </w:tc>
              <w:tc>
                <w:tcPr>
                  <w:tcW w:w="1522"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10</w:t>
                  </w:r>
                </w:p>
              </w:tc>
              <w:tc>
                <w:tcPr>
                  <w:tcW w:w="2050" w:type="dxa"/>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1.2</w:t>
                  </w:r>
                  <w:r>
                    <w:rPr>
                      <w:rFonts w:eastAsiaTheme="minorEastAsia"/>
                      <w:bCs/>
                      <w:sz w:val="21"/>
                      <w:szCs w:val="21"/>
                    </w:rPr>
                    <w:t>×10</w:t>
                  </w:r>
                  <w:r>
                    <w:rPr>
                      <w:rFonts w:eastAsiaTheme="minorEastAsia"/>
                      <w:bCs/>
                      <w:sz w:val="21"/>
                      <w:szCs w:val="21"/>
                      <w:vertAlign w:val="superscript"/>
                    </w:rPr>
                    <w:t>-6</w:t>
                  </w:r>
                </w:p>
              </w:tc>
              <w:tc>
                <w:tcPr>
                  <w:tcW w:w="1712" w:type="dxa"/>
                  <w:tcBorders>
                    <w:tl2br w:val="nil"/>
                    <w:tr2bl w:val="nil"/>
                  </w:tcBorders>
                  <w:vAlign w:val="center"/>
                </w:tcPr>
                <w:p>
                  <w:pPr>
                    <w:adjustRightInd w:val="0"/>
                    <w:snapToGrid w:val="0"/>
                    <w:jc w:val="center"/>
                    <w:rPr>
                      <w:rFonts w:hint="default" w:eastAsiaTheme="minorEastAsia"/>
                      <w:bCs/>
                      <w:sz w:val="21"/>
                      <w:szCs w:val="21"/>
                      <w:lang w:val="en-US" w:eastAsia="zh-CN"/>
                    </w:rPr>
                  </w:pPr>
                  <w:r>
                    <w:rPr>
                      <w:rFonts w:hint="eastAsia" w:eastAsiaTheme="minorEastAsia"/>
                      <w:bCs/>
                      <w:sz w:val="21"/>
                      <w:szCs w:val="21"/>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579"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3</w:t>
                  </w:r>
                </w:p>
              </w:tc>
              <w:tc>
                <w:tcPr>
                  <w:tcW w:w="849" w:type="dxa"/>
                  <w:vMerge w:val="continue"/>
                  <w:tcBorders>
                    <w:tl2br w:val="nil"/>
                    <w:tr2bl w:val="nil"/>
                  </w:tcBorders>
                  <w:vAlign w:val="center"/>
                </w:tcPr>
                <w:p>
                  <w:pPr>
                    <w:adjustRightInd w:val="0"/>
                    <w:snapToGrid w:val="0"/>
                    <w:jc w:val="center"/>
                    <w:rPr>
                      <w:rFonts w:eastAsiaTheme="minorEastAsia"/>
                      <w:bCs/>
                      <w:sz w:val="21"/>
                      <w:szCs w:val="21"/>
                    </w:rPr>
                  </w:pPr>
                </w:p>
              </w:tc>
              <w:tc>
                <w:tcPr>
                  <w:tcW w:w="983"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NH</w:t>
                  </w:r>
                  <w:r>
                    <w:rPr>
                      <w:rFonts w:eastAsiaTheme="minorEastAsia"/>
                      <w:bCs/>
                      <w:sz w:val="21"/>
                      <w:szCs w:val="21"/>
                      <w:vertAlign w:val="subscript"/>
                    </w:rPr>
                    <w:t>3</w:t>
                  </w:r>
                  <w:r>
                    <w:rPr>
                      <w:rFonts w:eastAsiaTheme="minorEastAsia"/>
                      <w:bCs/>
                      <w:sz w:val="21"/>
                      <w:szCs w:val="21"/>
                    </w:rPr>
                    <w:t>-N</w:t>
                  </w:r>
                </w:p>
              </w:tc>
              <w:tc>
                <w:tcPr>
                  <w:tcW w:w="1522" w:type="dxa"/>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2.0</w:t>
                  </w:r>
                </w:p>
              </w:tc>
              <w:tc>
                <w:tcPr>
                  <w:tcW w:w="2050" w:type="dxa"/>
                  <w:tcBorders>
                    <w:tl2br w:val="nil"/>
                    <w:tr2bl w:val="nil"/>
                  </w:tcBorders>
                  <w:vAlign w:val="center"/>
                </w:tcPr>
                <w:p>
                  <w:pPr>
                    <w:adjustRightInd w:val="0"/>
                    <w:snapToGrid w:val="0"/>
                    <w:jc w:val="center"/>
                    <w:rPr>
                      <w:rFonts w:eastAsiaTheme="minorEastAsia"/>
                      <w:sz w:val="21"/>
                      <w:szCs w:val="21"/>
                    </w:rPr>
                  </w:pPr>
                  <w:r>
                    <w:rPr>
                      <w:rFonts w:hint="eastAsia" w:eastAsiaTheme="minorEastAsia"/>
                      <w:bCs/>
                      <w:sz w:val="21"/>
                      <w:szCs w:val="21"/>
                    </w:rPr>
                    <w:t>2.4</w:t>
                  </w:r>
                  <w:r>
                    <w:rPr>
                      <w:rFonts w:eastAsiaTheme="minorEastAsia"/>
                      <w:bCs/>
                      <w:sz w:val="21"/>
                      <w:szCs w:val="21"/>
                    </w:rPr>
                    <w:t>×10</w:t>
                  </w:r>
                  <w:r>
                    <w:rPr>
                      <w:rFonts w:eastAsiaTheme="minorEastAsia"/>
                      <w:bCs/>
                      <w:sz w:val="21"/>
                      <w:szCs w:val="21"/>
                      <w:vertAlign w:val="superscript"/>
                    </w:rPr>
                    <w:t>-</w:t>
                  </w:r>
                  <w:r>
                    <w:rPr>
                      <w:rFonts w:hint="eastAsia" w:eastAsiaTheme="minorEastAsia"/>
                      <w:bCs/>
                      <w:sz w:val="21"/>
                      <w:szCs w:val="21"/>
                      <w:vertAlign w:val="superscript"/>
                    </w:rPr>
                    <w:t>7</w:t>
                  </w:r>
                </w:p>
              </w:tc>
              <w:tc>
                <w:tcPr>
                  <w:tcW w:w="1712" w:type="dxa"/>
                  <w:tcBorders>
                    <w:tl2br w:val="nil"/>
                    <w:tr2bl w:val="nil"/>
                  </w:tcBorders>
                  <w:vAlign w:val="center"/>
                </w:tcPr>
                <w:p>
                  <w:pPr>
                    <w:adjustRightInd w:val="0"/>
                    <w:snapToGrid w:val="0"/>
                    <w:jc w:val="center"/>
                    <w:rPr>
                      <w:rFonts w:hint="default" w:eastAsiaTheme="minorEastAsia"/>
                      <w:bCs/>
                      <w:sz w:val="21"/>
                      <w:szCs w:val="21"/>
                      <w:lang w:val="en-US" w:eastAsia="zh-CN"/>
                    </w:rPr>
                  </w:pPr>
                  <w:r>
                    <w:rPr>
                      <w:rFonts w:hint="eastAsia" w:eastAsiaTheme="minorEastAsia"/>
                      <w:bCs/>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579"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4</w:t>
                  </w:r>
                </w:p>
              </w:tc>
              <w:tc>
                <w:tcPr>
                  <w:tcW w:w="849" w:type="dxa"/>
                  <w:vMerge w:val="continue"/>
                  <w:tcBorders>
                    <w:tl2br w:val="nil"/>
                    <w:tr2bl w:val="nil"/>
                  </w:tcBorders>
                  <w:vAlign w:val="center"/>
                </w:tcPr>
                <w:p>
                  <w:pPr>
                    <w:adjustRightInd w:val="0"/>
                    <w:snapToGrid w:val="0"/>
                    <w:jc w:val="center"/>
                    <w:rPr>
                      <w:rFonts w:eastAsiaTheme="minorEastAsia"/>
                      <w:bCs/>
                      <w:sz w:val="21"/>
                      <w:szCs w:val="21"/>
                    </w:rPr>
                  </w:pPr>
                </w:p>
              </w:tc>
              <w:tc>
                <w:tcPr>
                  <w:tcW w:w="983"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TP</w:t>
                  </w:r>
                </w:p>
              </w:tc>
              <w:tc>
                <w:tcPr>
                  <w:tcW w:w="1522"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0.4</w:t>
                  </w:r>
                </w:p>
              </w:tc>
              <w:tc>
                <w:tcPr>
                  <w:tcW w:w="2050" w:type="dxa"/>
                  <w:tcBorders>
                    <w:tl2br w:val="nil"/>
                    <w:tr2bl w:val="nil"/>
                  </w:tcBorders>
                  <w:vAlign w:val="center"/>
                </w:tcPr>
                <w:p>
                  <w:pPr>
                    <w:adjustRightInd w:val="0"/>
                    <w:snapToGrid w:val="0"/>
                    <w:jc w:val="center"/>
                    <w:rPr>
                      <w:rFonts w:eastAsiaTheme="minorEastAsia"/>
                      <w:sz w:val="21"/>
                      <w:szCs w:val="21"/>
                    </w:rPr>
                  </w:pPr>
                  <w:r>
                    <w:rPr>
                      <w:rFonts w:hint="eastAsia" w:eastAsiaTheme="minorEastAsia"/>
                      <w:bCs/>
                      <w:sz w:val="21"/>
                      <w:szCs w:val="21"/>
                    </w:rPr>
                    <w:t>4.8</w:t>
                  </w:r>
                  <w:r>
                    <w:rPr>
                      <w:rFonts w:eastAsiaTheme="minorEastAsia"/>
                      <w:bCs/>
                      <w:sz w:val="21"/>
                      <w:szCs w:val="21"/>
                    </w:rPr>
                    <w:t>×10</w:t>
                  </w:r>
                  <w:r>
                    <w:rPr>
                      <w:rFonts w:eastAsiaTheme="minorEastAsia"/>
                      <w:bCs/>
                      <w:sz w:val="21"/>
                      <w:szCs w:val="21"/>
                      <w:vertAlign w:val="superscript"/>
                    </w:rPr>
                    <w:t>-</w:t>
                  </w:r>
                  <w:r>
                    <w:rPr>
                      <w:rFonts w:hint="eastAsia" w:eastAsiaTheme="minorEastAsia"/>
                      <w:bCs/>
                      <w:sz w:val="21"/>
                      <w:szCs w:val="21"/>
                      <w:vertAlign w:val="superscript"/>
                    </w:rPr>
                    <w:t>8</w:t>
                  </w:r>
                </w:p>
              </w:tc>
              <w:tc>
                <w:tcPr>
                  <w:tcW w:w="1712" w:type="dxa"/>
                  <w:tcBorders>
                    <w:tl2br w:val="nil"/>
                    <w:tr2bl w:val="nil"/>
                  </w:tcBorders>
                  <w:vAlign w:val="center"/>
                </w:tcPr>
                <w:p>
                  <w:pPr>
                    <w:adjustRightInd w:val="0"/>
                    <w:snapToGrid w:val="0"/>
                    <w:jc w:val="center"/>
                    <w:rPr>
                      <w:rFonts w:hint="default" w:eastAsiaTheme="minorEastAsia"/>
                      <w:bCs/>
                      <w:sz w:val="21"/>
                      <w:szCs w:val="21"/>
                      <w:lang w:val="en-US" w:eastAsia="zh-CN"/>
                    </w:rPr>
                  </w:pPr>
                  <w:r>
                    <w:rPr>
                      <w:rFonts w:hint="eastAsia" w:eastAsiaTheme="minorEastAsia"/>
                      <w:bCs/>
                      <w:sz w:val="21"/>
                      <w:szCs w:val="21"/>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579"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5</w:t>
                  </w:r>
                </w:p>
              </w:tc>
              <w:tc>
                <w:tcPr>
                  <w:tcW w:w="849" w:type="dxa"/>
                  <w:vMerge w:val="continue"/>
                  <w:tcBorders>
                    <w:tl2br w:val="nil"/>
                    <w:tr2bl w:val="nil"/>
                  </w:tcBorders>
                  <w:vAlign w:val="center"/>
                </w:tcPr>
                <w:p>
                  <w:pPr>
                    <w:adjustRightInd w:val="0"/>
                    <w:snapToGrid w:val="0"/>
                    <w:jc w:val="center"/>
                    <w:rPr>
                      <w:rFonts w:eastAsiaTheme="minorEastAsia"/>
                      <w:bCs/>
                      <w:sz w:val="21"/>
                      <w:szCs w:val="21"/>
                    </w:rPr>
                  </w:pPr>
                </w:p>
              </w:tc>
              <w:tc>
                <w:tcPr>
                  <w:tcW w:w="983" w:type="dxa"/>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TN</w:t>
                  </w:r>
                </w:p>
              </w:tc>
              <w:tc>
                <w:tcPr>
                  <w:tcW w:w="1522" w:type="dxa"/>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15</w:t>
                  </w:r>
                </w:p>
              </w:tc>
              <w:tc>
                <w:tcPr>
                  <w:tcW w:w="2050" w:type="dxa"/>
                  <w:tcBorders>
                    <w:tl2br w:val="nil"/>
                    <w:tr2bl w:val="nil"/>
                  </w:tcBorders>
                  <w:vAlign w:val="center"/>
                </w:tcPr>
                <w:p>
                  <w:pPr>
                    <w:adjustRightInd w:val="0"/>
                    <w:snapToGrid w:val="0"/>
                    <w:jc w:val="center"/>
                    <w:rPr>
                      <w:rFonts w:eastAsiaTheme="minorEastAsia"/>
                      <w:bCs/>
                      <w:sz w:val="21"/>
                      <w:szCs w:val="21"/>
                    </w:rPr>
                  </w:pPr>
                  <w:r>
                    <w:rPr>
                      <w:rFonts w:hint="eastAsia" w:eastAsiaTheme="minorEastAsia"/>
                      <w:bCs/>
                      <w:sz w:val="21"/>
                      <w:szCs w:val="21"/>
                    </w:rPr>
                    <w:t>1.8</w:t>
                  </w:r>
                  <w:r>
                    <w:rPr>
                      <w:rFonts w:eastAsiaTheme="minorEastAsia"/>
                      <w:bCs/>
                      <w:sz w:val="21"/>
                      <w:szCs w:val="21"/>
                    </w:rPr>
                    <w:t>×10</w:t>
                  </w:r>
                  <w:r>
                    <w:rPr>
                      <w:rFonts w:eastAsiaTheme="minorEastAsia"/>
                      <w:bCs/>
                      <w:sz w:val="21"/>
                      <w:szCs w:val="21"/>
                      <w:vertAlign w:val="superscript"/>
                    </w:rPr>
                    <w:t>-6</w:t>
                  </w:r>
                </w:p>
              </w:tc>
              <w:tc>
                <w:tcPr>
                  <w:tcW w:w="1712" w:type="dxa"/>
                  <w:tcBorders>
                    <w:tl2br w:val="nil"/>
                    <w:tr2bl w:val="nil"/>
                  </w:tcBorders>
                  <w:vAlign w:val="center"/>
                </w:tcPr>
                <w:p>
                  <w:pPr>
                    <w:adjustRightInd w:val="0"/>
                    <w:snapToGrid w:val="0"/>
                    <w:jc w:val="center"/>
                    <w:rPr>
                      <w:rFonts w:hint="default" w:eastAsiaTheme="minorEastAsia"/>
                      <w:bCs/>
                      <w:sz w:val="21"/>
                      <w:szCs w:val="21"/>
                      <w:lang w:val="en-US" w:eastAsia="zh-CN"/>
                    </w:rPr>
                  </w:pPr>
                  <w:r>
                    <w:rPr>
                      <w:rFonts w:hint="eastAsia" w:eastAsiaTheme="minorEastAsia"/>
                      <w:bCs/>
                      <w:sz w:val="21"/>
                      <w:szCs w:val="21"/>
                      <w:lang w:val="en-US" w:eastAsia="zh-CN"/>
                    </w:rPr>
                    <w:t>0.0005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2411" w:type="dxa"/>
                  <w:gridSpan w:val="3"/>
                  <w:vMerge w:val="restart"/>
                  <w:tcBorders>
                    <w:tl2br w:val="nil"/>
                    <w:tr2bl w:val="nil"/>
                  </w:tcBorders>
                  <w:vAlign w:val="center"/>
                </w:tcPr>
                <w:p>
                  <w:pPr>
                    <w:adjustRightInd w:val="0"/>
                    <w:snapToGrid w:val="0"/>
                    <w:jc w:val="center"/>
                    <w:rPr>
                      <w:rFonts w:eastAsiaTheme="minorEastAsia"/>
                      <w:bCs/>
                      <w:sz w:val="21"/>
                      <w:szCs w:val="21"/>
                    </w:rPr>
                  </w:pPr>
                  <w:r>
                    <w:rPr>
                      <w:rFonts w:hAnsiTheme="minorEastAsia" w:eastAsiaTheme="minorEastAsia"/>
                      <w:bCs/>
                      <w:sz w:val="21"/>
                      <w:szCs w:val="21"/>
                    </w:rPr>
                    <w:t>全厂排放口合计</w:t>
                  </w:r>
                </w:p>
              </w:tc>
              <w:tc>
                <w:tcPr>
                  <w:tcW w:w="3572" w:type="dxa"/>
                  <w:gridSpan w:val="2"/>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COD</w:t>
                  </w:r>
                </w:p>
              </w:tc>
              <w:tc>
                <w:tcPr>
                  <w:tcW w:w="1712"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2"/>
                      <w:sz w:val="21"/>
                      <w:szCs w:val="21"/>
                      <w:lang w:val="en-US" w:eastAsia="zh-CN" w:bidi="ar-SA"/>
                    </w:rPr>
                  </w:pPr>
                  <w:r>
                    <w:rPr>
                      <w:rFonts w:hint="eastAsia" w:eastAsiaTheme="minorEastAsia"/>
                      <w:bCs/>
                      <w:sz w:val="21"/>
                      <w:szCs w:val="21"/>
                      <w:lang w:val="en-US" w:eastAsia="zh-CN"/>
                    </w:rPr>
                    <w:t>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2411" w:type="dxa"/>
                  <w:gridSpan w:val="3"/>
                  <w:vMerge w:val="continue"/>
                  <w:tcBorders>
                    <w:tl2br w:val="nil"/>
                    <w:tr2bl w:val="nil"/>
                  </w:tcBorders>
                  <w:vAlign w:val="center"/>
                </w:tcPr>
                <w:p>
                  <w:pPr>
                    <w:adjustRightInd w:val="0"/>
                    <w:snapToGrid w:val="0"/>
                    <w:jc w:val="center"/>
                    <w:rPr>
                      <w:rFonts w:eastAsiaTheme="minorEastAsia"/>
                      <w:bCs/>
                      <w:sz w:val="21"/>
                      <w:szCs w:val="21"/>
                    </w:rPr>
                  </w:pPr>
                </w:p>
              </w:tc>
              <w:tc>
                <w:tcPr>
                  <w:tcW w:w="3572" w:type="dxa"/>
                  <w:gridSpan w:val="2"/>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SS</w:t>
                  </w:r>
                </w:p>
              </w:tc>
              <w:tc>
                <w:tcPr>
                  <w:tcW w:w="1712"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2"/>
                      <w:sz w:val="21"/>
                      <w:szCs w:val="21"/>
                      <w:lang w:val="en-US" w:eastAsia="zh-CN" w:bidi="ar-SA"/>
                    </w:rPr>
                  </w:pPr>
                  <w:r>
                    <w:rPr>
                      <w:rFonts w:hint="eastAsia" w:eastAsiaTheme="minorEastAsia"/>
                      <w:bCs/>
                      <w:sz w:val="21"/>
                      <w:szCs w:val="21"/>
                      <w:lang w:val="en-US" w:eastAsia="zh-CN"/>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2411" w:type="dxa"/>
                  <w:gridSpan w:val="3"/>
                  <w:vMerge w:val="continue"/>
                  <w:tcBorders>
                    <w:tl2br w:val="nil"/>
                    <w:tr2bl w:val="nil"/>
                  </w:tcBorders>
                  <w:vAlign w:val="center"/>
                </w:tcPr>
                <w:p>
                  <w:pPr>
                    <w:adjustRightInd w:val="0"/>
                    <w:snapToGrid w:val="0"/>
                    <w:jc w:val="center"/>
                    <w:rPr>
                      <w:rFonts w:eastAsiaTheme="minorEastAsia"/>
                      <w:bCs/>
                      <w:sz w:val="21"/>
                      <w:szCs w:val="21"/>
                    </w:rPr>
                  </w:pPr>
                </w:p>
              </w:tc>
              <w:tc>
                <w:tcPr>
                  <w:tcW w:w="3572" w:type="dxa"/>
                  <w:gridSpan w:val="2"/>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NH</w:t>
                  </w:r>
                  <w:r>
                    <w:rPr>
                      <w:rFonts w:eastAsiaTheme="minorEastAsia"/>
                      <w:bCs/>
                      <w:sz w:val="21"/>
                      <w:szCs w:val="21"/>
                      <w:vertAlign w:val="subscript"/>
                    </w:rPr>
                    <w:t>3</w:t>
                  </w:r>
                  <w:r>
                    <w:rPr>
                      <w:rFonts w:eastAsiaTheme="minorEastAsia"/>
                      <w:bCs/>
                      <w:sz w:val="21"/>
                      <w:szCs w:val="21"/>
                    </w:rPr>
                    <w:t>-N</w:t>
                  </w:r>
                </w:p>
              </w:tc>
              <w:tc>
                <w:tcPr>
                  <w:tcW w:w="1712"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2"/>
                      <w:sz w:val="21"/>
                      <w:szCs w:val="21"/>
                      <w:lang w:val="en-US" w:eastAsia="zh-CN" w:bidi="ar-SA"/>
                    </w:rPr>
                  </w:pPr>
                  <w:r>
                    <w:rPr>
                      <w:rFonts w:hint="eastAsia" w:eastAsiaTheme="minorEastAsia"/>
                      <w:bCs/>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2411" w:type="dxa"/>
                  <w:gridSpan w:val="3"/>
                  <w:vMerge w:val="continue"/>
                  <w:tcBorders>
                    <w:tl2br w:val="nil"/>
                    <w:tr2bl w:val="nil"/>
                  </w:tcBorders>
                  <w:vAlign w:val="center"/>
                </w:tcPr>
                <w:p>
                  <w:pPr>
                    <w:adjustRightInd w:val="0"/>
                    <w:snapToGrid w:val="0"/>
                    <w:jc w:val="center"/>
                    <w:rPr>
                      <w:rFonts w:eastAsiaTheme="minorEastAsia"/>
                      <w:bCs/>
                      <w:sz w:val="21"/>
                      <w:szCs w:val="21"/>
                    </w:rPr>
                  </w:pPr>
                </w:p>
              </w:tc>
              <w:tc>
                <w:tcPr>
                  <w:tcW w:w="3572" w:type="dxa"/>
                  <w:gridSpan w:val="2"/>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TP</w:t>
                  </w:r>
                </w:p>
              </w:tc>
              <w:tc>
                <w:tcPr>
                  <w:tcW w:w="1712"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2"/>
                      <w:sz w:val="21"/>
                      <w:szCs w:val="21"/>
                      <w:lang w:val="en-US" w:eastAsia="zh-CN" w:bidi="ar-SA"/>
                    </w:rPr>
                  </w:pPr>
                  <w:r>
                    <w:rPr>
                      <w:rFonts w:hint="eastAsia" w:eastAsiaTheme="minorEastAsia"/>
                      <w:bCs/>
                      <w:sz w:val="21"/>
                      <w:szCs w:val="21"/>
                      <w:lang w:val="en-US" w:eastAsia="zh-CN"/>
                    </w:rPr>
                    <w:t>0.00002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2411" w:type="dxa"/>
                  <w:gridSpan w:val="3"/>
                  <w:vMerge w:val="continue"/>
                  <w:tcBorders>
                    <w:tl2br w:val="nil"/>
                    <w:tr2bl w:val="nil"/>
                  </w:tcBorders>
                  <w:vAlign w:val="center"/>
                </w:tcPr>
                <w:p>
                  <w:pPr>
                    <w:adjustRightInd w:val="0"/>
                    <w:snapToGrid w:val="0"/>
                    <w:jc w:val="center"/>
                    <w:rPr>
                      <w:rFonts w:eastAsiaTheme="minorEastAsia"/>
                      <w:bCs/>
                      <w:sz w:val="21"/>
                      <w:szCs w:val="21"/>
                    </w:rPr>
                  </w:pPr>
                </w:p>
              </w:tc>
              <w:tc>
                <w:tcPr>
                  <w:tcW w:w="3572" w:type="dxa"/>
                  <w:gridSpan w:val="2"/>
                  <w:tcBorders>
                    <w:tl2br w:val="nil"/>
                    <w:tr2bl w:val="nil"/>
                  </w:tcBorders>
                  <w:vAlign w:val="center"/>
                </w:tcPr>
                <w:p>
                  <w:pPr>
                    <w:adjustRightInd w:val="0"/>
                    <w:snapToGrid w:val="0"/>
                    <w:jc w:val="center"/>
                    <w:rPr>
                      <w:rFonts w:eastAsiaTheme="minorEastAsia"/>
                      <w:bCs/>
                      <w:sz w:val="21"/>
                      <w:szCs w:val="21"/>
                    </w:rPr>
                  </w:pPr>
                  <w:r>
                    <w:rPr>
                      <w:rFonts w:eastAsiaTheme="minorEastAsia"/>
                      <w:bCs/>
                      <w:sz w:val="21"/>
                      <w:szCs w:val="21"/>
                    </w:rPr>
                    <w:t>TN</w:t>
                  </w:r>
                </w:p>
              </w:tc>
              <w:tc>
                <w:tcPr>
                  <w:tcW w:w="1712" w:type="dxa"/>
                  <w:tcBorders>
                    <w:tl2br w:val="nil"/>
                    <w:tr2bl w:val="nil"/>
                  </w:tcBorders>
                  <w:vAlign w:val="center"/>
                </w:tcPr>
                <w:p>
                  <w:pPr>
                    <w:adjustRightInd w:val="0"/>
                    <w:snapToGrid w:val="0"/>
                    <w:jc w:val="center"/>
                    <w:rPr>
                      <w:rFonts w:hint="default" w:ascii="Times New Roman" w:hAnsi="Times New Roman" w:cs="Times New Roman" w:eastAsiaTheme="minorEastAsia"/>
                      <w:bCs/>
                      <w:kern w:val="2"/>
                      <w:sz w:val="21"/>
                      <w:szCs w:val="21"/>
                      <w:lang w:val="en-US" w:eastAsia="zh-CN" w:bidi="ar-SA"/>
                    </w:rPr>
                  </w:pPr>
                  <w:r>
                    <w:rPr>
                      <w:rFonts w:hint="eastAsia" w:eastAsiaTheme="minorEastAsia"/>
                      <w:bCs/>
                      <w:sz w:val="21"/>
                      <w:szCs w:val="21"/>
                      <w:lang w:val="en-US" w:eastAsia="zh-CN"/>
                    </w:rPr>
                    <w:t>0.0005</w:t>
                  </w:r>
                </w:p>
              </w:tc>
            </w:tr>
          </w:tbl>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2" w:firstLineChars="200"/>
              <w:textAlignment w:val="auto"/>
              <w:rPr>
                <w:b/>
                <w:sz w:val="24"/>
                <w:lang w:val="en-GB"/>
              </w:rPr>
            </w:pPr>
            <w:r>
              <w:rPr>
                <w:b/>
                <w:sz w:val="24"/>
                <w:szCs w:val="24"/>
                <w:lang w:val="pt-BR"/>
              </w:rPr>
              <w:t>（</w:t>
            </w:r>
            <w:r>
              <w:rPr>
                <w:rFonts w:hint="eastAsia"/>
                <w:b/>
                <w:sz w:val="24"/>
                <w:szCs w:val="24"/>
                <w:lang w:val="pt-BR"/>
              </w:rPr>
              <w:t>4</w:t>
            </w:r>
            <w:r>
              <w:rPr>
                <w:b/>
                <w:sz w:val="24"/>
                <w:szCs w:val="24"/>
                <w:lang w:val="pt-BR"/>
              </w:rPr>
              <w:t>）</w:t>
            </w:r>
            <w:r>
              <w:rPr>
                <w:rFonts w:hAnsi="宋体"/>
                <w:b/>
                <w:sz w:val="24"/>
                <w:lang w:val="en-GB"/>
              </w:rPr>
              <w:t>废</w:t>
            </w:r>
            <w:r>
              <w:rPr>
                <w:rFonts w:hint="eastAsia" w:hAnsi="宋体"/>
                <w:b/>
                <w:sz w:val="24"/>
                <w:lang w:val="en-GB"/>
              </w:rPr>
              <w:t>水</w:t>
            </w:r>
            <w:r>
              <w:rPr>
                <w:rFonts w:hAnsi="宋体"/>
                <w:b/>
                <w:sz w:val="24"/>
                <w:lang w:val="en-GB"/>
              </w:rPr>
              <w:t>监测要求</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Ansi="宋体"/>
                <w:sz w:val="24"/>
                <w:lang w:val="en-GB"/>
              </w:rPr>
            </w:pPr>
            <w:r>
              <w:rPr>
                <w:rFonts w:hint="eastAsia" w:hAnsi="宋体"/>
                <w:sz w:val="24"/>
                <w:lang w:val="en-GB"/>
              </w:rPr>
              <w:t>本项目生活污水经</w:t>
            </w:r>
            <w:r>
              <w:rPr>
                <w:rFonts w:hint="eastAsia" w:hAnsi="宋体"/>
                <w:sz w:val="24"/>
                <w:lang w:val="en-US" w:eastAsia="zh-CN"/>
              </w:rPr>
              <w:t>化</w:t>
            </w:r>
            <w:r>
              <w:rPr>
                <w:rFonts w:hint="eastAsia" w:hAnsi="宋体"/>
                <w:sz w:val="24"/>
                <w:lang w:val="en-GB"/>
              </w:rPr>
              <w:t xml:space="preserve">粪池处理后，排入污水处理厂处理。根据《排污许可证申请与核发技术规范 </w:t>
            </w:r>
            <w:r>
              <w:rPr>
                <w:rFonts w:hint="eastAsia" w:hAnsi="宋体"/>
                <w:sz w:val="24"/>
                <w:lang w:val="en-US" w:eastAsia="zh-CN"/>
              </w:rPr>
              <w:t>工业固体废物和危险废物治理行业</w:t>
            </w:r>
            <w:r>
              <w:rPr>
                <w:rFonts w:hint="eastAsia" w:hAnsi="宋体"/>
                <w:sz w:val="24"/>
                <w:lang w:val="en-GB"/>
              </w:rPr>
              <w:t>》自行监测要求，单独排入公共污水处理系统的生活污水无需开展自行监测。</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textAlignment w:val="auto"/>
              <w:rPr>
                <w:b/>
                <w:color w:val="000000"/>
                <w:sz w:val="24"/>
                <w:szCs w:val="24"/>
              </w:rPr>
            </w:pPr>
            <w:r>
              <w:rPr>
                <w:rFonts w:hint="eastAsia"/>
                <w:b/>
                <w:color w:val="000000"/>
                <w:sz w:val="24"/>
                <w:szCs w:val="24"/>
              </w:rPr>
              <w:t>三</w:t>
            </w:r>
            <w:r>
              <w:rPr>
                <w:b/>
                <w:color w:val="000000"/>
                <w:sz w:val="24"/>
                <w:szCs w:val="24"/>
              </w:rPr>
              <w:t>、噪声</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color w:val="000000"/>
                <w:sz w:val="24"/>
                <w:szCs w:val="24"/>
                <w:lang w:val="en-US" w:eastAsia="zh-CN"/>
              </w:rPr>
            </w:pPr>
            <w:r>
              <w:rPr>
                <w:rFonts w:hint="eastAsia"/>
                <w:color w:val="000000"/>
                <w:sz w:val="24"/>
                <w:szCs w:val="24"/>
                <w:lang w:val="en-US" w:eastAsia="zh-CN"/>
              </w:rPr>
              <w:t>1、噪声源强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color w:val="000000"/>
                <w:sz w:val="24"/>
                <w:szCs w:val="24"/>
              </w:rPr>
            </w:pPr>
            <w:r>
              <w:rPr>
                <w:rFonts w:hint="eastAsia"/>
                <w:color w:val="000000"/>
                <w:sz w:val="24"/>
                <w:szCs w:val="24"/>
              </w:rPr>
              <w:t>该项目高噪声设备主要为</w:t>
            </w:r>
            <w:r>
              <w:rPr>
                <w:rFonts w:hint="eastAsia"/>
                <w:sz w:val="24"/>
                <w:szCs w:val="24"/>
                <w:lang w:val="en-US" w:eastAsia="zh-CN"/>
              </w:rPr>
              <w:t>风</w:t>
            </w:r>
            <w:r>
              <w:rPr>
                <w:rFonts w:hint="eastAsia"/>
                <w:sz w:val="24"/>
                <w:szCs w:val="24"/>
              </w:rPr>
              <w:t>机、</w:t>
            </w:r>
            <w:r>
              <w:rPr>
                <w:rFonts w:hint="eastAsia"/>
                <w:sz w:val="24"/>
                <w:szCs w:val="24"/>
                <w:lang w:val="en-US" w:eastAsia="zh-CN"/>
              </w:rPr>
              <w:t>叉车</w:t>
            </w:r>
            <w:r>
              <w:rPr>
                <w:sz w:val="24"/>
                <w:szCs w:val="24"/>
              </w:rPr>
              <w:t>等</w:t>
            </w:r>
            <w:r>
              <w:rPr>
                <w:rFonts w:hint="eastAsia"/>
                <w:color w:val="000000"/>
                <w:sz w:val="24"/>
                <w:szCs w:val="24"/>
              </w:rPr>
              <w:t>，声源强度在75-80dB（A）之间，</w:t>
            </w:r>
            <w:r>
              <w:rPr>
                <w:color w:val="000000"/>
                <w:sz w:val="24"/>
                <w:szCs w:val="24"/>
              </w:rPr>
              <w:t>声源强度及治理效果见</w:t>
            </w:r>
            <w:r>
              <w:rPr>
                <w:rFonts w:hint="eastAsia"/>
                <w:color w:val="000000"/>
                <w:sz w:val="24"/>
                <w:szCs w:val="24"/>
              </w:rPr>
              <w:t>下表。</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center"/>
              <w:textAlignment w:val="auto"/>
              <w:rPr>
                <w:b/>
                <w:color w:val="000000"/>
                <w:sz w:val="24"/>
                <w:szCs w:val="24"/>
              </w:rPr>
            </w:pPr>
            <w:r>
              <w:rPr>
                <w:b/>
                <w:color w:val="000000"/>
                <w:sz w:val="24"/>
                <w:szCs w:val="24"/>
              </w:rPr>
              <w:t>表</w:t>
            </w:r>
            <w:r>
              <w:rPr>
                <w:rFonts w:hint="eastAsia"/>
                <w:b/>
                <w:color w:val="000000"/>
                <w:sz w:val="24"/>
                <w:szCs w:val="24"/>
                <w:lang w:val="en-US" w:eastAsia="zh-CN"/>
              </w:rPr>
              <w:t xml:space="preserve">4-11    </w:t>
            </w:r>
            <w:r>
              <w:rPr>
                <w:b/>
                <w:color w:val="000000"/>
                <w:sz w:val="24"/>
                <w:szCs w:val="24"/>
              </w:rPr>
              <w:t>项目主要噪声源强及治理效果一览表</w:t>
            </w:r>
            <w:r>
              <w:rPr>
                <w:rFonts w:hint="eastAsia"/>
                <w:b/>
                <w:color w:val="000000"/>
                <w:sz w:val="24"/>
                <w:szCs w:val="24"/>
                <w:lang w:val="en-US" w:eastAsia="zh-CN"/>
              </w:rPr>
              <w:t xml:space="preserve">   </w:t>
            </w:r>
            <w:r>
              <w:rPr>
                <w:b/>
                <w:color w:val="000000"/>
                <w:sz w:val="24"/>
                <w:szCs w:val="24"/>
              </w:rPr>
              <w:t>单位：dB（A）</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474"/>
              <w:gridCol w:w="1106"/>
              <w:gridCol w:w="1244"/>
              <w:gridCol w:w="1581"/>
              <w:gridCol w:w="1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序号</w:t>
                  </w:r>
                </w:p>
              </w:tc>
              <w:tc>
                <w:tcPr>
                  <w:tcW w:w="1474"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设备名称</w:t>
                  </w:r>
                </w:p>
              </w:tc>
              <w:tc>
                <w:tcPr>
                  <w:tcW w:w="1106"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数量</w:t>
                  </w:r>
                </w:p>
              </w:tc>
              <w:tc>
                <w:tcPr>
                  <w:tcW w:w="1244" w:type="dxa"/>
                  <w:tcBorders>
                    <w:tl2br w:val="nil"/>
                    <w:tr2bl w:val="nil"/>
                  </w:tcBorders>
                  <w:vAlign w:val="center"/>
                </w:tcPr>
                <w:p>
                  <w:pPr>
                    <w:adjustRightInd w:val="0"/>
                    <w:snapToGrid w:val="0"/>
                    <w:jc w:val="center"/>
                    <w:rPr>
                      <w:rFonts w:eastAsiaTheme="minorEastAsia"/>
                      <w:b/>
                      <w:bCs/>
                      <w:sz w:val="21"/>
                      <w:szCs w:val="21"/>
                    </w:rPr>
                  </w:pPr>
                  <w:r>
                    <w:rPr>
                      <w:rFonts w:hAnsiTheme="minorEastAsia" w:eastAsiaTheme="minorEastAsia"/>
                      <w:b/>
                      <w:bCs/>
                      <w:sz w:val="21"/>
                      <w:szCs w:val="21"/>
                    </w:rPr>
                    <w:t>强度</w:t>
                  </w:r>
                </w:p>
                <w:p>
                  <w:pPr>
                    <w:adjustRightInd w:val="0"/>
                    <w:snapToGrid w:val="0"/>
                    <w:jc w:val="center"/>
                    <w:rPr>
                      <w:rFonts w:eastAsiaTheme="minorEastAsia"/>
                      <w:b/>
                      <w:sz w:val="21"/>
                      <w:szCs w:val="21"/>
                    </w:rPr>
                  </w:pPr>
                  <w:r>
                    <w:rPr>
                      <w:rFonts w:eastAsiaTheme="minorEastAsia"/>
                      <w:b/>
                      <w:sz w:val="21"/>
                      <w:szCs w:val="21"/>
                    </w:rPr>
                    <w:t>dB(A)</w:t>
                  </w:r>
                </w:p>
              </w:tc>
              <w:tc>
                <w:tcPr>
                  <w:tcW w:w="1581"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治理措施</w:t>
                  </w:r>
                </w:p>
              </w:tc>
              <w:tc>
                <w:tcPr>
                  <w:tcW w:w="1350" w:type="dxa"/>
                  <w:tcBorders>
                    <w:tl2br w:val="nil"/>
                    <w:tr2bl w:val="nil"/>
                  </w:tcBorders>
                  <w:vAlign w:val="center"/>
                </w:tcPr>
                <w:p>
                  <w:pPr>
                    <w:adjustRightInd w:val="0"/>
                    <w:snapToGrid w:val="0"/>
                    <w:jc w:val="center"/>
                    <w:rPr>
                      <w:rFonts w:eastAsiaTheme="minorEastAsia"/>
                      <w:b/>
                      <w:sz w:val="21"/>
                      <w:szCs w:val="21"/>
                    </w:rPr>
                  </w:pPr>
                  <w:r>
                    <w:rPr>
                      <w:rFonts w:hAnsiTheme="minorEastAsia" w:eastAsiaTheme="minorEastAsia"/>
                      <w:b/>
                      <w:sz w:val="21"/>
                      <w:szCs w:val="21"/>
                    </w:rPr>
                    <w:t>治理后源强</w:t>
                  </w:r>
                  <w:r>
                    <w:rPr>
                      <w:rFonts w:eastAsiaTheme="minorEastAsia"/>
                      <w:b/>
                      <w:sz w:val="21"/>
                      <w:szCs w:val="21"/>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1</w:t>
                  </w:r>
                </w:p>
              </w:tc>
              <w:tc>
                <w:tcPr>
                  <w:tcW w:w="1474" w:type="dxa"/>
                  <w:tcBorders>
                    <w:tl2br w:val="nil"/>
                    <w:tr2bl w:val="nil"/>
                  </w:tcBorders>
                  <w:vAlign w:val="center"/>
                </w:tcPr>
                <w:p>
                  <w:pPr>
                    <w:adjustRightInd w:val="0"/>
                    <w:snapToGrid w:val="0"/>
                    <w:jc w:val="center"/>
                    <w:rPr>
                      <w:rFonts w:hint="eastAsia" w:eastAsiaTheme="minorEastAsia"/>
                      <w:sz w:val="21"/>
                      <w:szCs w:val="21"/>
                      <w:lang w:eastAsia="zh-CN"/>
                    </w:rPr>
                  </w:pPr>
                  <w:r>
                    <w:rPr>
                      <w:rFonts w:hint="eastAsia" w:hAnsiTheme="minorEastAsia" w:eastAsiaTheme="minorEastAsia"/>
                      <w:sz w:val="21"/>
                      <w:szCs w:val="21"/>
                      <w:lang w:val="en-US" w:eastAsia="zh-CN"/>
                    </w:rPr>
                    <w:t>风机</w:t>
                  </w:r>
                </w:p>
              </w:tc>
              <w:tc>
                <w:tcPr>
                  <w:tcW w:w="1106" w:type="dxa"/>
                  <w:tcBorders>
                    <w:tl2br w:val="nil"/>
                    <w:tr2bl w:val="nil"/>
                  </w:tcBorders>
                  <w:vAlign w:val="center"/>
                </w:tcPr>
                <w:p>
                  <w:pPr>
                    <w:adjustRightInd w:val="0"/>
                    <w:snapToGrid w:val="0"/>
                    <w:jc w:val="center"/>
                    <w:rPr>
                      <w:rFonts w:hint="eastAsia" w:eastAsiaTheme="minorEastAsia"/>
                      <w:sz w:val="21"/>
                      <w:szCs w:val="21"/>
                      <w:lang w:eastAsia="zh-CN"/>
                    </w:rPr>
                  </w:pPr>
                  <w:r>
                    <w:rPr>
                      <w:rFonts w:hint="eastAsia" w:eastAsiaTheme="minorEastAsia"/>
                      <w:sz w:val="21"/>
                      <w:szCs w:val="21"/>
                      <w:lang w:val="en-US" w:eastAsia="zh-CN"/>
                    </w:rPr>
                    <w:t>1</w:t>
                  </w:r>
                </w:p>
              </w:tc>
              <w:tc>
                <w:tcPr>
                  <w:tcW w:w="1244" w:type="dxa"/>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70</w:t>
                  </w:r>
                </w:p>
              </w:tc>
              <w:tc>
                <w:tcPr>
                  <w:tcW w:w="1581" w:type="dxa"/>
                  <w:vMerge w:val="restart"/>
                  <w:tcBorders>
                    <w:tl2br w:val="nil"/>
                    <w:tr2bl w:val="nil"/>
                  </w:tcBorders>
                  <w:vAlign w:val="center"/>
                </w:tcPr>
                <w:p>
                  <w:pPr>
                    <w:adjustRightInd w:val="0"/>
                    <w:snapToGrid w:val="0"/>
                    <w:jc w:val="center"/>
                    <w:rPr>
                      <w:rFonts w:eastAsiaTheme="minorEastAsia"/>
                      <w:sz w:val="21"/>
                      <w:szCs w:val="21"/>
                    </w:rPr>
                  </w:pPr>
                  <w:r>
                    <w:rPr>
                      <w:rFonts w:hAnsiTheme="minorEastAsia" w:eastAsiaTheme="minorEastAsia"/>
                      <w:sz w:val="21"/>
                      <w:szCs w:val="21"/>
                    </w:rPr>
                    <w:t>车间密闭、距离衰减</w:t>
                  </w:r>
                </w:p>
              </w:tc>
              <w:tc>
                <w:tcPr>
                  <w:tcW w:w="1350" w:type="dxa"/>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5" w:type="dxa"/>
                  <w:tcBorders>
                    <w:tl2br w:val="nil"/>
                    <w:tr2bl w:val="nil"/>
                  </w:tcBorders>
                  <w:vAlign w:val="center"/>
                </w:tcPr>
                <w:p>
                  <w:pPr>
                    <w:adjustRightInd w:val="0"/>
                    <w:snapToGrid w:val="0"/>
                    <w:jc w:val="center"/>
                    <w:rPr>
                      <w:rFonts w:eastAsiaTheme="minorEastAsia"/>
                      <w:sz w:val="21"/>
                      <w:szCs w:val="21"/>
                    </w:rPr>
                  </w:pPr>
                  <w:r>
                    <w:rPr>
                      <w:rFonts w:eastAsiaTheme="minorEastAsia"/>
                      <w:sz w:val="21"/>
                      <w:szCs w:val="21"/>
                    </w:rPr>
                    <w:t>2</w:t>
                  </w:r>
                </w:p>
              </w:tc>
              <w:tc>
                <w:tcPr>
                  <w:tcW w:w="1474" w:type="dxa"/>
                  <w:tcBorders>
                    <w:tl2br w:val="nil"/>
                    <w:tr2bl w:val="nil"/>
                  </w:tcBorders>
                  <w:vAlign w:val="center"/>
                </w:tcPr>
                <w:p>
                  <w:pPr>
                    <w:adjustRightInd w:val="0"/>
                    <w:snapToGrid w:val="0"/>
                    <w:jc w:val="center"/>
                    <w:rPr>
                      <w:rFonts w:hint="eastAsia" w:eastAsiaTheme="minorEastAsia"/>
                      <w:sz w:val="21"/>
                      <w:szCs w:val="21"/>
                      <w:lang w:eastAsia="zh-CN"/>
                    </w:rPr>
                  </w:pPr>
                  <w:r>
                    <w:rPr>
                      <w:rFonts w:hint="eastAsia" w:hAnsiTheme="minorEastAsia" w:eastAsiaTheme="minorEastAsia"/>
                      <w:sz w:val="21"/>
                      <w:szCs w:val="21"/>
                      <w:lang w:val="en-US" w:eastAsia="zh-CN"/>
                    </w:rPr>
                    <w:t>叉车</w:t>
                  </w:r>
                </w:p>
              </w:tc>
              <w:tc>
                <w:tcPr>
                  <w:tcW w:w="1106" w:type="dxa"/>
                  <w:tcBorders>
                    <w:tl2br w:val="nil"/>
                    <w:tr2bl w:val="nil"/>
                  </w:tcBorders>
                  <w:vAlign w:val="center"/>
                </w:tcPr>
                <w:p>
                  <w:pPr>
                    <w:adjustRightInd w:val="0"/>
                    <w:snapToGrid w:val="0"/>
                    <w:jc w:val="center"/>
                    <w:rPr>
                      <w:rFonts w:hint="eastAsia" w:eastAsiaTheme="minorEastAsia"/>
                      <w:sz w:val="21"/>
                      <w:szCs w:val="21"/>
                      <w:lang w:eastAsia="zh-CN"/>
                    </w:rPr>
                  </w:pPr>
                  <w:r>
                    <w:rPr>
                      <w:rFonts w:hint="eastAsia" w:eastAsiaTheme="minorEastAsia"/>
                      <w:sz w:val="21"/>
                      <w:szCs w:val="21"/>
                      <w:lang w:val="en-US" w:eastAsia="zh-CN"/>
                    </w:rPr>
                    <w:t>2</w:t>
                  </w:r>
                </w:p>
              </w:tc>
              <w:tc>
                <w:tcPr>
                  <w:tcW w:w="1244" w:type="dxa"/>
                  <w:tcBorders>
                    <w:tl2br w:val="nil"/>
                    <w:tr2bl w:val="nil"/>
                  </w:tcBorders>
                  <w:vAlign w:val="center"/>
                </w:tcPr>
                <w:p>
                  <w:pPr>
                    <w:adjustRightInd w:val="0"/>
                    <w:snapToGrid w:val="0"/>
                    <w:jc w:val="center"/>
                    <w:rPr>
                      <w:rFonts w:eastAsiaTheme="minorEastAsia"/>
                      <w:sz w:val="21"/>
                      <w:szCs w:val="21"/>
                    </w:rPr>
                  </w:pPr>
                  <w:r>
                    <w:rPr>
                      <w:rFonts w:hint="eastAsia" w:eastAsiaTheme="minorEastAsia"/>
                      <w:sz w:val="21"/>
                      <w:szCs w:val="21"/>
                    </w:rPr>
                    <w:t>75</w:t>
                  </w:r>
                </w:p>
              </w:tc>
              <w:tc>
                <w:tcPr>
                  <w:tcW w:w="1581" w:type="dxa"/>
                  <w:vMerge w:val="continue"/>
                  <w:tcBorders>
                    <w:tl2br w:val="nil"/>
                    <w:tr2bl w:val="nil"/>
                  </w:tcBorders>
                  <w:vAlign w:val="center"/>
                </w:tcPr>
                <w:p>
                  <w:pPr>
                    <w:adjustRightInd w:val="0"/>
                    <w:snapToGrid w:val="0"/>
                    <w:jc w:val="center"/>
                    <w:rPr>
                      <w:rFonts w:eastAsiaTheme="minorEastAsia"/>
                      <w:sz w:val="21"/>
                      <w:szCs w:val="21"/>
                    </w:rPr>
                  </w:pPr>
                </w:p>
              </w:tc>
              <w:tc>
                <w:tcPr>
                  <w:tcW w:w="1350" w:type="dxa"/>
                  <w:tcBorders>
                    <w:tl2br w:val="nil"/>
                    <w:tr2bl w:val="nil"/>
                  </w:tcBorders>
                  <w:vAlign w:val="center"/>
                </w:tcPr>
                <w:p>
                  <w:pPr>
                    <w:adjustRightInd w:val="0"/>
                    <w:snapToGrid w:val="0"/>
                    <w:jc w:val="center"/>
                    <w:rPr>
                      <w:rFonts w:hint="eastAsia" w:eastAsiaTheme="minorEastAsia"/>
                      <w:sz w:val="21"/>
                      <w:szCs w:val="21"/>
                      <w:lang w:val="en-US" w:eastAsia="zh-CN"/>
                    </w:rPr>
                  </w:pPr>
                  <w:r>
                    <w:rPr>
                      <w:rFonts w:hint="eastAsia" w:eastAsiaTheme="minorEastAsia"/>
                      <w:sz w:val="21"/>
                      <w:szCs w:val="21"/>
                    </w:rPr>
                    <w:t>5</w:t>
                  </w:r>
                  <w:r>
                    <w:rPr>
                      <w:rFonts w:hint="eastAsia" w:eastAsiaTheme="minorEastAsia"/>
                      <w:sz w:val="21"/>
                      <w:szCs w:val="21"/>
                      <w:lang w:val="en-US" w:eastAsia="zh-CN"/>
                    </w:rPr>
                    <w:t>4</w:t>
                  </w: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本次评价分别将厂房内采取降噪措施后的生产设备噪声进行叠加，然后向厂界四周做衰减计算。</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叠加公式为：</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sz w:val="24"/>
                <w:szCs w:val="24"/>
                <w:lang w:val="pt-BR"/>
              </w:rPr>
            </w:pPr>
            <w:r>
              <w:rPr>
                <w:sz w:val="24"/>
                <w:szCs w:val="24"/>
                <w:lang w:val="pt-BR"/>
              </w:rPr>
              <w:t>Leq=10lg(</w:t>
            </w:r>
            <w:r>
              <w:rPr>
                <w:sz w:val="24"/>
                <w:szCs w:val="24"/>
              </w:rPr>
              <w:t>Σ</w:t>
            </w:r>
            <w:r>
              <w:rPr>
                <w:sz w:val="24"/>
                <w:szCs w:val="24"/>
                <w:lang w:val="pt-BR"/>
              </w:rPr>
              <w:t>10</w:t>
            </w:r>
            <w:r>
              <w:rPr>
                <w:sz w:val="24"/>
                <w:szCs w:val="24"/>
                <w:vertAlign w:val="superscript"/>
                <w:lang w:val="pt-BR"/>
              </w:rPr>
              <w:t>Li/10</w:t>
            </w:r>
            <w:r>
              <w:rPr>
                <w:sz w:val="24"/>
                <w:szCs w:val="24"/>
                <w:lang w:val="pt-BR"/>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式中：Leq——等效声级，dB(A)；</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 xml:space="preserve">      Li——等间隔时间t时读取的声级值，dB(A)；</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 xml:space="preserve">      N——读取声级值的总个数。</w:t>
            </w:r>
          </w:p>
          <w:p>
            <w:pPr>
              <w:keepNext w:val="0"/>
              <w:keepLines w:val="0"/>
              <w:pageBreakBefore w:val="0"/>
              <w:widowControl w:val="0"/>
              <w:numPr>
                <w:ilvl w:val="0"/>
                <w:numId w:val="5"/>
              </w:numPr>
              <w:kinsoku/>
              <w:wordWrap/>
              <w:overflowPunct/>
              <w:topLinePunct w:val="0"/>
              <w:autoSpaceDE/>
              <w:autoSpaceDN/>
              <w:bidi w:val="0"/>
              <w:adjustRightInd w:val="0"/>
              <w:snapToGrid w:val="0"/>
              <w:spacing w:line="520" w:lineRule="exact"/>
              <w:ind w:firstLine="480" w:firstLineChars="200"/>
              <w:jc w:val="left"/>
              <w:textAlignment w:val="auto"/>
              <w:rPr>
                <w:rFonts w:hint="eastAsia"/>
                <w:sz w:val="24"/>
                <w:szCs w:val="24"/>
                <w:lang w:val="en-US" w:eastAsia="zh-CN"/>
              </w:rPr>
            </w:pPr>
            <w:r>
              <w:rPr>
                <w:rFonts w:hint="eastAsia"/>
                <w:sz w:val="24"/>
                <w:szCs w:val="24"/>
                <w:lang w:val="en-US" w:eastAsia="zh-CN"/>
              </w:rPr>
              <w:t>厂界噪声达标分析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评价根据最不利因素进行考虑：即所有高噪声设备同时运行。评价对隔声、减震后的设备噪声进行叠加，叠加后噪声级为</w:t>
            </w:r>
            <w:r>
              <w:rPr>
                <w:rFonts w:hint="eastAsia"/>
                <w:sz w:val="24"/>
                <w:szCs w:val="24"/>
              </w:rPr>
              <w:t>52</w:t>
            </w:r>
            <w:r>
              <w:rPr>
                <w:sz w:val="24"/>
                <w:szCs w:val="24"/>
              </w:rPr>
              <w:t>dB(A)，声源为生产车间。合成噪声对厂界的影响以噪声源在传播过程中的距离衰减因素为主，对于传播发散、空气吸收、阻挡物的反射因素的影响未做考虑，噪声在传播过程中随距离的衰减按下公式计算：</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center"/>
              <w:textAlignment w:val="auto"/>
              <w:rPr>
                <w:sz w:val="24"/>
                <w:szCs w:val="24"/>
              </w:rPr>
            </w:pPr>
            <w:r>
              <w:rPr>
                <w:sz w:val="24"/>
                <w:szCs w:val="24"/>
              </w:rPr>
              <w:t>L</w:t>
            </w:r>
            <w:r>
              <w:rPr>
                <w:sz w:val="24"/>
                <w:szCs w:val="24"/>
                <w:vertAlign w:val="subscript"/>
              </w:rPr>
              <w:t>p</w:t>
            </w:r>
            <w:r>
              <w:rPr>
                <w:sz w:val="24"/>
                <w:szCs w:val="24"/>
              </w:rPr>
              <w:t>=L</w:t>
            </w:r>
            <w:r>
              <w:rPr>
                <w:b/>
                <w:sz w:val="24"/>
                <w:szCs w:val="24"/>
                <w:vertAlign w:val="subscript"/>
              </w:rPr>
              <w:t>合</w:t>
            </w:r>
            <w:r>
              <w:rPr>
                <w:sz w:val="24"/>
                <w:szCs w:val="24"/>
              </w:rPr>
              <w:t>-20lgr</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式中：L</w:t>
            </w:r>
            <w:r>
              <w:rPr>
                <w:sz w:val="24"/>
                <w:szCs w:val="24"/>
                <w:vertAlign w:val="subscript"/>
              </w:rPr>
              <w:t>P</w:t>
            </w:r>
            <w:r>
              <w:rPr>
                <w:sz w:val="24"/>
                <w:szCs w:val="24"/>
              </w:rPr>
              <w:t>——预测点的噪声值，dB(A)；</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L</w:t>
            </w:r>
            <w:r>
              <w:rPr>
                <w:sz w:val="24"/>
                <w:szCs w:val="24"/>
                <w:vertAlign w:val="subscript"/>
              </w:rPr>
              <w:t>合</w:t>
            </w:r>
            <w:r>
              <w:rPr>
                <w:sz w:val="24"/>
                <w:szCs w:val="24"/>
              </w:rPr>
              <w:t>——点声源合成噪声值，dB(A)；</w:t>
            </w:r>
          </w:p>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sz w:val="24"/>
                <w:szCs w:val="24"/>
              </w:rPr>
            </w:pPr>
            <w:r>
              <w:rPr>
                <w:sz w:val="24"/>
                <w:szCs w:val="24"/>
              </w:rPr>
              <w:t>r——衰减距离（m）。</w:t>
            </w:r>
          </w:p>
          <w:p>
            <w:pPr>
              <w:keepNext w:val="0"/>
              <w:keepLines w:val="0"/>
              <w:pageBreakBefore w:val="0"/>
              <w:widowControl w:val="0"/>
              <w:kinsoku/>
              <w:wordWrap/>
              <w:overflowPunct/>
              <w:topLinePunct w:val="0"/>
              <w:autoSpaceDE/>
              <w:autoSpaceDN/>
              <w:bidi w:val="0"/>
              <w:adjustRightInd w:val="0"/>
              <w:snapToGrid w:val="0"/>
              <w:spacing w:line="520" w:lineRule="exact"/>
              <w:jc w:val="left"/>
              <w:textAlignment w:val="auto"/>
              <w:rPr>
                <w:color w:val="000000"/>
                <w:sz w:val="24"/>
                <w:szCs w:val="24"/>
              </w:rPr>
            </w:pPr>
            <w:r>
              <w:rPr>
                <w:color w:val="000000"/>
                <w:sz w:val="24"/>
                <w:szCs w:val="24"/>
              </w:rPr>
              <w:t>厂界噪声的预测结果见</w:t>
            </w:r>
            <w:r>
              <w:rPr>
                <w:rFonts w:hint="eastAsia"/>
                <w:color w:val="000000"/>
                <w:sz w:val="24"/>
                <w:szCs w:val="24"/>
              </w:rPr>
              <w:t>下表</w:t>
            </w:r>
            <w:r>
              <w:rPr>
                <w:color w:val="000000"/>
                <w:sz w:val="24"/>
                <w:szCs w:val="24"/>
              </w:rPr>
              <w:t>。</w:t>
            </w:r>
          </w:p>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center"/>
              <w:textAlignment w:val="auto"/>
              <w:rPr>
                <w:b/>
                <w:color w:val="000000"/>
                <w:sz w:val="24"/>
                <w:szCs w:val="24"/>
              </w:rPr>
            </w:pPr>
            <w:r>
              <w:rPr>
                <w:b/>
                <w:color w:val="000000"/>
                <w:sz w:val="24"/>
                <w:szCs w:val="24"/>
              </w:rPr>
              <w:t>表</w:t>
            </w:r>
            <w:r>
              <w:rPr>
                <w:rFonts w:hint="eastAsia"/>
                <w:b/>
                <w:color w:val="000000"/>
                <w:sz w:val="24"/>
                <w:szCs w:val="24"/>
                <w:lang w:val="en-US" w:eastAsia="zh-CN"/>
              </w:rPr>
              <w:t xml:space="preserve">4-12      </w:t>
            </w:r>
            <w:r>
              <w:rPr>
                <w:b/>
                <w:color w:val="000000"/>
                <w:sz w:val="24"/>
                <w:szCs w:val="24"/>
              </w:rPr>
              <w:t>噪声预测结果一览表</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4"/>
              <w:gridCol w:w="1390"/>
              <w:gridCol w:w="1339"/>
              <w:gridCol w:w="1628"/>
              <w:gridCol w:w="1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7" w:type="dxa"/>
                  <w:tcBorders>
                    <w:tl2br w:val="nil"/>
                    <w:tr2bl w:val="nil"/>
                  </w:tcBorders>
                  <w:shd w:val="clear" w:color="auto" w:fill="auto"/>
                  <w:vAlign w:val="center"/>
                </w:tcPr>
                <w:p>
                  <w:pPr>
                    <w:adjustRightInd w:val="0"/>
                    <w:snapToGrid w:val="0"/>
                    <w:jc w:val="center"/>
                    <w:rPr>
                      <w:b/>
                      <w:sz w:val="21"/>
                      <w:szCs w:val="21"/>
                    </w:rPr>
                  </w:pPr>
                  <w:r>
                    <w:rPr>
                      <w:b/>
                      <w:sz w:val="21"/>
                      <w:szCs w:val="21"/>
                    </w:rPr>
                    <w:t>预测点</w:t>
                  </w:r>
                </w:p>
              </w:tc>
              <w:tc>
                <w:tcPr>
                  <w:tcW w:w="1593" w:type="dxa"/>
                  <w:tcBorders>
                    <w:tl2br w:val="nil"/>
                    <w:tr2bl w:val="nil"/>
                  </w:tcBorders>
                  <w:shd w:val="clear" w:color="auto" w:fill="auto"/>
                  <w:vAlign w:val="center"/>
                </w:tcPr>
                <w:p>
                  <w:pPr>
                    <w:adjustRightInd w:val="0"/>
                    <w:snapToGrid w:val="0"/>
                    <w:jc w:val="center"/>
                    <w:rPr>
                      <w:b/>
                      <w:sz w:val="21"/>
                      <w:szCs w:val="21"/>
                    </w:rPr>
                  </w:pPr>
                  <w:r>
                    <w:rPr>
                      <w:b/>
                      <w:sz w:val="21"/>
                      <w:szCs w:val="21"/>
                    </w:rPr>
                    <w:t>东厂界</w:t>
                  </w:r>
                </w:p>
              </w:tc>
              <w:tc>
                <w:tcPr>
                  <w:tcW w:w="1533" w:type="dxa"/>
                  <w:tcBorders>
                    <w:tl2br w:val="nil"/>
                    <w:tr2bl w:val="nil"/>
                  </w:tcBorders>
                  <w:shd w:val="clear" w:color="auto" w:fill="auto"/>
                  <w:vAlign w:val="center"/>
                </w:tcPr>
                <w:p>
                  <w:pPr>
                    <w:adjustRightInd w:val="0"/>
                    <w:snapToGrid w:val="0"/>
                    <w:jc w:val="center"/>
                    <w:rPr>
                      <w:b/>
                      <w:sz w:val="21"/>
                      <w:szCs w:val="21"/>
                    </w:rPr>
                  </w:pPr>
                  <w:r>
                    <w:rPr>
                      <w:b/>
                      <w:sz w:val="21"/>
                      <w:szCs w:val="21"/>
                    </w:rPr>
                    <w:t>南厂界</w:t>
                  </w:r>
                </w:p>
              </w:tc>
              <w:tc>
                <w:tcPr>
                  <w:tcW w:w="1873" w:type="dxa"/>
                  <w:tcBorders>
                    <w:tl2br w:val="nil"/>
                    <w:tr2bl w:val="nil"/>
                  </w:tcBorders>
                  <w:shd w:val="clear" w:color="auto" w:fill="auto"/>
                  <w:vAlign w:val="center"/>
                </w:tcPr>
                <w:p>
                  <w:pPr>
                    <w:adjustRightInd w:val="0"/>
                    <w:snapToGrid w:val="0"/>
                    <w:jc w:val="center"/>
                    <w:rPr>
                      <w:b/>
                      <w:sz w:val="21"/>
                      <w:szCs w:val="21"/>
                    </w:rPr>
                  </w:pPr>
                  <w:r>
                    <w:rPr>
                      <w:b/>
                      <w:sz w:val="21"/>
                      <w:szCs w:val="21"/>
                    </w:rPr>
                    <w:t>西厂界</w:t>
                  </w:r>
                </w:p>
              </w:tc>
              <w:tc>
                <w:tcPr>
                  <w:tcW w:w="1886" w:type="dxa"/>
                  <w:tcBorders>
                    <w:tl2br w:val="nil"/>
                    <w:tr2bl w:val="nil"/>
                  </w:tcBorders>
                  <w:shd w:val="clear" w:color="auto" w:fill="auto"/>
                  <w:vAlign w:val="center"/>
                </w:tcPr>
                <w:p>
                  <w:pPr>
                    <w:adjustRightInd w:val="0"/>
                    <w:snapToGrid w:val="0"/>
                    <w:jc w:val="center"/>
                    <w:rPr>
                      <w:b/>
                      <w:sz w:val="21"/>
                      <w:szCs w:val="21"/>
                    </w:rPr>
                  </w:pPr>
                  <w:r>
                    <w:rPr>
                      <w:b/>
                      <w:sz w:val="21"/>
                      <w:szCs w:val="21"/>
                    </w:rPr>
                    <w:t>北厂界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7" w:type="dxa"/>
                  <w:tcBorders>
                    <w:tl2br w:val="nil"/>
                    <w:tr2bl w:val="nil"/>
                  </w:tcBorders>
                  <w:shd w:val="clear" w:color="auto" w:fill="auto"/>
                  <w:vAlign w:val="center"/>
                </w:tcPr>
                <w:p>
                  <w:pPr>
                    <w:adjustRightInd w:val="0"/>
                    <w:snapToGrid w:val="0"/>
                    <w:jc w:val="center"/>
                    <w:rPr>
                      <w:sz w:val="21"/>
                      <w:szCs w:val="21"/>
                    </w:rPr>
                  </w:pPr>
                  <w:r>
                    <w:rPr>
                      <w:sz w:val="21"/>
                      <w:szCs w:val="21"/>
                    </w:rPr>
                    <w:t>距离</w:t>
                  </w:r>
                </w:p>
              </w:tc>
              <w:tc>
                <w:tcPr>
                  <w:tcW w:w="1593"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lang w:val="en-US" w:eastAsia="zh-CN"/>
                    </w:rPr>
                    <w:t>5</w:t>
                  </w:r>
                  <w:r>
                    <w:rPr>
                      <w:sz w:val="21"/>
                      <w:szCs w:val="21"/>
                    </w:rPr>
                    <w:t>m</w:t>
                  </w:r>
                </w:p>
              </w:tc>
              <w:tc>
                <w:tcPr>
                  <w:tcW w:w="1533"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lang w:val="en-US" w:eastAsia="zh-CN"/>
                    </w:rPr>
                    <w:t>5</w:t>
                  </w:r>
                  <w:r>
                    <w:rPr>
                      <w:sz w:val="21"/>
                      <w:szCs w:val="21"/>
                    </w:rPr>
                    <w:t>m</w:t>
                  </w:r>
                </w:p>
              </w:tc>
              <w:tc>
                <w:tcPr>
                  <w:tcW w:w="1873"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lang w:val="en-US" w:eastAsia="zh-CN"/>
                    </w:rPr>
                    <w:t>5</w:t>
                  </w:r>
                  <w:r>
                    <w:rPr>
                      <w:sz w:val="21"/>
                      <w:szCs w:val="21"/>
                    </w:rPr>
                    <w:t>m</w:t>
                  </w:r>
                </w:p>
              </w:tc>
              <w:tc>
                <w:tcPr>
                  <w:tcW w:w="1886"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lang w:val="en-US" w:eastAsia="zh-CN"/>
                    </w:rPr>
                    <w:t>15</w:t>
                  </w:r>
                  <w:r>
                    <w:rPr>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7" w:type="dxa"/>
                  <w:tcBorders>
                    <w:tl2br w:val="nil"/>
                    <w:tr2bl w:val="nil"/>
                  </w:tcBorders>
                  <w:shd w:val="clear" w:color="auto" w:fill="auto"/>
                  <w:vAlign w:val="center"/>
                </w:tcPr>
                <w:p>
                  <w:pPr>
                    <w:adjustRightInd w:val="0"/>
                    <w:snapToGrid w:val="0"/>
                    <w:jc w:val="center"/>
                    <w:rPr>
                      <w:sz w:val="21"/>
                      <w:szCs w:val="21"/>
                    </w:rPr>
                  </w:pPr>
                  <w:r>
                    <w:rPr>
                      <w:sz w:val="21"/>
                      <w:szCs w:val="21"/>
                    </w:rPr>
                    <w:t>预测值</w:t>
                  </w:r>
                </w:p>
              </w:tc>
              <w:tc>
                <w:tcPr>
                  <w:tcW w:w="1593" w:type="dxa"/>
                  <w:tcBorders>
                    <w:tl2br w:val="nil"/>
                    <w:tr2bl w:val="nil"/>
                  </w:tcBorders>
                  <w:shd w:val="clear" w:color="auto" w:fill="auto"/>
                  <w:vAlign w:val="center"/>
                </w:tcPr>
                <w:p>
                  <w:pPr>
                    <w:adjustRightInd w:val="0"/>
                    <w:snapToGrid w:val="0"/>
                    <w:jc w:val="center"/>
                    <w:rPr>
                      <w:rFonts w:hint="default" w:eastAsia="宋体"/>
                      <w:sz w:val="21"/>
                      <w:szCs w:val="21"/>
                      <w:lang w:val="en-US" w:eastAsia="zh-CN"/>
                    </w:rPr>
                  </w:pPr>
                  <w:r>
                    <w:rPr>
                      <w:rFonts w:hint="eastAsia"/>
                      <w:sz w:val="21"/>
                      <w:szCs w:val="21"/>
                      <w:lang w:val="en-US" w:eastAsia="zh-CN"/>
                    </w:rPr>
                    <w:t>56</w:t>
                  </w:r>
                </w:p>
              </w:tc>
              <w:tc>
                <w:tcPr>
                  <w:tcW w:w="1533"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lang w:val="en-US" w:eastAsia="zh-CN"/>
                    </w:rPr>
                    <w:t>56</w:t>
                  </w:r>
                </w:p>
              </w:tc>
              <w:tc>
                <w:tcPr>
                  <w:tcW w:w="1873" w:type="dxa"/>
                  <w:tcBorders>
                    <w:tl2br w:val="nil"/>
                    <w:tr2bl w:val="nil"/>
                  </w:tcBorders>
                  <w:shd w:val="clear" w:color="auto" w:fill="auto"/>
                  <w:vAlign w:val="center"/>
                </w:tcPr>
                <w:p>
                  <w:pPr>
                    <w:adjustRightInd w:val="0"/>
                    <w:snapToGrid w:val="0"/>
                    <w:jc w:val="center"/>
                    <w:rPr>
                      <w:sz w:val="21"/>
                      <w:szCs w:val="21"/>
                    </w:rPr>
                  </w:pPr>
                  <w:r>
                    <w:rPr>
                      <w:rFonts w:hint="eastAsia"/>
                      <w:sz w:val="21"/>
                      <w:szCs w:val="21"/>
                      <w:lang w:val="en-US" w:eastAsia="zh-CN"/>
                    </w:rPr>
                    <w:t>56</w:t>
                  </w:r>
                </w:p>
              </w:tc>
              <w:tc>
                <w:tcPr>
                  <w:tcW w:w="1886" w:type="dxa"/>
                  <w:tcBorders>
                    <w:tl2br w:val="nil"/>
                    <w:tr2bl w:val="nil"/>
                  </w:tcBorders>
                  <w:shd w:val="clear" w:color="auto" w:fill="auto"/>
                  <w:vAlign w:val="center"/>
                </w:tcPr>
                <w:p>
                  <w:pPr>
                    <w:adjustRightInd w:val="0"/>
                    <w:snapToGrid w:val="0"/>
                    <w:jc w:val="center"/>
                    <w:rPr>
                      <w:rFonts w:hint="default"/>
                      <w:sz w:val="21"/>
                      <w:szCs w:val="21"/>
                      <w:lang w:val="en-US"/>
                    </w:rPr>
                  </w:pPr>
                  <w:r>
                    <w:rPr>
                      <w:rFonts w:hint="eastAsia"/>
                      <w:sz w:val="21"/>
                      <w:szCs w:val="21"/>
                      <w:lang w:val="en-US" w:eastAsia="zh-CN"/>
                    </w:rPr>
                    <w:t>47</w:t>
                  </w:r>
                </w:p>
              </w:tc>
            </w:tr>
          </w:tbl>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0" w:firstLineChars="200"/>
              <w:textAlignment w:val="auto"/>
              <w:rPr>
                <w:sz w:val="24"/>
              </w:rPr>
            </w:pPr>
            <w:r>
              <w:rPr>
                <w:rFonts w:hint="eastAsia"/>
                <w:sz w:val="24"/>
              </w:rPr>
              <w:t>由上表可知，</w:t>
            </w:r>
            <w:r>
              <w:rPr>
                <w:sz w:val="24"/>
              </w:rPr>
              <w:t>经过车间密闭、距离衰减等措施后，项目厂区四周噪声值</w:t>
            </w:r>
            <w:r>
              <w:rPr>
                <w:rFonts w:hint="eastAsia"/>
                <w:sz w:val="24"/>
              </w:rPr>
              <w:t>均</w:t>
            </w:r>
            <w:r>
              <w:rPr>
                <w:sz w:val="24"/>
              </w:rPr>
              <w:t>满足《工业企业厂界环境噪声排放标准》（GB12348-2008）</w:t>
            </w:r>
            <w:r>
              <w:rPr>
                <w:rFonts w:hint="eastAsia"/>
                <w:sz w:val="24"/>
              </w:rPr>
              <w:t>2</w:t>
            </w:r>
            <w:r>
              <w:rPr>
                <w:sz w:val="24"/>
              </w:rPr>
              <w:t>类昼间6</w:t>
            </w:r>
            <w:r>
              <w:rPr>
                <w:rFonts w:hint="eastAsia"/>
                <w:sz w:val="24"/>
              </w:rPr>
              <w:t>0</w:t>
            </w:r>
            <w:r>
              <w:rPr>
                <w:sz w:val="24"/>
              </w:rPr>
              <w:t>dB（A）标准要求</w:t>
            </w:r>
            <w:r>
              <w:rPr>
                <w:rFonts w:hint="eastAsia"/>
                <w:sz w:val="24"/>
              </w:rPr>
              <w:t>。</w:t>
            </w:r>
          </w:p>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0" w:firstLineChars="200"/>
              <w:textAlignment w:val="auto"/>
              <w:rPr>
                <w:b w:val="0"/>
                <w:bCs/>
                <w:sz w:val="24"/>
                <w:lang w:val="en-GB"/>
              </w:rPr>
            </w:pPr>
            <w:r>
              <w:rPr>
                <w:rFonts w:hint="eastAsia" w:hAnsi="宋体"/>
                <w:b w:val="0"/>
                <w:bCs/>
                <w:sz w:val="24"/>
                <w:lang w:val="en-US" w:eastAsia="zh-CN"/>
              </w:rPr>
              <w:t>3、</w:t>
            </w:r>
            <w:r>
              <w:rPr>
                <w:rFonts w:hAnsi="宋体"/>
                <w:b w:val="0"/>
                <w:bCs/>
                <w:sz w:val="24"/>
                <w:lang w:val="en-GB"/>
              </w:rPr>
              <w:t>监测要求</w:t>
            </w:r>
          </w:p>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0" w:firstLineChars="200"/>
              <w:textAlignment w:val="auto"/>
              <w:rPr>
                <w:sz w:val="24"/>
                <w:lang w:val="en-GB"/>
              </w:rPr>
            </w:pPr>
            <w:r>
              <w:rPr>
                <w:rFonts w:hAnsi="宋体"/>
                <w:sz w:val="24"/>
                <w:lang w:val="en-GB"/>
              </w:rPr>
              <w:t>本项目</w:t>
            </w:r>
            <w:r>
              <w:rPr>
                <w:rFonts w:hint="eastAsia" w:hAnsi="宋体"/>
                <w:sz w:val="24"/>
                <w:lang w:val="en-GB"/>
              </w:rPr>
              <w:t>噪声</w:t>
            </w:r>
            <w:r>
              <w:rPr>
                <w:rFonts w:hAnsi="宋体"/>
                <w:sz w:val="24"/>
                <w:lang w:val="en-GB"/>
              </w:rPr>
              <w:t>监测要求如下表。</w:t>
            </w:r>
          </w:p>
          <w:p>
            <w:pPr>
              <w:keepNext w:val="0"/>
              <w:keepLines w:val="0"/>
              <w:pageBreakBefore w:val="0"/>
              <w:widowControl w:val="0"/>
              <w:tabs>
                <w:tab w:val="left" w:pos="3620"/>
              </w:tabs>
              <w:kinsoku/>
              <w:wordWrap/>
              <w:overflowPunct/>
              <w:topLinePunct w:val="0"/>
              <w:autoSpaceDE/>
              <w:autoSpaceDN/>
              <w:bidi w:val="0"/>
              <w:adjustRightInd w:val="0"/>
              <w:snapToGrid w:val="0"/>
              <w:spacing w:line="520" w:lineRule="exact"/>
              <w:ind w:firstLine="480" w:firstLineChars="200"/>
              <w:textAlignment w:val="auto"/>
              <w:rPr>
                <w:rFonts w:eastAsia="黑体"/>
                <w:sz w:val="24"/>
                <w:lang w:val="en-GB"/>
              </w:rPr>
            </w:pPr>
            <w:r>
              <w:rPr>
                <w:rFonts w:eastAsia="黑体"/>
                <w:sz w:val="24"/>
                <w:lang w:val="en-GB"/>
              </w:rPr>
              <w:t>表</w:t>
            </w:r>
            <w:r>
              <w:rPr>
                <w:rFonts w:hint="eastAsia" w:eastAsia="黑体"/>
                <w:sz w:val="24"/>
                <w:lang w:val="en-US" w:eastAsia="zh-CN"/>
              </w:rPr>
              <w:t>4-13</w:t>
            </w:r>
            <w:r>
              <w:rPr>
                <w:rFonts w:eastAsia="黑体"/>
                <w:sz w:val="24"/>
                <w:lang w:val="en-GB"/>
              </w:rPr>
              <w:t xml:space="preserve">                  全厂</w:t>
            </w:r>
            <w:r>
              <w:rPr>
                <w:rFonts w:hint="eastAsia" w:eastAsia="黑体"/>
                <w:sz w:val="24"/>
                <w:lang w:val="en-GB"/>
              </w:rPr>
              <w:t>噪声</w:t>
            </w:r>
            <w:r>
              <w:rPr>
                <w:rFonts w:eastAsia="黑体"/>
                <w:sz w:val="24"/>
                <w:lang w:val="en-GB"/>
              </w:rPr>
              <w:t>监测要求</w:t>
            </w:r>
          </w:p>
          <w:tbl>
            <w:tblPr>
              <w:tblStyle w:val="25"/>
              <w:tblW w:w="7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223"/>
              <w:gridCol w:w="3073"/>
              <w:gridCol w:w="2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9" w:hRule="atLeast"/>
                <w:jc w:val="center"/>
              </w:trPr>
              <w:tc>
                <w:tcPr>
                  <w:tcW w:w="2223"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监测点位</w:t>
                  </w:r>
                </w:p>
              </w:tc>
              <w:tc>
                <w:tcPr>
                  <w:tcW w:w="3073"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监测因子</w:t>
                  </w:r>
                </w:p>
              </w:tc>
              <w:tc>
                <w:tcPr>
                  <w:tcW w:w="2542" w:type="dxa"/>
                  <w:tcBorders>
                    <w:tl2br w:val="nil"/>
                    <w:tr2bl w:val="nil"/>
                  </w:tcBorders>
                  <w:shd w:val="clear" w:color="auto" w:fill="FFFFFF"/>
                  <w:vAlign w:val="center"/>
                </w:tcPr>
                <w:p>
                  <w:pPr>
                    <w:tabs>
                      <w:tab w:val="left" w:pos="3620"/>
                    </w:tabs>
                    <w:adjustRightInd w:val="0"/>
                    <w:snapToGrid w:val="0"/>
                    <w:jc w:val="center"/>
                    <w:rPr>
                      <w:b/>
                      <w:sz w:val="21"/>
                      <w:szCs w:val="21"/>
                    </w:rPr>
                  </w:pPr>
                  <w:r>
                    <w:rPr>
                      <w:rFonts w:hAnsi="宋体"/>
                      <w:b/>
                      <w:sz w:val="21"/>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223" w:type="dxa"/>
                  <w:tcBorders>
                    <w:tl2br w:val="nil"/>
                    <w:tr2bl w:val="nil"/>
                  </w:tcBorders>
                  <w:shd w:val="clear" w:color="auto" w:fill="FFFFFF"/>
                  <w:vAlign w:val="center"/>
                </w:tcPr>
                <w:p>
                  <w:pPr>
                    <w:adjustRightInd w:val="0"/>
                    <w:snapToGrid w:val="0"/>
                    <w:jc w:val="center"/>
                    <w:rPr>
                      <w:sz w:val="21"/>
                      <w:szCs w:val="21"/>
                    </w:rPr>
                  </w:pPr>
                  <w:r>
                    <w:rPr>
                      <w:rFonts w:hint="eastAsia"/>
                      <w:sz w:val="21"/>
                      <w:szCs w:val="21"/>
                    </w:rPr>
                    <w:t>东厂界</w:t>
                  </w:r>
                </w:p>
              </w:tc>
              <w:tc>
                <w:tcPr>
                  <w:tcW w:w="3073" w:type="dxa"/>
                  <w:vMerge w:val="restart"/>
                  <w:tcBorders>
                    <w:tl2br w:val="nil"/>
                    <w:tr2bl w:val="nil"/>
                  </w:tcBorders>
                  <w:shd w:val="clear" w:color="auto" w:fill="FFFFFF"/>
                  <w:vAlign w:val="center"/>
                </w:tcPr>
                <w:p>
                  <w:pPr>
                    <w:tabs>
                      <w:tab w:val="left" w:pos="3620"/>
                    </w:tabs>
                    <w:adjustRightInd w:val="0"/>
                    <w:snapToGrid w:val="0"/>
                    <w:jc w:val="center"/>
                    <w:rPr>
                      <w:sz w:val="21"/>
                      <w:szCs w:val="21"/>
                    </w:rPr>
                  </w:pPr>
                  <w:r>
                    <w:rPr>
                      <w:rFonts w:hint="eastAsia" w:hAnsi="宋体"/>
                      <w:sz w:val="21"/>
                      <w:szCs w:val="21"/>
                    </w:rPr>
                    <w:t>噪声</w:t>
                  </w:r>
                </w:p>
              </w:tc>
              <w:tc>
                <w:tcPr>
                  <w:tcW w:w="2542" w:type="dxa"/>
                  <w:vMerge w:val="restart"/>
                  <w:tcBorders>
                    <w:tl2br w:val="nil"/>
                    <w:tr2bl w:val="nil"/>
                  </w:tcBorders>
                  <w:shd w:val="clear" w:color="auto" w:fill="FFFFFF"/>
                  <w:vAlign w:val="center"/>
                </w:tcPr>
                <w:p>
                  <w:pPr>
                    <w:tabs>
                      <w:tab w:val="left" w:pos="3620"/>
                    </w:tabs>
                    <w:adjustRightInd w:val="0"/>
                    <w:snapToGrid w:val="0"/>
                    <w:jc w:val="center"/>
                    <w:rPr>
                      <w:sz w:val="21"/>
                      <w:szCs w:val="21"/>
                    </w:rPr>
                  </w:pPr>
                  <w:r>
                    <w:rPr>
                      <w:rFonts w:hint="eastAsia" w:hAnsi="宋体"/>
                      <w:sz w:val="21"/>
                      <w:szCs w:val="21"/>
                      <w:lang w:val="en-GB"/>
                    </w:rPr>
                    <w:t>每季度</w:t>
                  </w:r>
                  <w:r>
                    <w:rPr>
                      <w:rFonts w:hAnsi="宋体"/>
                      <w:sz w:val="21"/>
                      <w:szCs w:val="21"/>
                      <w:lang w:val="en-GB"/>
                    </w:rPr>
                    <w:t>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89" w:hRule="atLeast"/>
                <w:jc w:val="center"/>
              </w:trPr>
              <w:tc>
                <w:tcPr>
                  <w:tcW w:w="2223" w:type="dxa"/>
                  <w:tcBorders>
                    <w:tl2br w:val="nil"/>
                    <w:tr2bl w:val="nil"/>
                  </w:tcBorders>
                  <w:shd w:val="clear" w:color="auto" w:fill="FFFFFF"/>
                  <w:vAlign w:val="center"/>
                </w:tcPr>
                <w:p>
                  <w:pPr>
                    <w:adjustRightInd w:val="0"/>
                    <w:snapToGrid w:val="0"/>
                    <w:jc w:val="center"/>
                    <w:rPr>
                      <w:sz w:val="21"/>
                      <w:szCs w:val="21"/>
                    </w:rPr>
                  </w:pPr>
                  <w:r>
                    <w:rPr>
                      <w:rFonts w:hint="eastAsia"/>
                      <w:sz w:val="21"/>
                      <w:szCs w:val="21"/>
                    </w:rPr>
                    <w:t>西厂界</w:t>
                  </w:r>
                </w:p>
              </w:tc>
              <w:tc>
                <w:tcPr>
                  <w:tcW w:w="3073" w:type="dxa"/>
                  <w:vMerge w:val="continue"/>
                  <w:tcBorders>
                    <w:tl2br w:val="nil"/>
                    <w:tr2bl w:val="nil"/>
                  </w:tcBorders>
                  <w:shd w:val="clear" w:color="auto" w:fill="FFFFFF"/>
                  <w:vAlign w:val="center"/>
                </w:tcPr>
                <w:p>
                  <w:pPr>
                    <w:tabs>
                      <w:tab w:val="left" w:pos="3620"/>
                    </w:tabs>
                    <w:adjustRightInd w:val="0"/>
                    <w:snapToGrid w:val="0"/>
                    <w:jc w:val="center"/>
                    <w:rPr>
                      <w:sz w:val="21"/>
                      <w:szCs w:val="21"/>
                    </w:rPr>
                  </w:pPr>
                </w:p>
              </w:tc>
              <w:tc>
                <w:tcPr>
                  <w:tcW w:w="2542" w:type="dxa"/>
                  <w:vMerge w:val="continue"/>
                  <w:tcBorders>
                    <w:tl2br w:val="nil"/>
                    <w:tr2bl w:val="nil"/>
                  </w:tcBorders>
                  <w:shd w:val="clear" w:color="auto" w:fill="FFFFFF"/>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2223" w:type="dxa"/>
                  <w:tcBorders>
                    <w:tl2br w:val="nil"/>
                    <w:tr2bl w:val="nil"/>
                  </w:tcBorders>
                  <w:shd w:val="clear" w:color="auto" w:fill="FFFFFF"/>
                  <w:vAlign w:val="center"/>
                </w:tcPr>
                <w:p>
                  <w:pPr>
                    <w:adjustRightInd w:val="0"/>
                    <w:snapToGrid w:val="0"/>
                    <w:jc w:val="center"/>
                    <w:rPr>
                      <w:sz w:val="21"/>
                      <w:szCs w:val="21"/>
                    </w:rPr>
                  </w:pPr>
                  <w:r>
                    <w:rPr>
                      <w:rFonts w:hint="eastAsia"/>
                      <w:sz w:val="21"/>
                      <w:szCs w:val="21"/>
                    </w:rPr>
                    <w:t>南厂界</w:t>
                  </w:r>
                </w:p>
              </w:tc>
              <w:tc>
                <w:tcPr>
                  <w:tcW w:w="3073" w:type="dxa"/>
                  <w:vMerge w:val="continue"/>
                  <w:tcBorders>
                    <w:tl2br w:val="nil"/>
                    <w:tr2bl w:val="nil"/>
                  </w:tcBorders>
                  <w:shd w:val="clear" w:color="auto" w:fill="FFFFFF"/>
                  <w:vAlign w:val="center"/>
                </w:tcPr>
                <w:p>
                  <w:pPr>
                    <w:tabs>
                      <w:tab w:val="left" w:pos="3620"/>
                    </w:tabs>
                    <w:adjustRightInd w:val="0"/>
                    <w:snapToGrid w:val="0"/>
                    <w:jc w:val="center"/>
                    <w:rPr>
                      <w:sz w:val="21"/>
                      <w:szCs w:val="21"/>
                    </w:rPr>
                  </w:pPr>
                </w:p>
              </w:tc>
              <w:tc>
                <w:tcPr>
                  <w:tcW w:w="2542" w:type="dxa"/>
                  <w:vMerge w:val="continue"/>
                  <w:tcBorders>
                    <w:tl2br w:val="nil"/>
                    <w:tr2bl w:val="nil"/>
                  </w:tcBorders>
                  <w:shd w:val="clear" w:color="auto" w:fill="FFFFFF"/>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223" w:type="dxa"/>
                  <w:tcBorders>
                    <w:tl2br w:val="nil"/>
                    <w:tr2bl w:val="nil"/>
                  </w:tcBorders>
                  <w:shd w:val="clear" w:color="auto" w:fill="FFFFFF"/>
                  <w:vAlign w:val="center"/>
                </w:tcPr>
                <w:p>
                  <w:pPr>
                    <w:adjustRightInd w:val="0"/>
                    <w:snapToGrid w:val="0"/>
                    <w:jc w:val="center"/>
                    <w:rPr>
                      <w:sz w:val="21"/>
                      <w:szCs w:val="21"/>
                    </w:rPr>
                  </w:pPr>
                  <w:r>
                    <w:rPr>
                      <w:rFonts w:hint="eastAsia"/>
                      <w:sz w:val="21"/>
                      <w:szCs w:val="21"/>
                      <w:lang w:val="en-US" w:eastAsia="zh-CN"/>
                    </w:rPr>
                    <w:t>北</w:t>
                  </w:r>
                  <w:r>
                    <w:rPr>
                      <w:rFonts w:hint="eastAsia"/>
                      <w:sz w:val="21"/>
                      <w:szCs w:val="21"/>
                    </w:rPr>
                    <w:t>厂界</w:t>
                  </w:r>
                </w:p>
              </w:tc>
              <w:tc>
                <w:tcPr>
                  <w:tcW w:w="3073" w:type="dxa"/>
                  <w:vMerge w:val="continue"/>
                  <w:tcBorders>
                    <w:tl2br w:val="nil"/>
                    <w:tr2bl w:val="nil"/>
                  </w:tcBorders>
                  <w:shd w:val="clear" w:color="auto" w:fill="FFFFFF"/>
                  <w:vAlign w:val="center"/>
                </w:tcPr>
                <w:p>
                  <w:pPr>
                    <w:tabs>
                      <w:tab w:val="left" w:pos="3620"/>
                    </w:tabs>
                    <w:adjustRightInd w:val="0"/>
                    <w:snapToGrid w:val="0"/>
                    <w:jc w:val="center"/>
                    <w:rPr>
                      <w:sz w:val="21"/>
                      <w:szCs w:val="21"/>
                    </w:rPr>
                  </w:pPr>
                </w:p>
              </w:tc>
              <w:tc>
                <w:tcPr>
                  <w:tcW w:w="2542" w:type="dxa"/>
                  <w:vMerge w:val="continue"/>
                  <w:tcBorders>
                    <w:tl2br w:val="nil"/>
                    <w:tr2bl w:val="nil"/>
                  </w:tcBorders>
                  <w:shd w:val="clear" w:color="auto" w:fill="FFFFFF"/>
                </w:tcPr>
                <w:p>
                  <w:pPr>
                    <w:jc w:val="center"/>
                  </w:pPr>
                </w:p>
              </w:tc>
            </w:tr>
          </w:tbl>
          <w:p>
            <w:pPr>
              <w:keepNext w:val="0"/>
              <w:keepLines w:val="0"/>
              <w:pageBreakBefore w:val="0"/>
              <w:widowControl w:val="0"/>
              <w:kinsoku/>
              <w:wordWrap/>
              <w:overflowPunct/>
              <w:topLinePunct w:val="0"/>
              <w:autoSpaceDE/>
              <w:autoSpaceDN/>
              <w:bidi w:val="0"/>
              <w:adjustRightInd w:val="0"/>
              <w:snapToGrid w:val="0"/>
              <w:spacing w:line="520" w:lineRule="exact"/>
              <w:ind w:firstLine="482" w:firstLineChars="200"/>
              <w:jc w:val="left"/>
              <w:rPr>
                <w:b/>
                <w:color w:val="000000"/>
                <w:sz w:val="24"/>
                <w:szCs w:val="24"/>
              </w:rPr>
            </w:pPr>
            <w:r>
              <w:rPr>
                <w:rFonts w:hint="eastAsia"/>
                <w:b/>
                <w:color w:val="000000"/>
                <w:sz w:val="24"/>
                <w:szCs w:val="24"/>
              </w:rPr>
              <w:t>四</w:t>
            </w:r>
            <w:r>
              <w:rPr>
                <w:b/>
                <w:color w:val="000000"/>
                <w:sz w:val="24"/>
                <w:szCs w:val="24"/>
              </w:rPr>
              <w:t>、固废</w:t>
            </w:r>
          </w:p>
          <w:p>
            <w:pPr>
              <w:spacing w:line="520" w:lineRule="exact"/>
              <w:ind w:firstLine="480" w:firstLineChars="200"/>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（一）正常工况</w:t>
            </w:r>
          </w:p>
          <w:p>
            <w:pPr>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kern w:val="0"/>
                <w:sz w:val="24"/>
                <w:szCs w:val="24"/>
              </w:rPr>
              <w:t>本项目运营期固体废物包括危险废物和生活垃圾。</w:t>
            </w:r>
          </w:p>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）危险废物</w:t>
            </w:r>
          </w:p>
          <w:p>
            <w:pPr>
              <w:adjustRightInd w:val="0"/>
              <w:snapToGrid w:val="0"/>
              <w:spacing w:line="520" w:lineRule="exact"/>
              <w:ind w:firstLine="480" w:firstLineChars="200"/>
              <w:jc w:val="left"/>
              <w:rPr>
                <w:rFonts w:hint="default" w:ascii="Times New Roman" w:hAnsi="Times New Roman" w:eastAsia="宋体" w:cs="Times New Roman"/>
                <w:color w:val="0070C0"/>
                <w:sz w:val="24"/>
              </w:rPr>
            </w:pPr>
            <w:r>
              <w:rPr>
                <w:rFonts w:hint="default" w:ascii="Times New Roman" w:hAnsi="Times New Roman" w:eastAsia="宋体" w:cs="Times New Roman"/>
                <w:color w:val="auto"/>
                <w:sz w:val="24"/>
              </w:rPr>
              <w:t>项目产生的危险废物主要为废包装桶/袋、废活性炭</w:t>
            </w:r>
            <w:r>
              <w:rPr>
                <w:rFonts w:hint="eastAsia" w:cs="Times New Roman"/>
                <w:color w:val="auto"/>
                <w:sz w:val="24"/>
                <w:lang w:val="en-US" w:eastAsia="zh-CN"/>
              </w:rPr>
              <w:t>和喷淋液</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highlight w:val="none"/>
                <w:lang w:eastAsia="zh-CN"/>
              </w:rPr>
              <w:t>在</w:t>
            </w:r>
            <w:r>
              <w:rPr>
                <w:rFonts w:hint="default" w:ascii="Times New Roman" w:hAnsi="Times New Roman" w:eastAsia="宋体" w:cs="Times New Roman"/>
                <w:color w:val="auto"/>
                <w:sz w:val="24"/>
                <w:highlight w:val="none"/>
              </w:rPr>
              <w:t>危废暂存区暂存后和仓库贮存的其他危险废物一起定期交由具有资质单位处置。</w:t>
            </w:r>
          </w:p>
          <w:p>
            <w:pPr>
              <w:adjustRightInd w:val="0"/>
              <w:snapToGrid w:val="0"/>
              <w:spacing w:line="52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①危废暂存间选址合理性分析</w:t>
            </w:r>
          </w:p>
          <w:p>
            <w:pPr>
              <w:adjustRightInd w:val="0"/>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《危险废物贮存污染控制标准》（GB18597-2001）标准对危险废物暂存选址提出了详细的要求，本项目选址的相符性分析具体如下：</w:t>
            </w:r>
          </w:p>
          <w:p>
            <w:pPr>
              <w:adjustRightInd w:val="0"/>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a、地质结构稳定，地震烈度不超过7度的区域内。</w:t>
            </w:r>
          </w:p>
          <w:p>
            <w:pPr>
              <w:adjustRightInd w:val="0"/>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b、设施底部必须高于地下水最高水位。</w:t>
            </w:r>
          </w:p>
          <w:p>
            <w:pPr>
              <w:adjustRightInd w:val="0"/>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c、应避免建在溶洞区或易遭受严重自然灾害如洪水、滑坡、泥石流、潮汐等影响的区域。</w:t>
            </w:r>
          </w:p>
          <w:p>
            <w:pPr>
              <w:adjustRightInd w:val="0"/>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d、应建在易燃易爆等危险品仓库、高压输电线路防护区域以外。</w:t>
            </w:r>
          </w:p>
          <w:p>
            <w:pPr>
              <w:adjustRightInd w:val="0"/>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e、应位于居民中心区常年最大风频的下风向。</w:t>
            </w:r>
          </w:p>
          <w:p>
            <w:pPr>
              <w:adjustRightInd w:val="0"/>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本项目选址地震烈度为7度，高于地下水最高水位，未建设在溶洞区或易遭受严重自然灾害的区域，项目选址不在易燃易爆等危险品仓库、高压输电线路防护区域之内。</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②危废暂存</w:t>
            </w:r>
            <w:r>
              <w:rPr>
                <w:rFonts w:hint="default" w:ascii="Times New Roman" w:hAnsi="Times New Roman" w:eastAsia="宋体" w:cs="Times New Roman"/>
                <w:color w:val="auto"/>
                <w:sz w:val="24"/>
                <w:lang w:val="en-US" w:eastAsia="zh-CN"/>
              </w:rPr>
              <w:t>区</w:t>
            </w:r>
            <w:r>
              <w:rPr>
                <w:rFonts w:hint="default" w:ascii="Times New Roman" w:hAnsi="Times New Roman" w:eastAsia="宋体" w:cs="Times New Roman"/>
                <w:color w:val="auto"/>
                <w:sz w:val="24"/>
              </w:rPr>
              <w:t>贮存能力分析</w:t>
            </w:r>
          </w:p>
          <w:p>
            <w:pPr>
              <w:adjustRightInd w:val="0"/>
              <w:snapToGrid w:val="0"/>
              <w:spacing w:line="520" w:lineRule="exact"/>
              <w:ind w:firstLine="480" w:firstLineChars="200"/>
              <w:rPr>
                <w:rFonts w:hint="default" w:ascii="Times New Roman" w:hAnsi="Times New Roman" w:eastAsia="宋体" w:cs="Times New Roman"/>
                <w:color w:val="0070C0"/>
                <w:sz w:val="24"/>
              </w:rPr>
            </w:pPr>
            <w:r>
              <w:rPr>
                <w:rFonts w:hint="default" w:ascii="Times New Roman" w:hAnsi="Times New Roman" w:eastAsia="宋体" w:cs="Times New Roman"/>
                <w:color w:val="auto"/>
                <w:sz w:val="24"/>
              </w:rPr>
              <w:t>本项目需要在危险废物暂存</w:t>
            </w:r>
            <w:r>
              <w:rPr>
                <w:rFonts w:hint="default" w:ascii="Times New Roman" w:hAnsi="Times New Roman" w:eastAsia="宋体" w:cs="Times New Roman"/>
                <w:color w:val="auto"/>
                <w:sz w:val="24"/>
                <w:lang w:eastAsia="zh-CN"/>
              </w:rPr>
              <w:t>区</w:t>
            </w:r>
            <w:r>
              <w:rPr>
                <w:rFonts w:hint="default" w:ascii="Times New Roman" w:hAnsi="Times New Roman" w:eastAsia="宋体" w:cs="Times New Roman"/>
                <w:color w:val="auto"/>
                <w:sz w:val="24"/>
              </w:rPr>
              <w:t>内储存的</w:t>
            </w:r>
            <w:r>
              <w:rPr>
                <w:rFonts w:hint="eastAsia" w:cs="Times New Roman"/>
                <w:color w:val="auto"/>
                <w:sz w:val="24"/>
                <w:lang w:val="en-US" w:eastAsia="zh-CN"/>
              </w:rPr>
              <w:t>喷淋液、</w:t>
            </w:r>
            <w:r>
              <w:rPr>
                <w:rFonts w:hint="default" w:ascii="Times New Roman" w:hAnsi="Times New Roman" w:eastAsia="宋体" w:cs="Times New Roman"/>
                <w:color w:val="auto"/>
                <w:sz w:val="24"/>
                <w:lang w:eastAsia="zh-CN"/>
              </w:rPr>
              <w:t>废包装桶</w:t>
            </w:r>
            <w:r>
              <w:rPr>
                <w:rFonts w:hint="default" w:ascii="Times New Roman" w:hAnsi="Times New Roman" w:eastAsia="宋体" w:cs="Times New Roman"/>
                <w:color w:val="auto"/>
                <w:sz w:val="24"/>
                <w:lang w:val="en-US" w:eastAsia="zh-CN"/>
              </w:rPr>
              <w:t>/袋</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废活性炭危险废物类别</w:t>
            </w:r>
            <w:r>
              <w:rPr>
                <w:rFonts w:hint="default" w:ascii="Times New Roman" w:hAnsi="Times New Roman" w:eastAsia="宋体" w:cs="Times New Roman"/>
                <w:color w:val="auto"/>
                <w:sz w:val="24"/>
                <w:lang w:eastAsia="zh-CN"/>
              </w:rPr>
              <w:t>为</w:t>
            </w:r>
            <w:r>
              <w:rPr>
                <w:rFonts w:hint="default" w:ascii="Times New Roman" w:hAnsi="Times New Roman" w:eastAsia="宋体" w:cs="Times New Roman"/>
                <w:color w:val="auto"/>
                <w:sz w:val="24"/>
                <w:lang w:val="en-US" w:eastAsia="zh-CN"/>
              </w:rPr>
              <w:t>HW49，</w:t>
            </w:r>
            <w:r>
              <w:rPr>
                <w:rFonts w:hint="default" w:ascii="Times New Roman" w:hAnsi="Times New Roman" w:eastAsia="宋体" w:cs="Times New Roman"/>
                <w:color w:val="auto"/>
                <w:sz w:val="24"/>
              </w:rPr>
              <w:t>项目设</w:t>
            </w:r>
            <w:r>
              <w:rPr>
                <w:rFonts w:hint="default" w:ascii="Times New Roman" w:hAnsi="Times New Roman" w:eastAsia="宋体" w:cs="Times New Roman"/>
                <w:color w:val="auto"/>
                <w:sz w:val="24"/>
                <w:lang w:eastAsia="zh-CN"/>
              </w:rPr>
              <w:t>有</w:t>
            </w:r>
            <w:r>
              <w:rPr>
                <w:rFonts w:hint="default" w:ascii="Times New Roman" w:hAnsi="Times New Roman" w:eastAsia="宋体" w:cs="Times New Roman"/>
                <w:color w:val="auto"/>
                <w:sz w:val="24"/>
              </w:rPr>
              <w:t>一个</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lang w:eastAsia="zh-CN"/>
              </w:rPr>
              <w:t>m</w:t>
            </w:r>
            <w:r>
              <w:rPr>
                <w:rFonts w:hint="default" w:ascii="Times New Roman" w:hAnsi="Times New Roman" w:eastAsia="宋体" w:cs="Times New Roman"/>
                <w:color w:val="auto"/>
                <w:sz w:val="24"/>
                <w:vertAlign w:val="superscript"/>
                <w:lang w:eastAsia="zh-CN"/>
              </w:rPr>
              <w:t>2</w:t>
            </w:r>
            <w:r>
              <w:rPr>
                <w:rFonts w:hint="default" w:ascii="Times New Roman" w:hAnsi="Times New Roman" w:eastAsia="宋体" w:cs="Times New Roman"/>
                <w:color w:val="auto"/>
                <w:sz w:val="24"/>
              </w:rPr>
              <w:t>的危废暂存处，</w:t>
            </w:r>
            <w:r>
              <w:rPr>
                <w:rFonts w:hint="default" w:ascii="Times New Roman" w:hAnsi="Times New Roman" w:eastAsia="宋体" w:cs="Times New Roman"/>
                <w:color w:val="auto"/>
                <w:sz w:val="24"/>
                <w:lang w:eastAsia="zh-CN"/>
              </w:rPr>
              <w:t>用于存放</w:t>
            </w:r>
            <w:r>
              <w:rPr>
                <w:rFonts w:hint="default" w:ascii="Times New Roman" w:hAnsi="Times New Roman" w:eastAsia="宋体" w:cs="Times New Roman"/>
                <w:color w:val="auto"/>
                <w:sz w:val="24"/>
                <w:lang w:val="en-US" w:eastAsia="zh-CN"/>
              </w:rPr>
              <w:t>HW49类别的危险废物，</w:t>
            </w:r>
            <w:r>
              <w:rPr>
                <w:rFonts w:hint="default" w:ascii="Times New Roman" w:hAnsi="Times New Roman" w:eastAsia="宋体" w:cs="Times New Roman"/>
                <w:color w:val="auto"/>
                <w:sz w:val="24"/>
              </w:rPr>
              <w:t>符合本项目危险废物暂存需要。</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③危险废物暂存过程中对外环境的影响</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本项目产生的</w:t>
            </w:r>
            <w:r>
              <w:rPr>
                <w:rFonts w:hint="default" w:ascii="Times New Roman" w:hAnsi="Times New Roman" w:eastAsia="宋体" w:cs="Times New Roman"/>
                <w:color w:val="auto"/>
                <w:sz w:val="24"/>
                <w:lang w:eastAsia="zh-CN"/>
              </w:rPr>
              <w:t>危险废物按照要求在厂区存储</w:t>
            </w:r>
            <w:r>
              <w:rPr>
                <w:rFonts w:hint="default" w:ascii="Times New Roman" w:hAnsi="Times New Roman" w:eastAsia="宋体" w:cs="Times New Roman"/>
                <w:color w:val="auto"/>
                <w:sz w:val="24"/>
              </w:rPr>
              <w:t>，对外环境基本无影响。</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危废暂存间基本情况见</w:t>
            </w:r>
            <w:r>
              <w:rPr>
                <w:rFonts w:hint="eastAsia" w:ascii="Times New Roman" w:hAnsi="Times New Roman" w:eastAsia="宋体" w:cs="Times New Roman"/>
                <w:color w:val="auto"/>
                <w:sz w:val="24"/>
                <w:lang w:eastAsia="zh-CN"/>
              </w:rPr>
              <w:t>下</w:t>
            </w:r>
            <w:r>
              <w:rPr>
                <w:rFonts w:hint="default" w:ascii="Times New Roman" w:hAnsi="Times New Roman" w:eastAsia="宋体" w:cs="Times New Roman"/>
                <w:color w:val="auto"/>
                <w:sz w:val="24"/>
              </w:rPr>
              <w:t>表。</w:t>
            </w:r>
          </w:p>
          <w:p>
            <w:pPr>
              <w:pStyle w:val="121"/>
              <w:numPr>
                <w:ilvl w:val="0"/>
                <w:numId w:val="0"/>
              </w:numPr>
              <w:bidi w:val="0"/>
              <w:ind w:leftChars="0"/>
              <w:jc w:val="center"/>
              <w:rPr>
                <w:rFonts w:hint="default"/>
              </w:rPr>
            </w:pPr>
            <w:r>
              <w:rPr>
                <w:rFonts w:hint="eastAsia"/>
                <w:lang w:val="en-US" w:eastAsia="zh-CN"/>
              </w:rPr>
              <w:t xml:space="preserve">表4-14        </w:t>
            </w:r>
            <w:r>
              <w:rPr>
                <w:rFonts w:hint="default"/>
              </w:rPr>
              <w:t>危废暂存间基本情况一览表</w:t>
            </w:r>
          </w:p>
          <w:tbl>
            <w:tblPr>
              <w:tblStyle w:val="25"/>
              <w:tblW w:w="7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1235"/>
              <w:gridCol w:w="814"/>
              <w:gridCol w:w="1095"/>
              <w:gridCol w:w="710"/>
              <w:gridCol w:w="673"/>
              <w:gridCol w:w="821"/>
              <w:gridCol w:w="711"/>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贮存场所（设施）名称</w:t>
                  </w:r>
                </w:p>
              </w:tc>
              <w:tc>
                <w:tcPr>
                  <w:tcW w:w="123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危险废物名称</w:t>
                  </w:r>
                </w:p>
              </w:tc>
              <w:tc>
                <w:tcPr>
                  <w:tcW w:w="814"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危险废物类别</w:t>
                  </w:r>
                </w:p>
              </w:tc>
              <w:tc>
                <w:tcPr>
                  <w:tcW w:w="109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危险废物代码</w:t>
                  </w:r>
                </w:p>
              </w:tc>
              <w:tc>
                <w:tcPr>
                  <w:tcW w:w="710"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位置</w:t>
                  </w:r>
                </w:p>
              </w:tc>
              <w:tc>
                <w:tcPr>
                  <w:tcW w:w="673"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占地面积</w:t>
                  </w:r>
                </w:p>
              </w:tc>
              <w:tc>
                <w:tcPr>
                  <w:tcW w:w="821"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贮存方式</w:t>
                  </w:r>
                </w:p>
              </w:tc>
              <w:tc>
                <w:tcPr>
                  <w:tcW w:w="711"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贮存</w:t>
                  </w:r>
                </w:p>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能力</w:t>
                  </w:r>
                </w:p>
              </w:tc>
              <w:tc>
                <w:tcPr>
                  <w:tcW w:w="78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贮存</w:t>
                  </w:r>
                </w:p>
                <w:p>
                  <w:pPr>
                    <w:topLinePunct/>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危废暂存区暂存</w:t>
                  </w:r>
                </w:p>
              </w:tc>
              <w:tc>
                <w:tcPr>
                  <w:tcW w:w="123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sz w:val="21"/>
                      <w:szCs w:val="21"/>
                    </w:rPr>
                    <w:t>废包装桶/袋</w:t>
                  </w:r>
                </w:p>
              </w:tc>
              <w:tc>
                <w:tcPr>
                  <w:tcW w:w="814"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HW49其他废物</w:t>
                  </w:r>
                </w:p>
              </w:tc>
              <w:tc>
                <w:tcPr>
                  <w:tcW w:w="1095"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900-041-49</w:t>
                  </w:r>
                </w:p>
              </w:tc>
              <w:tc>
                <w:tcPr>
                  <w:tcW w:w="710"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eastAsia="zh-CN"/>
                    </w:rPr>
                    <w:t>厂区北侧</w:t>
                  </w:r>
                </w:p>
              </w:tc>
              <w:tc>
                <w:tcPr>
                  <w:tcW w:w="673"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eastAsia="zh-CN"/>
                    </w:rPr>
                  </w:pPr>
                  <w:r>
                    <w:rPr>
                      <w:rFonts w:hint="eastAsia" w:ascii="Times New Roman" w:hAnsi="Times New Roman" w:eastAsia="宋体" w:cs="Times New Roman"/>
                      <w:color w:val="auto"/>
                      <w:kern w:val="0"/>
                      <w:sz w:val="21"/>
                      <w:szCs w:val="21"/>
                      <w:lang w:val="en-US" w:eastAsia="zh-CN"/>
                    </w:rPr>
                    <w:t>3</w:t>
                  </w:r>
                  <w:r>
                    <w:rPr>
                      <w:rFonts w:hint="default"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eastAsia="zh-CN"/>
                    </w:rPr>
                    <w:t>m</w:t>
                  </w:r>
                  <w:r>
                    <w:rPr>
                      <w:rFonts w:hint="default" w:ascii="Times New Roman" w:hAnsi="Times New Roman" w:eastAsia="宋体" w:cs="Times New Roman"/>
                      <w:color w:val="auto"/>
                      <w:kern w:val="0"/>
                      <w:sz w:val="21"/>
                      <w:szCs w:val="21"/>
                      <w:vertAlign w:val="superscript"/>
                      <w:lang w:eastAsia="zh-CN"/>
                    </w:rPr>
                    <w:t>2</w:t>
                  </w:r>
                </w:p>
              </w:tc>
              <w:tc>
                <w:tcPr>
                  <w:tcW w:w="821"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桶</w:t>
                  </w:r>
                  <w:r>
                    <w:rPr>
                      <w:rFonts w:hint="default" w:ascii="Times New Roman" w:hAnsi="Times New Roman" w:eastAsia="宋体" w:cs="Times New Roman"/>
                      <w:color w:val="auto"/>
                      <w:kern w:val="0"/>
                      <w:sz w:val="21"/>
                      <w:szCs w:val="21"/>
                      <w:lang w:val="en-US" w:eastAsia="zh-CN"/>
                    </w:rPr>
                    <w:t>/袋</w:t>
                  </w:r>
                  <w:r>
                    <w:rPr>
                      <w:rFonts w:hint="default" w:ascii="Times New Roman" w:hAnsi="Times New Roman" w:eastAsia="宋体" w:cs="Times New Roman"/>
                      <w:color w:val="auto"/>
                      <w:kern w:val="0"/>
                      <w:sz w:val="21"/>
                      <w:szCs w:val="21"/>
                      <w:lang w:eastAsia="zh-CN"/>
                    </w:rPr>
                    <w:t>装</w:t>
                  </w:r>
                </w:p>
              </w:tc>
              <w:tc>
                <w:tcPr>
                  <w:tcW w:w="711"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3t</w:t>
                  </w:r>
                </w:p>
              </w:tc>
              <w:tc>
                <w:tcPr>
                  <w:tcW w:w="785"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15天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p>
              </w:tc>
              <w:tc>
                <w:tcPr>
                  <w:tcW w:w="123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喷淋液</w:t>
                  </w:r>
                </w:p>
              </w:tc>
              <w:tc>
                <w:tcPr>
                  <w:tcW w:w="814"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p>
              </w:tc>
              <w:tc>
                <w:tcPr>
                  <w:tcW w:w="1095"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rPr>
                  </w:pPr>
                </w:p>
              </w:tc>
              <w:tc>
                <w:tcPr>
                  <w:tcW w:w="710"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eastAsia="zh-CN"/>
                    </w:rPr>
                  </w:pPr>
                </w:p>
              </w:tc>
              <w:tc>
                <w:tcPr>
                  <w:tcW w:w="673" w:type="dxa"/>
                  <w:vMerge w:val="continue"/>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rPr>
                  </w:pPr>
                </w:p>
              </w:tc>
              <w:tc>
                <w:tcPr>
                  <w:tcW w:w="821"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桶</w:t>
                  </w:r>
                  <w:r>
                    <w:rPr>
                      <w:rFonts w:hint="default" w:ascii="Times New Roman" w:hAnsi="Times New Roman" w:eastAsia="宋体" w:cs="Times New Roman"/>
                      <w:color w:val="auto"/>
                      <w:kern w:val="0"/>
                      <w:sz w:val="21"/>
                      <w:szCs w:val="21"/>
                      <w:lang w:val="en-US" w:eastAsia="zh-CN"/>
                    </w:rPr>
                    <w:t>/袋</w:t>
                  </w:r>
                  <w:r>
                    <w:rPr>
                      <w:rFonts w:hint="default" w:ascii="Times New Roman" w:hAnsi="Times New Roman" w:eastAsia="宋体" w:cs="Times New Roman"/>
                      <w:color w:val="auto"/>
                      <w:kern w:val="0"/>
                      <w:sz w:val="21"/>
                      <w:szCs w:val="21"/>
                      <w:lang w:eastAsia="zh-CN"/>
                    </w:rPr>
                    <w:t>装</w:t>
                  </w:r>
                </w:p>
              </w:tc>
              <w:tc>
                <w:tcPr>
                  <w:tcW w:w="711"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4</w:t>
                  </w:r>
                  <w:r>
                    <w:rPr>
                      <w:rFonts w:hint="default" w:ascii="Times New Roman" w:hAnsi="Times New Roman" w:eastAsia="宋体" w:cs="Times New Roman"/>
                      <w:color w:val="auto"/>
                      <w:kern w:val="0"/>
                      <w:sz w:val="21"/>
                      <w:szCs w:val="21"/>
                      <w:lang w:val="en-US" w:eastAsia="zh-CN"/>
                    </w:rPr>
                    <w:t>t</w:t>
                  </w:r>
                </w:p>
              </w:tc>
              <w:tc>
                <w:tcPr>
                  <w:tcW w:w="785" w:type="dxa"/>
                  <w:vMerge w:val="continue"/>
                  <w:tcBorders>
                    <w:tl2br w:val="nil"/>
                    <w:tr2bl w:val="nil"/>
                  </w:tcBorders>
                  <w:noWrap w:val="0"/>
                  <w:vAlign w:val="center"/>
                </w:tcPr>
                <w:p>
                  <w:pPr>
                    <w:topLinePunct/>
                    <w:adjustRightInd w:val="0"/>
                    <w:snapToGrid w:val="0"/>
                    <w:jc w:val="center"/>
                    <w:rPr>
                      <w:rFonts w:hint="eastAsia" w:ascii="Times New Roman" w:hAnsi="Times New Roman" w:eastAsia="宋体" w:cs="Times New Roman"/>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10"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0070C0"/>
                      <w:kern w:val="0"/>
                      <w:sz w:val="21"/>
                      <w:szCs w:val="21"/>
                    </w:rPr>
                  </w:pPr>
                </w:p>
              </w:tc>
              <w:tc>
                <w:tcPr>
                  <w:tcW w:w="123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0070C0"/>
                      <w:kern w:val="0"/>
                      <w:sz w:val="21"/>
                      <w:szCs w:val="21"/>
                      <w:lang w:eastAsia="zh-CN"/>
                    </w:rPr>
                  </w:pPr>
                  <w:r>
                    <w:rPr>
                      <w:rFonts w:hint="default" w:ascii="Times New Roman" w:hAnsi="Times New Roman" w:eastAsia="宋体" w:cs="Times New Roman"/>
                      <w:color w:val="auto"/>
                      <w:sz w:val="21"/>
                      <w:szCs w:val="21"/>
                    </w:rPr>
                    <w:t>废活性炭</w:t>
                  </w:r>
                </w:p>
              </w:tc>
              <w:tc>
                <w:tcPr>
                  <w:tcW w:w="814"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0070C0"/>
                      <w:kern w:val="0"/>
                      <w:sz w:val="21"/>
                      <w:szCs w:val="21"/>
                    </w:rPr>
                  </w:pPr>
                </w:p>
              </w:tc>
              <w:tc>
                <w:tcPr>
                  <w:tcW w:w="1095"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0070C0"/>
                      <w:kern w:val="0"/>
                      <w:sz w:val="21"/>
                      <w:szCs w:val="21"/>
                    </w:rPr>
                  </w:pPr>
                </w:p>
              </w:tc>
              <w:tc>
                <w:tcPr>
                  <w:tcW w:w="710"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0070C0"/>
                      <w:kern w:val="0"/>
                      <w:sz w:val="21"/>
                      <w:szCs w:val="21"/>
                    </w:rPr>
                  </w:pPr>
                </w:p>
              </w:tc>
              <w:tc>
                <w:tcPr>
                  <w:tcW w:w="673"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rPr>
                  </w:pPr>
                </w:p>
              </w:tc>
              <w:tc>
                <w:tcPr>
                  <w:tcW w:w="821"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eastAsia="zh-CN"/>
                    </w:rPr>
                  </w:pPr>
                  <w:r>
                    <w:rPr>
                      <w:rFonts w:hint="default" w:ascii="Times New Roman" w:hAnsi="Times New Roman" w:eastAsia="宋体" w:cs="Times New Roman"/>
                      <w:color w:val="auto"/>
                      <w:kern w:val="0"/>
                      <w:sz w:val="21"/>
                      <w:szCs w:val="21"/>
                      <w:lang w:eastAsia="zh-CN"/>
                    </w:rPr>
                    <w:t>桶装</w:t>
                  </w:r>
                </w:p>
              </w:tc>
              <w:tc>
                <w:tcPr>
                  <w:tcW w:w="711"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3t</w:t>
                  </w:r>
                </w:p>
              </w:tc>
              <w:tc>
                <w:tcPr>
                  <w:tcW w:w="785"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0070C0"/>
                      <w:kern w:val="0"/>
                      <w:sz w:val="21"/>
                      <w:szCs w:val="21"/>
                    </w:rPr>
                  </w:pPr>
                </w:p>
              </w:tc>
            </w:tr>
          </w:tbl>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同时，根据《危险废物贮存污染控制标准》（GB18597－2001），评价对本工程危险废物贮存设施、转移管理提出如下要求：</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①贮存设施（危废暂存库）的设计要求</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a地面与裙脚要</w:t>
            </w:r>
            <w:r>
              <w:rPr>
                <w:rFonts w:hint="eastAsia" w:ascii="Times New Roman" w:hAnsi="Times New Roman" w:eastAsia="宋体" w:cs="Times New Roman"/>
                <w:color w:val="auto"/>
                <w:sz w:val="24"/>
                <w:lang w:eastAsia="zh-CN"/>
              </w:rPr>
              <w:t>用</w:t>
            </w:r>
            <w:r>
              <w:rPr>
                <w:rFonts w:hint="default" w:ascii="Times New Roman" w:hAnsi="Times New Roman" w:eastAsia="宋体" w:cs="Times New Roman"/>
                <w:color w:val="auto"/>
                <w:sz w:val="24"/>
              </w:rPr>
              <w:t>坚固、防渗的材料建造，建筑材料必须与危险废物相容；</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b不同废物分区堆放，并进行标示；</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c设施内要有安全照明设施和观察窗口；</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d贮存场设置明显的贮存危险废物种类标志和警示标志。</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②危险废物管理要求</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a对危险废物分类进行收集包装、登记和设有专人管理</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b危险废物的收集运输采用专用密闭容器、车辆暂存危废定期由专用运输车运走处置，运输过程中需防止散落和流洒。</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③危险废物转移要求</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a按照《危险废物转移联单管理办法》，危险废物产生单位在转移危险废物前，须按照国家有关规定报批危险废物转移计划；经批准后，产生单位应当向移出地环境保护行政主管部门申请领取联单。</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b产生单位应当在危险废物转移前三日内报告移出地环境保护行政主管部门，并同时将预期到达时间报告接受地环境保护行政主管部门。</w:t>
            </w:r>
          </w:p>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c危险废物产生单位每转移一车同类危险废物，应当填写一份联单。每车有多类危险废物的，应当按每一类危险废物填写一份联单。</w:t>
            </w:r>
          </w:p>
          <w:p>
            <w:pPr>
              <w:adjustRightInd w:val="0"/>
              <w:snapToGrid w:val="0"/>
              <w:spacing w:line="520" w:lineRule="exact"/>
              <w:ind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zCs w:val="24"/>
              </w:rPr>
              <w:t>职工生活垃圾</w:t>
            </w:r>
          </w:p>
          <w:p>
            <w:pPr>
              <w:adjustRightInd w:val="0"/>
              <w:snapToGrid w:val="0"/>
              <w:spacing w:line="52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rPr>
              <w:t>本项目职工</w:t>
            </w:r>
            <w:r>
              <w:rPr>
                <w:rFonts w:hint="eastAsia"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人，以每人每天产生生活垃圾0.5kg计，则生活垃圾产生量为</w:t>
            </w:r>
            <w:r>
              <w:rPr>
                <w:rFonts w:hint="eastAsia" w:ascii="Times New Roman" w:hAnsi="Times New Roman" w:eastAsia="宋体" w:cs="Times New Roman"/>
                <w:color w:val="auto"/>
                <w:sz w:val="24"/>
                <w:lang w:val="en-US" w:eastAsia="zh-CN"/>
              </w:rPr>
              <w:t>0.75</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szCs w:val="24"/>
              </w:rPr>
              <w:t>。</w:t>
            </w:r>
          </w:p>
          <w:p>
            <w:pPr>
              <w:adjustRightInd w:val="0"/>
              <w:snapToGrid w:val="0"/>
              <w:spacing w:line="52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本项目废物产生量及处理处置去向见</w:t>
            </w:r>
            <w:r>
              <w:rPr>
                <w:rFonts w:hint="eastAsia" w:ascii="Times New Roman" w:hAnsi="Times New Roman" w:eastAsia="宋体" w:cs="Times New Roman"/>
                <w:color w:val="auto"/>
                <w:sz w:val="24"/>
                <w:lang w:eastAsia="zh-CN"/>
              </w:rPr>
              <w:t>下</w:t>
            </w:r>
            <w:r>
              <w:rPr>
                <w:rFonts w:hint="default" w:ascii="Times New Roman" w:hAnsi="Times New Roman" w:eastAsia="宋体" w:cs="Times New Roman"/>
                <w:color w:val="auto"/>
                <w:sz w:val="24"/>
              </w:rPr>
              <w:t>表。</w:t>
            </w:r>
          </w:p>
          <w:p>
            <w:pPr>
              <w:pStyle w:val="121"/>
              <w:numPr>
                <w:ilvl w:val="0"/>
                <w:numId w:val="0"/>
              </w:numPr>
              <w:bidi w:val="0"/>
              <w:ind w:leftChars="0"/>
              <w:jc w:val="center"/>
              <w:rPr>
                <w:rFonts w:hint="default"/>
                <w:lang w:val="en-US" w:eastAsia="zh-CN"/>
              </w:rPr>
            </w:pPr>
            <w:r>
              <w:rPr>
                <w:rFonts w:hint="eastAsia"/>
                <w:lang w:val="en-US" w:eastAsia="zh-CN"/>
              </w:rPr>
              <w:t xml:space="preserve">表4-15        </w:t>
            </w:r>
            <w:r>
              <w:rPr>
                <w:rFonts w:hint="default"/>
                <w:lang w:val="en-US" w:eastAsia="zh-CN"/>
              </w:rPr>
              <w:t>固体废弃物产生及去向统计表</w:t>
            </w:r>
          </w:p>
          <w:tbl>
            <w:tblPr>
              <w:tblStyle w:val="25"/>
              <w:tblW w:w="80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85" w:type="dxa"/>
                <w:left w:w="108" w:type="dxa"/>
                <w:bottom w:w="85" w:type="dxa"/>
                <w:right w:w="108" w:type="dxa"/>
              </w:tblCellMar>
            </w:tblPr>
            <w:tblGrid>
              <w:gridCol w:w="1077"/>
              <w:gridCol w:w="1293"/>
              <w:gridCol w:w="1576"/>
              <w:gridCol w:w="1837"/>
              <w:gridCol w:w="22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108" w:type="dxa"/>
                  <w:bottom w:w="85" w:type="dxa"/>
                  <w:right w:w="108" w:type="dxa"/>
                </w:tblCellMar>
              </w:tblPrEx>
              <w:trPr>
                <w:trHeight w:val="443" w:hRule="atLeast"/>
                <w:jc w:val="center"/>
              </w:trPr>
              <w:tc>
                <w:tcPr>
                  <w:tcW w:w="1077"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类型</w:t>
                  </w:r>
                </w:p>
              </w:tc>
              <w:tc>
                <w:tcPr>
                  <w:tcW w:w="1293"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废物名称</w:t>
                  </w:r>
                </w:p>
              </w:tc>
              <w:tc>
                <w:tcPr>
                  <w:tcW w:w="1576" w:type="dxa"/>
                  <w:tcBorders>
                    <w:tl2br w:val="nil"/>
                    <w:tr2bl w:val="nil"/>
                  </w:tcBorders>
                  <w:noWrap w:val="0"/>
                  <w:tcMar>
                    <w:top w:w="0" w:type="dxa"/>
                    <w:left w:w="0" w:type="dxa"/>
                    <w:bottom w:w="0" w:type="dxa"/>
                    <w:right w:w="0" w:type="dxa"/>
                  </w:tcMar>
                  <w:vAlign w:val="center"/>
                </w:tcPr>
                <w:p>
                  <w:pPr>
                    <w:topLinePunct/>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1837"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23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处理处置方式及去向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108" w:type="dxa"/>
                  <w:bottom w:w="85" w:type="dxa"/>
                  <w:right w:w="108" w:type="dxa"/>
                </w:tblCellMar>
              </w:tblPrEx>
              <w:trPr>
                <w:trHeight w:val="441" w:hRule="atLeast"/>
                <w:jc w:val="center"/>
              </w:trPr>
              <w:tc>
                <w:tcPr>
                  <w:tcW w:w="1077"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293" w:type="dxa"/>
                  <w:tcBorders>
                    <w:tl2br w:val="nil"/>
                    <w:tr2bl w:val="nil"/>
                  </w:tcBorders>
                  <w:noWrap w:val="0"/>
                  <w:tcMar>
                    <w:top w:w="0" w:type="dxa"/>
                    <w:left w:w="0" w:type="dxa"/>
                    <w:bottom w:w="0" w:type="dxa"/>
                    <w:right w:w="0" w:type="dxa"/>
                  </w:tcMar>
                  <w:vAlign w:val="center"/>
                </w:tcPr>
                <w:p>
                  <w:pPr>
                    <w:topLinePunct/>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1576"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0.75</w:t>
                  </w:r>
                </w:p>
              </w:tc>
              <w:tc>
                <w:tcPr>
                  <w:tcW w:w="1837"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235"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集中收集交由环卫部门处理处置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108" w:type="dxa"/>
                  <w:bottom w:w="85" w:type="dxa"/>
                  <w:right w:w="108" w:type="dxa"/>
                </w:tblCellMar>
              </w:tblPrEx>
              <w:trPr>
                <w:trHeight w:val="386" w:hRule="atLeast"/>
                <w:jc w:val="center"/>
              </w:trPr>
              <w:tc>
                <w:tcPr>
                  <w:tcW w:w="1077"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1293" w:type="dxa"/>
                  <w:tcBorders>
                    <w:tl2br w:val="nil"/>
                    <w:tr2bl w:val="nil"/>
                  </w:tcBorders>
                  <w:noWrap w:val="0"/>
                  <w:tcMar>
                    <w:top w:w="0" w:type="dxa"/>
                    <w:left w:w="0" w:type="dxa"/>
                    <w:bottom w:w="0" w:type="dxa"/>
                    <w:right w:w="0" w:type="dxa"/>
                  </w:tcMar>
                  <w:vAlign w:val="center"/>
                </w:tcPr>
                <w:p>
                  <w:pPr>
                    <w:topLinePunct/>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废包装桶/袋</w:t>
                  </w:r>
                </w:p>
              </w:tc>
              <w:tc>
                <w:tcPr>
                  <w:tcW w:w="1576"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1837"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2235" w:type="dxa"/>
                  <w:vMerge w:val="restart"/>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危废暂存区暂存后，定期交由资质单位处置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108" w:type="dxa"/>
                  <w:bottom w:w="85" w:type="dxa"/>
                  <w:right w:w="108" w:type="dxa"/>
                </w:tblCellMar>
              </w:tblPrEx>
              <w:trPr>
                <w:trHeight w:val="386" w:hRule="atLeast"/>
                <w:jc w:val="center"/>
              </w:trPr>
              <w:tc>
                <w:tcPr>
                  <w:tcW w:w="1077"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p>
              </w:tc>
              <w:tc>
                <w:tcPr>
                  <w:tcW w:w="1293" w:type="dxa"/>
                  <w:tcBorders>
                    <w:tl2br w:val="nil"/>
                    <w:tr2bl w:val="nil"/>
                  </w:tcBorders>
                  <w:noWrap w:val="0"/>
                  <w:tcMar>
                    <w:top w:w="0" w:type="dxa"/>
                    <w:left w:w="0" w:type="dxa"/>
                    <w:bottom w:w="0" w:type="dxa"/>
                    <w:right w:w="0" w:type="dxa"/>
                  </w:tcMar>
                  <w:vAlign w:val="center"/>
                </w:tcPr>
                <w:p>
                  <w:pPr>
                    <w:topLinePunct/>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喷淋液</w:t>
                  </w:r>
                </w:p>
              </w:tc>
              <w:tc>
                <w:tcPr>
                  <w:tcW w:w="1576"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w:t>
                  </w:r>
                </w:p>
              </w:tc>
              <w:tc>
                <w:tcPr>
                  <w:tcW w:w="1837"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p>
              </w:tc>
              <w:tc>
                <w:tcPr>
                  <w:tcW w:w="2235" w:type="dxa"/>
                  <w:vMerge w:val="continue"/>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85" w:type="dxa"/>
                  <w:left w:w="108" w:type="dxa"/>
                  <w:bottom w:w="85" w:type="dxa"/>
                  <w:right w:w="108" w:type="dxa"/>
                </w:tblCellMar>
              </w:tblPrEx>
              <w:trPr>
                <w:trHeight w:val="317" w:hRule="atLeast"/>
                <w:jc w:val="center"/>
              </w:trPr>
              <w:tc>
                <w:tcPr>
                  <w:tcW w:w="1077"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70C0"/>
                      <w:sz w:val="21"/>
                      <w:szCs w:val="21"/>
                    </w:rPr>
                  </w:pPr>
                </w:p>
              </w:tc>
              <w:tc>
                <w:tcPr>
                  <w:tcW w:w="1293" w:type="dxa"/>
                  <w:tcBorders>
                    <w:tl2br w:val="nil"/>
                    <w:tr2bl w:val="nil"/>
                  </w:tcBorders>
                  <w:noWrap w:val="0"/>
                  <w:tcMar>
                    <w:top w:w="0" w:type="dxa"/>
                    <w:left w:w="0" w:type="dxa"/>
                    <w:bottom w:w="0" w:type="dxa"/>
                    <w:right w:w="0" w:type="dxa"/>
                  </w:tcMar>
                  <w:vAlign w:val="center"/>
                </w:tcPr>
                <w:p>
                  <w:pPr>
                    <w:topLinePunct/>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废活性炭</w:t>
                  </w:r>
                </w:p>
              </w:tc>
              <w:tc>
                <w:tcPr>
                  <w:tcW w:w="1576" w:type="dxa"/>
                  <w:tcBorders>
                    <w:tl2br w:val="nil"/>
                    <w:tr2bl w:val="nil"/>
                  </w:tcBorders>
                  <w:noWrap w:val="0"/>
                  <w:vAlign w:val="center"/>
                </w:tcPr>
                <w:p>
                  <w:pPr>
                    <w:topLinePunct/>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2.3</w:t>
                  </w:r>
                </w:p>
              </w:tc>
              <w:tc>
                <w:tcPr>
                  <w:tcW w:w="1837" w:type="dxa"/>
                  <w:vMerge w:val="continue"/>
                  <w:tcBorders>
                    <w:tl2br w:val="nil"/>
                    <w:tr2bl w:val="nil"/>
                  </w:tcBorders>
                  <w:noWrap w:val="0"/>
                  <w:vAlign w:val="center"/>
                </w:tcPr>
                <w:p>
                  <w:pPr>
                    <w:pStyle w:val="73"/>
                    <w:spacing w:line="240" w:lineRule="auto"/>
                    <w:ind w:firstLine="0"/>
                    <w:jc w:val="center"/>
                    <w:rPr>
                      <w:rFonts w:hint="default" w:ascii="Times New Roman" w:hAnsi="Times New Roman" w:eastAsia="宋体" w:cs="Times New Roman"/>
                      <w:b w:val="0"/>
                      <w:bCs w:val="0"/>
                      <w:color w:val="auto"/>
                      <w:sz w:val="21"/>
                      <w:szCs w:val="21"/>
                      <w:u w:val="none"/>
                      <w:lang w:val="en-US" w:eastAsia="zh-CN"/>
                    </w:rPr>
                  </w:pPr>
                </w:p>
              </w:tc>
              <w:tc>
                <w:tcPr>
                  <w:tcW w:w="223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color w:val="0070C0"/>
                      <w:sz w:val="21"/>
                      <w:szCs w:val="21"/>
                    </w:rPr>
                  </w:pPr>
                </w:p>
              </w:tc>
            </w:tr>
          </w:tbl>
          <w:p>
            <w:pPr>
              <w:adjustRightInd w:val="0"/>
              <w:snapToGrid w:val="0"/>
              <w:spacing w:line="52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二</w:t>
            </w:r>
            <w:r>
              <w:rPr>
                <w:rFonts w:hint="default" w:ascii="Times New Roman" w:hAnsi="Times New Roman" w:eastAsia="宋体" w:cs="Times New Roman"/>
                <w:color w:val="auto"/>
                <w:sz w:val="24"/>
                <w:lang w:eastAsia="zh-CN"/>
              </w:rPr>
              <w:t>）非</w:t>
            </w:r>
            <w:r>
              <w:rPr>
                <w:rFonts w:hint="default" w:ascii="Times New Roman" w:hAnsi="Times New Roman" w:eastAsia="宋体" w:cs="Times New Roman"/>
                <w:sz w:val="24"/>
              </w:rPr>
              <w:t>正常工况</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固体废物堆存过程中，含水率较大的废物如污水处理站污泥，其包装出现破损，导致储存过程产生渗滤液，渗滤液经厂房内托盘导流槽收集后进入渗滤液收集桶，作为危险废物交由具有资质的单位处置。</w:t>
            </w:r>
          </w:p>
          <w:p>
            <w:pPr>
              <w:keepNext w:val="0"/>
              <w:keepLines w:val="0"/>
              <w:pageBreakBefore w:val="0"/>
              <w:widowControl w:val="0"/>
              <w:kinsoku/>
              <w:overflowPunct/>
              <w:topLinePunct w:val="0"/>
              <w:autoSpaceDE/>
              <w:autoSpaceDN/>
              <w:bidi w:val="0"/>
              <w:adjustRightInd w:val="0"/>
              <w:snapToGrid w:val="0"/>
              <w:spacing w:line="520" w:lineRule="exact"/>
              <w:ind w:firstLine="482" w:firstLineChars="200"/>
              <w:jc w:val="left"/>
              <w:textAlignment w:val="auto"/>
              <w:rPr>
                <w:b/>
                <w:color w:val="000000"/>
                <w:sz w:val="24"/>
                <w:szCs w:val="24"/>
              </w:rPr>
            </w:pPr>
            <w:r>
              <w:rPr>
                <w:rFonts w:hint="eastAsia"/>
                <w:b/>
                <w:color w:val="000000"/>
                <w:sz w:val="24"/>
                <w:szCs w:val="24"/>
              </w:rPr>
              <w:t>五、地下水、土壤</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（一）地下水</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1、评价范围</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厂址位于黄河冲积平原，水文地质条件相对简单。本次评价范围确定先根据导则推荐公式计算出理论范围值，然后根据厂址区域地下水环境保护目标分布情况以及导则地下水环境现状调查评价范围参照表进行调整。</w:t>
            </w:r>
          </w:p>
          <w:p>
            <w:pPr>
              <w:widowControl/>
              <w:spacing w:line="520" w:lineRule="exact"/>
              <w:ind w:left="0" w:leftChars="0" w:right="0" w:rightChars="0" w:firstLine="0" w:firstLineChars="0"/>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L=а×</w:t>
            </w:r>
            <w:r>
              <w:rPr>
                <w:rFonts w:hint="default" w:ascii="Times New Roman" w:hAnsi="Times New Roman" w:eastAsia="宋体" w:cs="Times New Roman"/>
                <w:sz w:val="24"/>
                <w:szCs w:val="24"/>
              </w:rPr>
              <w:t>κ</w:t>
            </w:r>
            <w:r>
              <w:rPr>
                <w:rFonts w:hint="default" w:ascii="Times New Roman" w:hAnsi="Times New Roman" w:eastAsia="宋体" w:cs="Times New Roman"/>
                <w:b w:val="0"/>
                <w:bCs w:val="0"/>
                <w:color w:val="auto"/>
                <w:sz w:val="24"/>
                <w:szCs w:val="24"/>
                <w:lang w:val="en-US" w:eastAsia="zh-CN"/>
              </w:rPr>
              <w:t>×I×T/ne</w:t>
            </w:r>
          </w:p>
          <w:p>
            <w:pPr>
              <w:keepNext w:val="0"/>
              <w:keepLines w:val="0"/>
              <w:pageBreakBefore w:val="0"/>
              <w:widowControl/>
              <w:kinsoku/>
              <w:wordWrap/>
              <w:overflowPunct/>
              <w:topLinePunct w:val="0"/>
              <w:autoSpaceDE/>
              <w:autoSpaceDN/>
              <w:bidi w:val="0"/>
              <w:adjustRightInd/>
              <w:snapToGrid/>
              <w:spacing w:line="520" w:lineRule="exact"/>
              <w:ind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式中：L-下游迁移距离，m；</w:t>
            </w:r>
          </w:p>
          <w:p>
            <w:pPr>
              <w:keepNext w:val="0"/>
              <w:keepLines w:val="0"/>
              <w:pageBreakBefore w:val="0"/>
              <w:widowControl/>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а-变化系数，а≥1，一般取2；</w:t>
            </w:r>
          </w:p>
          <w:p>
            <w:pPr>
              <w:keepNext w:val="0"/>
              <w:keepLines w:val="0"/>
              <w:pageBreakBefore w:val="0"/>
              <w:widowControl/>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κ-渗透系数，m/d；根据《环境影响评价技术导则地下水环境》（HJ610-2016）附录B表B1，取值为25m/d；</w:t>
            </w:r>
          </w:p>
          <w:p>
            <w:pPr>
              <w:keepNext w:val="0"/>
              <w:keepLines w:val="0"/>
              <w:pageBreakBefore w:val="0"/>
              <w:widowControl/>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I-水力坡度，无量纲；经查阅相关资料，取值为1/1000；</w:t>
            </w:r>
          </w:p>
          <w:p>
            <w:pPr>
              <w:keepNext w:val="0"/>
              <w:keepLines w:val="0"/>
              <w:pageBreakBefore w:val="0"/>
              <w:widowControl/>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T-质点迁移天数，取值不小于5000d；</w:t>
            </w:r>
          </w:p>
          <w:p>
            <w:pPr>
              <w:keepNext w:val="0"/>
              <w:keepLines w:val="0"/>
              <w:pageBreakBefore w:val="0"/>
              <w:widowControl/>
              <w:kinsoku/>
              <w:wordWrap/>
              <w:overflowPunct/>
              <w:topLinePunct w:val="0"/>
              <w:autoSpaceDE/>
              <w:autoSpaceDN/>
              <w:bidi w:val="0"/>
              <w:adjustRightInd/>
              <w:snapToGrid/>
              <w:spacing w:line="520" w:lineRule="exact"/>
              <w:ind w:firstLine="1200" w:firstLineChars="5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n</w:t>
            </w:r>
            <w:r>
              <w:rPr>
                <w:rFonts w:hint="default" w:ascii="Times New Roman" w:hAnsi="Times New Roman" w:eastAsia="宋体" w:cs="Times New Roman"/>
                <w:b w:val="0"/>
                <w:bCs w:val="0"/>
                <w:color w:val="auto"/>
                <w:sz w:val="24"/>
                <w:szCs w:val="24"/>
                <w:vertAlign w:val="subscript"/>
                <w:lang w:val="en-US" w:eastAsia="zh-CN"/>
              </w:rPr>
              <w:t>e</w:t>
            </w:r>
            <w:r>
              <w:rPr>
                <w:rFonts w:hint="default" w:ascii="Times New Roman" w:hAnsi="Times New Roman" w:eastAsia="宋体" w:cs="Times New Roman"/>
                <w:b w:val="0"/>
                <w:bCs w:val="0"/>
                <w:color w:val="auto"/>
                <w:sz w:val="24"/>
                <w:szCs w:val="24"/>
                <w:lang w:val="en-US" w:eastAsia="zh-CN"/>
              </w:rPr>
              <w:t>-有效孔隙度，无量纲。项目区含水层岩性主要为中砂，根据《环境影响评价技术方法》可知，孔隙度取经验值0.35。</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rPr>
              <w:t>根据上述公式及参数计算，L=714.3m，考虑评价范围应包含主要地下水环境保护目标，结合地下水环境现状调查评价范围参照表中的相关要求（评价等级为二级，调查评价面积为6~20km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），本项目综合考虑确定评价范围为6km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，由于地表水和中深层含水层间无明显的水力联系，中深层含水层和深层含水层无明显的水力联系，因此本次预测层位定为预测评价区域的浅水层</w:t>
            </w:r>
            <w:r>
              <w:rPr>
                <w:rFonts w:hint="default" w:ascii="Times New Roman" w:hAnsi="Times New Roman" w:eastAsia="宋体" w:cs="Times New Roman"/>
                <w:sz w:val="24"/>
                <w:lang w:eastAsia="zh-CN"/>
              </w:rPr>
              <w:t>。</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影响评价</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正常情况下，对地下水的污染主要是由于污染物迁移穿过包气带进入含水层造成。项目包气带防污性能为中级，说明浅层地下水不太容易受到污染。若油料、废液或其他污染物发生渗漏，在采取有效的防渗、防腐措施隔阻，污染物不会很快穿过包气带进入潜水；然后通过及时切断污染源，能够有效减少地下水污染的发生。</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按照</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源头控制、分区防控、污染监控、应急响应</w:t>
            </w:r>
            <w:r>
              <w:rPr>
                <w:rFonts w:hint="eastAsia" w:ascii="Times New Roman" w:hAnsi="Times New Roman" w:eastAsia="宋体" w:cs="Times New Roman"/>
                <w:sz w:val="24"/>
                <w:lang w:eastAsia="zh-CN"/>
              </w:rPr>
              <w:t>”</w:t>
            </w:r>
            <w:r>
              <w:rPr>
                <w:rFonts w:hint="default" w:ascii="Times New Roman" w:hAnsi="Times New Roman" w:eastAsia="宋体" w:cs="Times New Roman"/>
                <w:sz w:val="24"/>
              </w:rPr>
              <w:t>的原则，建议项目采取以下地下水污染防控措施与对策：</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◆分区防治措施</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本项目利用闲置库房，主要进行地面防腐防渗改造，用于收集贮存</w:t>
            </w:r>
            <w:r>
              <w:rPr>
                <w:rFonts w:hint="default" w:ascii="Times New Roman" w:hAnsi="Times New Roman" w:eastAsia="宋体" w:cs="Times New Roman"/>
                <w:sz w:val="24"/>
                <w:lang w:eastAsia="zh-CN"/>
              </w:rPr>
              <w:t>新乡</w:t>
            </w:r>
            <w:r>
              <w:rPr>
                <w:rFonts w:hint="default" w:ascii="Times New Roman" w:hAnsi="Times New Roman" w:eastAsia="宋体" w:cs="Times New Roman"/>
                <w:sz w:val="24"/>
              </w:rPr>
              <w:t>市</w:t>
            </w:r>
            <w:r>
              <w:rPr>
                <w:rFonts w:hint="eastAsia" w:ascii="Times New Roman" w:hAnsi="Times New Roman" w:eastAsia="宋体" w:cs="Times New Roman"/>
                <w:sz w:val="24"/>
                <w:lang w:val="en-US" w:eastAsia="zh-CN"/>
              </w:rPr>
              <w:t>凤泉区</w:t>
            </w:r>
            <w:r>
              <w:rPr>
                <w:rFonts w:hint="default" w:ascii="Times New Roman" w:hAnsi="Times New Roman" w:eastAsia="宋体" w:cs="Times New Roman"/>
                <w:sz w:val="24"/>
              </w:rPr>
              <w:t>工业企业危险废物，主要构筑物为危险废物库房含中转区、事故池、办公区。</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项目区域各功能单元是否可能对地下水造成污染，将项目区域划分为污染重点防渗区和简单防渗区。根据场地内天然包气带防污性能、污染控制难易程度和污染物特性，将厂区内的事故池和危险废物库房划为重点防渗区，办公区为简单防渗区。</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本项目分区防渗结合《环境影响评价技术导则地下水环境》(HJ610-2016)，参照《石油化工工程防渗技术规范》(GB/T50934-2013)中要求进行防渗，具体如下：</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（1）重点防渗区：</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①危险废物库房</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危险废物库房含仓储区、中转区地面采用耐酸水泥+环氧树脂+环氧地坪漆进行防渗，使渗透系数不大于l0</w:t>
            </w:r>
            <w:r>
              <w:rPr>
                <w:rFonts w:hint="default" w:ascii="Times New Roman" w:hAnsi="Times New Roman" w:eastAsia="宋体" w:cs="Times New Roman"/>
                <w:sz w:val="24"/>
                <w:vertAlign w:val="superscript"/>
              </w:rPr>
              <w:t>-7</w:t>
            </w:r>
            <w:r>
              <w:rPr>
                <w:rFonts w:hint="default" w:ascii="Times New Roman" w:hAnsi="Times New Roman" w:eastAsia="宋体" w:cs="Times New Roman"/>
                <w:sz w:val="24"/>
              </w:rPr>
              <w:t>cm/s。环氧地坪自下而上采用底漆一道、环氧树脂腻子两道、面漆两道。</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②事故池、导流沟</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事故池及导流沟采用抗渗钢筋混凝土结构，混凝土强度等级不宜小于C30，抗渗等级不应小于P8，且水池和导流沟的内表面应涂刷水泥基渗透结晶型防水涂料，使防渗系统不大于10</w:t>
            </w:r>
            <w:r>
              <w:rPr>
                <w:rFonts w:hint="default" w:ascii="Times New Roman" w:hAnsi="Times New Roman" w:eastAsia="宋体" w:cs="Times New Roman"/>
                <w:sz w:val="24"/>
                <w:vertAlign w:val="superscript"/>
              </w:rPr>
              <w:t>-10</w:t>
            </w:r>
            <w:r>
              <w:rPr>
                <w:rFonts w:hint="default" w:ascii="Times New Roman" w:hAnsi="Times New Roman" w:eastAsia="宋体" w:cs="Times New Roman"/>
                <w:sz w:val="24"/>
              </w:rPr>
              <w:t>cm/s。</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在池四周回填土和涂刷防水涂料之前，应进行</w:t>
            </w:r>
            <w:r>
              <w:rPr>
                <w:rFonts w:hint="eastAsia" w:ascii="Times New Roman" w:hAnsi="Times New Roman" w:eastAsia="宋体" w:cs="Times New Roman"/>
                <w:sz w:val="24"/>
                <w:lang w:eastAsia="zh-CN"/>
              </w:rPr>
              <w:t>闭水</w:t>
            </w:r>
            <w:r>
              <w:rPr>
                <w:rFonts w:hint="default" w:ascii="Times New Roman" w:hAnsi="Times New Roman" w:eastAsia="宋体" w:cs="Times New Roman"/>
                <w:sz w:val="24"/>
              </w:rPr>
              <w:t>试验。</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（2）简单防渗区</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eastAsia" w:ascii="Times New Roman" w:hAnsi="Times New Roman" w:eastAsia="宋体" w:cs="Times New Roman"/>
                <w:sz w:val="24"/>
                <w:lang w:eastAsia="zh-CN"/>
              </w:rPr>
            </w:pPr>
            <w:r>
              <w:rPr>
                <w:rFonts w:hint="default" w:ascii="Times New Roman" w:hAnsi="Times New Roman" w:eastAsia="宋体" w:cs="Times New Roman"/>
                <w:sz w:val="24"/>
              </w:rPr>
              <w:t>本项目办公区域为简单防渗区，该区域只需一般地面硬化即可</w:t>
            </w:r>
            <w:r>
              <w:rPr>
                <w:rFonts w:hint="eastAsia" w:ascii="Times New Roman" w:hAnsi="Times New Roman" w:eastAsia="宋体" w:cs="Times New Roman"/>
                <w:sz w:val="24"/>
                <w:lang w:eastAsia="zh-CN"/>
              </w:rPr>
              <w:t>。</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rPr>
              <w:t>◆</w:t>
            </w:r>
            <w:r>
              <w:rPr>
                <w:rFonts w:hint="default" w:ascii="Times New Roman" w:hAnsi="Times New Roman" w:eastAsia="宋体" w:cs="Times New Roman"/>
                <w:sz w:val="24"/>
                <w:lang w:eastAsia="zh-CN"/>
              </w:rPr>
              <w:t>地下水影响预测</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本项目可能对地下水造成污染的</w:t>
            </w:r>
            <w:r>
              <w:rPr>
                <w:rFonts w:hint="eastAsia" w:ascii="Times New Roman" w:hAnsi="Times New Roman" w:eastAsia="宋体" w:cs="Times New Roman"/>
                <w:sz w:val="24"/>
                <w:lang w:eastAsia="zh-CN"/>
              </w:rPr>
              <w:t>途径</w:t>
            </w:r>
            <w:r>
              <w:rPr>
                <w:rFonts w:hint="default" w:ascii="Times New Roman" w:hAnsi="Times New Roman" w:eastAsia="宋体" w:cs="Times New Roman"/>
                <w:sz w:val="24"/>
              </w:rPr>
              <w:t>主要由：</w:t>
            </w:r>
            <w:r>
              <w:rPr>
                <w:rFonts w:hint="default" w:ascii="Times New Roman" w:hAnsi="Times New Roman" w:eastAsia="宋体" w:cs="Times New Roman"/>
                <w:bCs/>
                <w:sz w:val="24"/>
              </w:rPr>
              <w:t>危险废物库房</w:t>
            </w:r>
            <w:r>
              <w:rPr>
                <w:rFonts w:hint="default" w:ascii="Times New Roman" w:hAnsi="Times New Roman" w:eastAsia="宋体" w:cs="Times New Roman"/>
                <w:bCs/>
                <w:sz w:val="24"/>
                <w:lang w:eastAsia="zh-CN"/>
              </w:rPr>
              <w:t>、</w:t>
            </w:r>
            <w:r>
              <w:rPr>
                <w:rFonts w:hint="default" w:ascii="Times New Roman" w:hAnsi="Times New Roman" w:eastAsia="宋体" w:cs="Times New Roman"/>
                <w:bCs/>
                <w:sz w:val="24"/>
              </w:rPr>
              <w:t>事故池、导流沟</w:t>
            </w:r>
            <w:r>
              <w:rPr>
                <w:rFonts w:hint="default" w:ascii="Times New Roman" w:hAnsi="Times New Roman" w:eastAsia="宋体" w:cs="Times New Roman"/>
                <w:sz w:val="24"/>
              </w:rPr>
              <w:t>等地面破损</w:t>
            </w:r>
            <w:r>
              <w:rPr>
                <w:rFonts w:hint="default" w:ascii="Times New Roman" w:hAnsi="Times New Roman" w:eastAsia="宋体" w:cs="Times New Roman"/>
                <w:sz w:val="24"/>
                <w:lang w:eastAsia="zh-CN"/>
              </w:rPr>
              <w:t>，同时</w:t>
            </w:r>
            <w:r>
              <w:rPr>
                <w:rFonts w:hint="default" w:ascii="Times New Roman" w:hAnsi="Times New Roman" w:eastAsia="宋体" w:cs="Times New Roman"/>
                <w:sz w:val="24"/>
              </w:rPr>
              <w:t>包装物</w:t>
            </w:r>
            <w:r>
              <w:rPr>
                <w:rFonts w:hint="default" w:ascii="Times New Roman" w:hAnsi="Times New Roman" w:eastAsia="宋体" w:cs="Times New Roman"/>
                <w:sz w:val="24"/>
                <w:lang w:eastAsia="zh-CN"/>
              </w:rPr>
              <w:t>发生</w:t>
            </w:r>
            <w:r>
              <w:rPr>
                <w:rFonts w:hint="default" w:ascii="Times New Roman" w:hAnsi="Times New Roman" w:eastAsia="宋体" w:cs="Times New Roman"/>
                <w:sz w:val="24"/>
              </w:rPr>
              <w:t>破损等，导致废矿物油通过包气带下渗，造成地下水水质污染。本环评预测主要考虑贮存区地面等破损后，</w:t>
            </w:r>
            <w:r>
              <w:rPr>
                <w:rFonts w:hint="default" w:ascii="Times New Roman" w:hAnsi="Times New Roman" w:eastAsia="宋体" w:cs="Times New Roman"/>
                <w:sz w:val="24"/>
                <w:lang w:eastAsia="zh-CN"/>
              </w:rPr>
              <w:t>废矿物油</w:t>
            </w:r>
            <w:r>
              <w:rPr>
                <w:rFonts w:hint="default" w:ascii="Times New Roman" w:hAnsi="Times New Roman" w:eastAsia="宋体" w:cs="Times New Roman"/>
                <w:sz w:val="24"/>
              </w:rPr>
              <w:t>泄露对地下水造成的影响。</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①预测时段</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本评价预测时段主要选择的时间节点如下：1d、10d、100d、500d、1000d。</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②情景设置</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本项目危险废物库房</w:t>
            </w:r>
            <w:r>
              <w:rPr>
                <w:rFonts w:hint="default" w:ascii="Times New Roman" w:hAnsi="Times New Roman" w:eastAsia="宋体" w:cs="Times New Roman"/>
                <w:sz w:val="24"/>
                <w:lang w:eastAsia="zh-CN"/>
              </w:rPr>
              <w:t>、事故池、导流沟均设有</w:t>
            </w:r>
            <w:r>
              <w:rPr>
                <w:rFonts w:hint="default" w:ascii="Times New Roman" w:hAnsi="Times New Roman" w:eastAsia="宋体" w:cs="Times New Roman"/>
                <w:sz w:val="24"/>
              </w:rPr>
              <w:t>防渗，正常情况下，可以达到防渗的目的不会对地下水造成影响。本次预测重点为非正常状况下，因危险废物库房地面发生</w:t>
            </w:r>
            <w:r>
              <w:rPr>
                <w:rFonts w:hint="default" w:ascii="Times New Roman" w:hAnsi="Times New Roman" w:eastAsia="宋体" w:cs="Times New Roman"/>
                <w:sz w:val="24"/>
                <w:lang w:eastAsia="zh-CN"/>
              </w:rPr>
              <w:t>破损，同时</w:t>
            </w:r>
            <w:r>
              <w:rPr>
                <w:rFonts w:hint="default" w:ascii="Times New Roman" w:hAnsi="Times New Roman" w:eastAsia="宋体" w:cs="Times New Roman"/>
                <w:sz w:val="24"/>
              </w:rPr>
              <w:t>废矿物油储油</w:t>
            </w:r>
            <w:r>
              <w:rPr>
                <w:rFonts w:hint="default" w:ascii="Times New Roman" w:hAnsi="Times New Roman" w:eastAsia="宋体" w:cs="Times New Roman"/>
                <w:sz w:val="24"/>
                <w:lang w:eastAsia="zh-CN"/>
              </w:rPr>
              <w:t>桶</w:t>
            </w:r>
            <w:r>
              <w:rPr>
                <w:rFonts w:hint="default" w:ascii="Times New Roman" w:hAnsi="Times New Roman" w:eastAsia="宋体" w:cs="Times New Roman"/>
                <w:sz w:val="24"/>
              </w:rPr>
              <w:t>破损</w:t>
            </w:r>
            <w:r>
              <w:rPr>
                <w:rFonts w:hint="default" w:ascii="Times New Roman" w:hAnsi="Times New Roman" w:eastAsia="宋体" w:cs="Times New Roman"/>
                <w:sz w:val="24"/>
                <w:lang w:eastAsia="zh-CN"/>
              </w:rPr>
              <w:t>发生</w:t>
            </w:r>
            <w:r>
              <w:rPr>
                <w:rFonts w:hint="default" w:ascii="Times New Roman" w:hAnsi="Times New Roman" w:eastAsia="宋体" w:cs="Times New Roman"/>
                <w:sz w:val="24"/>
              </w:rPr>
              <w:t>泄露，导致废矿物油发生</w:t>
            </w:r>
            <w:r>
              <w:rPr>
                <w:rFonts w:hint="eastAsia" w:ascii="Times New Roman" w:hAnsi="Times New Roman" w:eastAsia="宋体" w:cs="Times New Roman"/>
                <w:sz w:val="24"/>
                <w:lang w:eastAsia="zh-CN"/>
              </w:rPr>
              <w:t>渗漏</w:t>
            </w:r>
            <w:r>
              <w:rPr>
                <w:rFonts w:hint="default" w:ascii="Times New Roman" w:hAnsi="Times New Roman" w:eastAsia="宋体" w:cs="Times New Roman"/>
                <w:sz w:val="24"/>
              </w:rPr>
              <w:t>对地下水环境的影响。</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③预测源强</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本项目废矿物油泄漏量进入地下潜水的按下列公式计算：</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left="0" w:leftChars="0" w:right="0" w:rightChars="0" w:firstLine="0" w:firstLineChars="0"/>
              <w:jc w:val="center"/>
              <w:textAlignment w:val="auto"/>
              <w:rPr>
                <w:rFonts w:hint="default" w:ascii="Times New Roman" w:hAnsi="Times New Roman" w:eastAsia="宋体" w:cs="Times New Roman"/>
                <w:sz w:val="24"/>
              </w:rPr>
            </w:pPr>
            <w:r>
              <w:rPr>
                <w:rFonts w:hint="default" w:ascii="Times New Roman" w:hAnsi="Times New Roman" w:eastAsia="宋体" w:cs="Times New Roman"/>
                <w:sz w:val="24"/>
              </w:rPr>
              <w:t>Q=A×K×T</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1200" w:firstLineChars="500"/>
              <w:textAlignment w:val="auto"/>
              <w:rPr>
                <w:rFonts w:hint="default" w:ascii="Times New Roman" w:hAnsi="Times New Roman" w:eastAsia="宋体" w:cs="Times New Roman"/>
                <w:sz w:val="24"/>
                <w:vertAlign w:val="baseline"/>
              </w:rPr>
            </w:pPr>
            <w:r>
              <w:rPr>
                <w:rFonts w:hint="default" w:ascii="Times New Roman" w:hAnsi="Times New Roman" w:eastAsia="宋体" w:cs="Times New Roman"/>
                <w:sz w:val="24"/>
              </w:rPr>
              <w:t>A：非正常情况下，可能发生防渗破损造成渗漏的面积按废</w:t>
            </w:r>
            <w:r>
              <w:rPr>
                <w:rFonts w:hint="default" w:ascii="Times New Roman" w:hAnsi="Times New Roman" w:eastAsia="宋体" w:cs="Times New Roman"/>
                <w:spacing w:val="2"/>
                <w:sz w:val="24"/>
              </w:rPr>
              <w:t>矿物油贮存区面积的</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%计，</w:t>
            </w:r>
            <w:r>
              <w:rPr>
                <w:rFonts w:hint="default" w:ascii="Times New Roman" w:hAnsi="Times New Roman" w:eastAsia="宋体" w:cs="Times New Roman"/>
                <w:sz w:val="24"/>
                <w:lang w:val="en-US" w:eastAsia="zh-CN"/>
              </w:rPr>
              <w:t>4.5</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vertAlign w:val="baseline"/>
              </w:rPr>
              <w:t>；</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1200" w:firstLineChars="500"/>
              <w:textAlignment w:val="auto"/>
              <w:rPr>
                <w:rFonts w:hint="default" w:ascii="Times New Roman" w:hAnsi="Times New Roman" w:eastAsia="宋体" w:cs="Times New Roman"/>
                <w:sz w:val="24"/>
                <w:vertAlign w:val="baseline"/>
              </w:rPr>
            </w:pPr>
            <w:r>
              <w:rPr>
                <w:rFonts w:hint="default" w:ascii="Times New Roman" w:hAnsi="Times New Roman" w:eastAsia="宋体" w:cs="Times New Roman"/>
                <w:sz w:val="24"/>
                <w:vertAlign w:val="baseline"/>
              </w:rPr>
              <w:t>K：防渗层垂向渗透系数，≤</w:t>
            </w:r>
            <w:r>
              <w:rPr>
                <w:rFonts w:hint="default" w:ascii="Times New Roman" w:hAnsi="Times New Roman" w:eastAsia="宋体" w:cs="Times New Roman"/>
                <w:sz w:val="24"/>
                <w:vertAlign w:val="baseline"/>
                <w:lang w:val="en-US" w:eastAsia="zh-CN"/>
              </w:rPr>
              <w:t>1</w:t>
            </w:r>
            <w:r>
              <w:rPr>
                <w:rFonts w:hint="default" w:ascii="Times New Roman" w:hAnsi="Times New Roman" w:eastAsia="宋体" w:cs="Times New Roman"/>
                <w:sz w:val="24"/>
                <w:vertAlign w:val="baseline"/>
              </w:rPr>
              <w:t>×10</w:t>
            </w:r>
            <w:r>
              <w:rPr>
                <w:rFonts w:hint="default" w:ascii="Times New Roman" w:hAnsi="Times New Roman" w:eastAsia="宋体" w:cs="Times New Roman"/>
                <w:sz w:val="24"/>
                <w:vertAlign w:val="superscript"/>
              </w:rPr>
              <w:t>-</w:t>
            </w:r>
            <w:r>
              <w:rPr>
                <w:rFonts w:hint="default" w:ascii="Times New Roman" w:hAnsi="Times New Roman" w:eastAsia="宋体" w:cs="Times New Roman"/>
                <w:sz w:val="24"/>
                <w:vertAlign w:val="superscript"/>
                <w:lang w:val="en-US" w:eastAsia="zh-CN"/>
              </w:rPr>
              <w:t>7</w:t>
            </w:r>
            <w:r>
              <w:rPr>
                <w:rFonts w:hint="default" w:ascii="Times New Roman" w:hAnsi="Times New Roman" w:eastAsia="宋体" w:cs="Times New Roman"/>
                <w:sz w:val="24"/>
                <w:vertAlign w:val="baseline"/>
              </w:rPr>
              <w:t>cm/s；</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vertAlign w:val="baseline"/>
              </w:rPr>
              <w:t>T：污染物处理时间，</w:t>
            </w:r>
            <w:r>
              <w:rPr>
                <w:rFonts w:hint="default" w:ascii="Times New Roman" w:hAnsi="Times New Roman" w:eastAsia="宋体" w:cs="Times New Roman"/>
                <w:sz w:val="24"/>
                <w:vertAlign w:val="baseline"/>
                <w:lang w:val="en-US" w:eastAsia="zh-CN"/>
              </w:rPr>
              <w:t>0.5</w:t>
            </w:r>
            <w:r>
              <w:rPr>
                <w:rFonts w:hint="default" w:ascii="Times New Roman" w:hAnsi="Times New Roman" w:eastAsia="宋体" w:cs="Times New Roman"/>
                <w:sz w:val="24"/>
                <w:vertAlign w:val="baseline"/>
              </w:rPr>
              <w:t>h。</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vertAlign w:val="baseline"/>
                <w:lang w:eastAsia="zh-CN"/>
              </w:rPr>
            </w:pPr>
            <w:r>
              <w:rPr>
                <w:rFonts w:hint="default" w:ascii="Times New Roman" w:hAnsi="Times New Roman" w:eastAsia="宋体" w:cs="Times New Roman"/>
                <w:sz w:val="24"/>
              </w:rPr>
              <w:t>由此计算得到泄漏进入地下水的废矿物油量为0.000000</w:t>
            </w:r>
            <w:r>
              <w:rPr>
                <w:rFonts w:hint="default" w:ascii="Times New Roman" w:hAnsi="Times New Roman" w:eastAsia="宋体" w:cs="Times New Roman"/>
                <w:sz w:val="24"/>
                <w:lang w:val="en-US" w:eastAsia="zh-CN"/>
              </w:rPr>
              <w:t>225</w:t>
            </w:r>
            <w:r>
              <w:rPr>
                <w:rFonts w:hint="default" w:ascii="Times New Roman" w:hAnsi="Times New Roman" w:eastAsia="宋体" w:cs="Times New Roman"/>
                <w:sz w:val="24"/>
              </w:rPr>
              <w:t>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vertAlign w:val="baseline"/>
              </w:rPr>
              <w:t>，其平均密度为900kg/m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vertAlign w:val="baseline"/>
              </w:rPr>
              <w:t>，则进入地下水的废矿物油量为0.000</w:t>
            </w:r>
            <w:r>
              <w:rPr>
                <w:rFonts w:hint="default" w:ascii="Times New Roman" w:hAnsi="Times New Roman" w:eastAsia="宋体" w:cs="Times New Roman"/>
                <w:sz w:val="24"/>
                <w:vertAlign w:val="baseline"/>
                <w:lang w:val="en-US" w:eastAsia="zh-CN"/>
              </w:rPr>
              <w:t>2025</w:t>
            </w:r>
            <w:r>
              <w:rPr>
                <w:rFonts w:hint="default" w:ascii="Times New Roman" w:hAnsi="Times New Roman" w:eastAsia="宋体" w:cs="Times New Roman"/>
                <w:sz w:val="24"/>
                <w:vertAlign w:val="baseline"/>
              </w:rPr>
              <w:t>kg。</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④预测因子</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根据项目工程分析，本次地下水预测选取石油类作为预测因子。</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⑤预测标准</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石油类的标准限值参照《地表水环境质量标准》（GB3838-2002）中Ⅲ类标准限值（石油类：0.05mg/L，）。</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⑥预测方法</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根据《环境影响评价技术导则 地下水环境》（HJ610-2016）中二级评价的要求，对地下水采用解析法或数值法进行地下水影响预测。本次评价采用解析法对地下水进行环境影响预测分析和评价。</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本项目可以使用解析法的可行性分析详见</w:t>
            </w:r>
            <w:r>
              <w:rPr>
                <w:rFonts w:hint="eastAsia" w:ascii="Times New Roman" w:hAnsi="Times New Roman" w:eastAsia="宋体" w:cs="Times New Roman"/>
                <w:sz w:val="24"/>
                <w:lang w:eastAsia="zh-CN"/>
              </w:rPr>
              <w:t>下</w:t>
            </w:r>
            <w:r>
              <w:rPr>
                <w:rFonts w:hint="default" w:ascii="Times New Roman" w:hAnsi="Times New Roman" w:eastAsia="宋体" w:cs="Times New Roman"/>
                <w:sz w:val="24"/>
              </w:rPr>
              <w:t>表。</w:t>
            </w:r>
          </w:p>
          <w:p>
            <w:pPr>
              <w:pStyle w:val="121"/>
              <w:numPr>
                <w:ilvl w:val="0"/>
                <w:numId w:val="0"/>
              </w:numPr>
              <w:bidi w:val="0"/>
              <w:ind w:leftChars="0"/>
              <w:jc w:val="center"/>
              <w:rPr>
                <w:rFonts w:hint="default"/>
              </w:rPr>
            </w:pPr>
            <w:r>
              <w:rPr>
                <w:rFonts w:hint="eastAsia"/>
                <w:lang w:val="en-US" w:eastAsia="zh-CN"/>
              </w:rPr>
              <w:t xml:space="preserve">表4-16       </w:t>
            </w:r>
            <w:r>
              <w:rPr>
                <w:rFonts w:hint="default"/>
              </w:rPr>
              <w:t>解析法适用性分析</w:t>
            </w:r>
          </w:p>
          <w:tbl>
            <w:tblPr>
              <w:tblStyle w:val="26"/>
              <w:tblW w:w="7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5"/>
              <w:gridCol w:w="3450"/>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sz w:val="21"/>
                    </w:rPr>
                    <w:t>导则要求</w:t>
                  </w:r>
                </w:p>
              </w:tc>
              <w:tc>
                <w:tcPr>
                  <w:tcW w:w="3450"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sz w:val="21"/>
                    </w:rPr>
                    <w:t>项目情况</w:t>
                  </w:r>
                </w:p>
              </w:tc>
              <w:tc>
                <w:tcPr>
                  <w:tcW w:w="1183"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sz w:val="21"/>
                    </w:rPr>
                    <w:t>是否适用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8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sz w:val="21"/>
                    </w:rPr>
                    <w:t>污染物的排放对地下水流场没有明显的影响</w:t>
                  </w:r>
                </w:p>
              </w:tc>
              <w:tc>
                <w:tcPr>
                  <w:tcW w:w="3450"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spacing w:val="-1"/>
                      <w:sz w:val="21"/>
                    </w:rPr>
                    <w:t>本项目破损电池均利用特定耐酸耐腐蚀的封闭</w:t>
                  </w:r>
                  <w:r>
                    <w:rPr>
                      <w:rFonts w:hint="default" w:ascii="Times New Roman" w:hAnsi="Times New Roman" w:eastAsia="宋体" w:cs="Times New Roman"/>
                      <w:sz w:val="21"/>
                    </w:rPr>
                    <w:t>PVC</w:t>
                  </w:r>
                  <w:r>
                    <w:rPr>
                      <w:rFonts w:hint="default" w:ascii="Times New Roman" w:hAnsi="Times New Roman" w:eastAsia="宋体" w:cs="Times New Roman"/>
                      <w:spacing w:val="-3"/>
                      <w:sz w:val="21"/>
                    </w:rPr>
                    <w:t>桶暂存，并暂存于做有防渗材料的贮存区；经暂存</w:t>
                  </w:r>
                </w:p>
              </w:tc>
              <w:tc>
                <w:tcPr>
                  <w:tcW w:w="1183"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w w:val="100"/>
                      <w:sz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28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spacing w:val="-3"/>
                      <w:sz w:val="21"/>
                    </w:rPr>
                    <w:t>预测区内含水层的基本参数（</w:t>
                  </w:r>
                  <w:r>
                    <w:rPr>
                      <w:rFonts w:hint="default" w:ascii="Times New Roman" w:hAnsi="Times New Roman" w:eastAsia="宋体" w:cs="Times New Roman"/>
                      <w:spacing w:val="-5"/>
                      <w:sz w:val="21"/>
                    </w:rPr>
                    <w:t>如渗透系数、有效孔隙</w:t>
                  </w:r>
                  <w:r>
                    <w:rPr>
                      <w:rFonts w:hint="default" w:ascii="Times New Roman" w:hAnsi="Times New Roman" w:eastAsia="宋体" w:cs="Times New Roman"/>
                      <w:sz w:val="21"/>
                    </w:rPr>
                    <w:t>度等）不变或变化很小</w:t>
                  </w:r>
                </w:p>
              </w:tc>
              <w:tc>
                <w:tcPr>
                  <w:tcW w:w="3450"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sz w:val="21"/>
                    </w:rPr>
                    <w:t>预测区浅层以中砂为主，含水层的渗透系数，有效孔隙度变化不大</w:t>
                  </w:r>
                </w:p>
              </w:tc>
              <w:tc>
                <w:tcPr>
                  <w:tcW w:w="1183"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2"/>
                      <w:lang w:val="zh-CN" w:eastAsia="zh-CN" w:bidi="zh-CN"/>
                    </w:rPr>
                  </w:pPr>
                  <w:r>
                    <w:rPr>
                      <w:rFonts w:hint="default" w:ascii="Times New Roman" w:hAnsi="Times New Roman" w:eastAsia="宋体" w:cs="Times New Roman"/>
                      <w:w w:val="100"/>
                      <w:sz w:val="21"/>
                    </w:rPr>
                    <w:t>是</w:t>
                  </w:r>
                </w:p>
              </w:tc>
            </w:tr>
          </w:tbl>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由</w:t>
            </w:r>
            <w:r>
              <w:rPr>
                <w:rFonts w:hint="eastAsia" w:ascii="Times New Roman" w:hAnsi="Times New Roman" w:eastAsia="宋体" w:cs="Times New Roman"/>
                <w:sz w:val="24"/>
                <w:lang w:eastAsia="zh-CN"/>
              </w:rPr>
              <w:t>上</w:t>
            </w:r>
            <w:r>
              <w:rPr>
                <w:rFonts w:hint="default" w:ascii="Times New Roman" w:hAnsi="Times New Roman" w:eastAsia="宋体" w:cs="Times New Roman"/>
                <w:sz w:val="24"/>
              </w:rPr>
              <w:t>表可知，本项目地下水预测和评价可使用解析法。</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⑦预测模型</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a.</w:t>
            </w:r>
            <w:r>
              <w:rPr>
                <w:rFonts w:hint="default" w:ascii="Times New Roman" w:hAnsi="Times New Roman" w:eastAsia="宋体" w:cs="Times New Roman"/>
                <w:sz w:val="24"/>
              </w:rPr>
              <w:t>污染源概化</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项目废矿物油、破损电池电解液的泄漏，可概化面源的短时连续恒定排放，其属于一端定浓度边界，因此，解析法预测模型采用导则附录D1.2.1.2</w:t>
            </w:r>
            <w:r>
              <w:rPr>
                <w:rFonts w:hint="eastAsia" w:ascii="Times New Roman" w:hAnsi="Times New Roman" w:cs="Times New Roman"/>
                <w:sz w:val="24"/>
                <w:lang w:eastAsia="zh-CN"/>
              </w:rPr>
              <w:t>“</w:t>
            </w:r>
            <w:r>
              <w:rPr>
                <w:rFonts w:hint="default" w:ascii="Times New Roman" w:hAnsi="Times New Roman" w:eastAsia="宋体" w:cs="Times New Roman"/>
                <w:sz w:val="24"/>
              </w:rPr>
              <w:t>一维半无限长多孔介质柱状体，一端为定浓度边界</w:t>
            </w:r>
            <w:r>
              <w:rPr>
                <w:rFonts w:hint="eastAsia" w:ascii="Times New Roman" w:hAnsi="Times New Roman" w:cs="Times New Roman"/>
                <w:sz w:val="24"/>
                <w:lang w:eastAsia="zh-CN"/>
              </w:rPr>
              <w:t>”</w:t>
            </w:r>
            <w:r>
              <w:rPr>
                <w:rFonts w:hint="default" w:ascii="Times New Roman" w:hAnsi="Times New Roman" w:eastAsia="宋体" w:cs="Times New Roman"/>
                <w:sz w:val="24"/>
              </w:rPr>
              <w:t>模型。</w:t>
            </w:r>
          </w:p>
          <w:p>
            <w:pPr>
              <w:bidi w:val="0"/>
              <w:ind w:left="0" w:leftChars="0" w:right="0" w:rightChars="0" w:firstLine="0" w:firstLineChars="0"/>
              <w:jc w:val="center"/>
              <w:rPr>
                <w:rFonts w:hint="default" w:ascii="Times New Roman" w:hAnsi="Times New Roman" w:eastAsia="宋体" w:cs="Times New Roman"/>
                <w:sz w:val="24"/>
                <w:lang w:eastAsia="zh-CN"/>
              </w:rPr>
            </w:pPr>
            <w:r>
              <w:rPr>
                <w:rFonts w:hint="default" w:ascii="Times New Roman" w:hAnsi="Times New Roman" w:eastAsia="宋体" w:cs="Times New Roman"/>
                <w:position w:val="-34"/>
                <w:sz w:val="24"/>
                <w:lang w:eastAsia="zh-CN"/>
              </w:rPr>
              <w:object>
                <v:shape id="_x0000_i1025" o:spt="75" type="#_x0000_t75" style="height:40pt;width:200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7" r:id="rId16">
                  <o:LockedField>false</o:LockedField>
                </o:OLEObject>
              </w:objec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480" w:firstLineChars="200"/>
              <w:textAlignment w:val="auto"/>
              <w:rPr>
                <w:rFonts w:hint="default" w:ascii="Times New Roman" w:hAnsi="Times New Roman" w:eastAsia="宋体" w:cs="Times New Roman"/>
                <w:kern w:val="2"/>
                <w:sz w:val="24"/>
                <w:szCs w:val="22"/>
                <w:lang w:val="en-US" w:eastAsia="zh-CN" w:bidi="ar-SA"/>
              </w:rPr>
            </w:pPr>
            <w:r>
              <w:rPr>
                <w:rFonts w:hint="default" w:ascii="Times New Roman" w:hAnsi="Times New Roman" w:eastAsia="宋体" w:cs="Times New Roman"/>
                <w:kern w:val="2"/>
                <w:sz w:val="24"/>
                <w:szCs w:val="22"/>
                <w:lang w:val="en-US" w:eastAsia="zh-CN" w:bidi="ar-SA"/>
              </w:rPr>
              <w:t>式中：C：t时刻x处的示踪剂浓度，g/L；</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1200" w:firstLineChars="500"/>
              <w:textAlignment w:val="auto"/>
              <w:rPr>
                <w:rFonts w:hint="default" w:ascii="Times New Roman" w:hAnsi="Times New Roman" w:eastAsia="宋体" w:cs="Times New Roman"/>
                <w:sz w:val="24"/>
                <w:vertAlign w:val="baseline"/>
              </w:rPr>
            </w:pPr>
            <w:r>
              <w:rPr>
                <w:rFonts w:hint="default" w:ascii="Times New Roman" w:hAnsi="Times New Roman" w:eastAsia="宋体" w:cs="Times New Roman"/>
                <w:sz w:val="24"/>
                <w:vertAlign w:val="baseline"/>
              </w:rPr>
              <w:t>x：距离注入点的距离，m；</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1200" w:firstLineChars="500"/>
              <w:textAlignment w:val="auto"/>
              <w:rPr>
                <w:rFonts w:hint="default" w:ascii="Times New Roman" w:hAnsi="Times New Roman" w:eastAsia="宋体" w:cs="Times New Roman"/>
                <w:sz w:val="24"/>
                <w:vertAlign w:val="baseline"/>
              </w:rPr>
            </w:pPr>
            <w:r>
              <w:rPr>
                <w:rFonts w:hint="default" w:ascii="Times New Roman" w:hAnsi="Times New Roman" w:eastAsia="宋体" w:cs="Times New Roman"/>
                <w:sz w:val="24"/>
                <w:vertAlign w:val="baseline"/>
              </w:rPr>
              <w:t>t：时间，d；</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1200" w:firstLineChars="500"/>
              <w:textAlignment w:val="auto"/>
              <w:rPr>
                <w:rFonts w:hint="default" w:ascii="Times New Roman" w:hAnsi="Times New Roman" w:eastAsia="宋体" w:cs="Times New Roman"/>
                <w:sz w:val="24"/>
                <w:vertAlign w:val="baseline"/>
              </w:rPr>
            </w:pPr>
            <w:r>
              <w:rPr>
                <w:rFonts w:hint="default" w:ascii="Times New Roman" w:hAnsi="Times New Roman" w:eastAsia="宋体" w:cs="Times New Roman"/>
                <w:sz w:val="24"/>
                <w:vertAlign w:val="baseline"/>
              </w:rPr>
              <w:t>C0：为注入的示踪剂浓度，g/L；</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1200" w:firstLineChars="500"/>
              <w:textAlignment w:val="auto"/>
              <w:rPr>
                <w:rFonts w:hint="default" w:ascii="Times New Roman" w:hAnsi="Times New Roman" w:eastAsia="宋体" w:cs="Times New Roman"/>
                <w:sz w:val="24"/>
                <w:vertAlign w:val="baseline"/>
              </w:rPr>
            </w:pPr>
            <w:r>
              <w:rPr>
                <w:rFonts w:hint="default" w:ascii="Times New Roman" w:hAnsi="Times New Roman" w:eastAsia="宋体" w:cs="Times New Roman"/>
                <w:sz w:val="24"/>
                <w:vertAlign w:val="baseline"/>
              </w:rPr>
              <w:t>U：为地下水实际流速度m/d；</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1200" w:firstLineChars="500"/>
              <w:textAlignment w:val="auto"/>
              <w:rPr>
                <w:rFonts w:hint="default" w:ascii="Times New Roman" w:hAnsi="Times New Roman" w:eastAsia="宋体" w:cs="Times New Roman"/>
                <w:sz w:val="24"/>
                <w:vertAlign w:val="baseline"/>
              </w:rPr>
            </w:pPr>
            <w:r>
              <w:rPr>
                <w:rFonts w:hint="default" w:ascii="Times New Roman" w:hAnsi="Times New Roman" w:eastAsia="宋体" w:cs="Times New Roman"/>
                <w:sz w:val="24"/>
                <w:vertAlign w:val="baseline"/>
              </w:rPr>
              <w:t>DL：为纵向弥散系数，m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vertAlign w:val="baseline"/>
              </w:rPr>
              <w:t>/d；</w:t>
            </w:r>
          </w:p>
          <w:p>
            <w:pPr>
              <w:pStyle w:val="53"/>
              <w:keepNext w:val="0"/>
              <w:keepLines w:val="0"/>
              <w:pageBreakBefore w:val="0"/>
              <w:widowControl w:val="0"/>
              <w:kinsoku/>
              <w:wordWrap/>
              <w:overflowPunct/>
              <w:topLinePunct w:val="0"/>
              <w:autoSpaceDE/>
              <w:autoSpaceDN/>
              <w:bidi w:val="0"/>
              <w:adjustRightInd/>
              <w:snapToGrid/>
              <w:spacing w:line="520" w:lineRule="exact"/>
              <w:ind w:left="0" w:right="0" w:firstLine="1200" w:firstLineChars="500"/>
              <w:textAlignment w:val="auto"/>
              <w:rPr>
                <w:rFonts w:hint="default" w:ascii="Times New Roman" w:hAnsi="Times New Roman" w:eastAsia="宋体" w:cs="Times New Roman"/>
                <w:sz w:val="24"/>
                <w:vertAlign w:val="baseline"/>
              </w:rPr>
            </w:pPr>
            <w:r>
              <w:rPr>
                <w:rFonts w:hint="default" w:ascii="Times New Roman" w:hAnsi="Times New Roman" w:eastAsia="宋体" w:cs="Times New Roman"/>
                <w:sz w:val="24"/>
                <w:vertAlign w:val="baseline"/>
              </w:rPr>
              <w:t>erfc（）：为余误差函数。</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b.</w:t>
            </w:r>
            <w:r>
              <w:rPr>
                <w:rFonts w:hint="default" w:ascii="Times New Roman" w:hAnsi="Times New Roman" w:eastAsia="宋体" w:cs="Times New Roman"/>
                <w:sz w:val="24"/>
              </w:rPr>
              <w:t>水文地质参数的确定</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I、地下水流速</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根据《环境影响评价技术方法》可知，地下水运移速率可按下列公式计算：</w:t>
            </w:r>
          </w:p>
          <w:p>
            <w:pPr>
              <w:pStyle w:val="53"/>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0" w:firstLineChars="0"/>
              <w:jc w:val="center"/>
              <w:textAlignment w:val="auto"/>
              <w:rPr>
                <w:rFonts w:hint="default" w:ascii="Times New Roman" w:hAnsi="Times New Roman" w:eastAsia="宋体" w:cs="Times New Roman"/>
                <w:i/>
                <w:sz w:val="23"/>
              </w:rPr>
            </w:pPr>
            <w:r>
              <w:rPr>
                <w:rFonts w:hint="default" w:ascii="Times New Roman" w:hAnsi="Times New Roman" w:eastAsia="宋体" w:cs="Times New Roman"/>
                <w:i/>
                <w:w w:val="105"/>
                <w:sz w:val="23"/>
              </w:rPr>
              <w:t>U</w:t>
            </w:r>
            <w:r>
              <w:rPr>
                <w:rFonts w:hint="eastAsia" w:ascii="Times New Roman" w:hAnsi="Times New Roman" w:cs="Times New Roman"/>
                <w:i/>
                <w:w w:val="105"/>
                <w:sz w:val="23"/>
                <w:lang w:val="en-US" w:eastAsia="zh-CN"/>
              </w:rPr>
              <w:t>=</w:t>
            </w:r>
            <w:r>
              <w:rPr>
                <w:rFonts w:hint="default" w:ascii="Times New Roman" w:hAnsi="Times New Roman" w:eastAsia="宋体" w:cs="Times New Roman"/>
                <w:i/>
                <w:w w:val="105"/>
                <w:sz w:val="23"/>
              </w:rPr>
              <w:t>K</w:t>
            </w:r>
            <w:r>
              <w:rPr>
                <w:rFonts w:hint="default" w:ascii="Arial" w:hAnsi="Arial" w:eastAsia="宋体" w:cs="Arial"/>
                <w:i/>
                <w:w w:val="105"/>
                <w:sz w:val="23"/>
              </w:rPr>
              <w:t>×</w:t>
            </w:r>
            <w:r>
              <w:rPr>
                <w:rFonts w:hint="default" w:ascii="Times New Roman" w:hAnsi="Times New Roman" w:eastAsia="宋体" w:cs="Times New Roman"/>
                <w:i/>
                <w:w w:val="105"/>
                <w:sz w:val="23"/>
              </w:rPr>
              <w:t>I</w:t>
            </w:r>
            <w:r>
              <w:rPr>
                <w:rFonts w:hint="default" w:ascii="Times New Roman" w:hAnsi="Times New Roman" w:eastAsia="宋体" w:cs="Times New Roman"/>
                <w:w w:val="105"/>
                <w:sz w:val="23"/>
              </w:rPr>
              <w:t>/</w:t>
            </w:r>
            <w:r>
              <w:rPr>
                <w:rFonts w:hint="default" w:ascii="Times New Roman" w:hAnsi="Times New Roman" w:eastAsia="宋体" w:cs="Times New Roman"/>
                <w:i/>
                <w:w w:val="105"/>
                <w:sz w:val="23"/>
              </w:rPr>
              <w:t>n</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其中：U—地下水流速，m/d；</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K—渗透系数，m/d；根据《环境影响评价技术导则地下水环境</w:t>
            </w:r>
            <w:r>
              <w:rPr>
                <w:rFonts w:hint="default" w:ascii="Times New Roman" w:hAnsi="Times New Roman" w:eastAsia="宋体" w:cs="Times New Roman"/>
                <w:sz w:val="24"/>
                <w:lang w:val="en-US" w:eastAsia="zh-CN"/>
              </w:rPr>
              <w:t>》</w:t>
            </w:r>
            <w:r>
              <w:rPr>
                <w:rFonts w:hint="default" w:ascii="Times New Roman" w:hAnsi="Times New Roman" w:eastAsia="宋体" w:cs="Times New Roman"/>
                <w:sz w:val="24"/>
              </w:rPr>
              <w:t>（HJ610-2016）附录B表B1，取值为25m/d；</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I—水力梯度；经查阅相关资料，</w:t>
            </w:r>
            <w:r>
              <w:rPr>
                <w:rFonts w:hint="eastAsia" w:ascii="Times New Roman" w:hAnsi="Times New Roman" w:eastAsia="宋体" w:cs="Times New Roman"/>
                <w:sz w:val="24"/>
                <w:lang w:eastAsia="zh-CN"/>
              </w:rPr>
              <w:t>取值</w:t>
            </w:r>
            <w:r>
              <w:rPr>
                <w:rFonts w:hint="default" w:ascii="Times New Roman" w:hAnsi="Times New Roman" w:eastAsia="宋体" w:cs="Times New Roman"/>
                <w:sz w:val="24"/>
              </w:rPr>
              <w:t>为1/1000；</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n—孔隙度；项目区含水层岩性主要为中砂，根据《环境影响评价技术方法》可知，孔隙度取经验值0.35。</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由公式一可计算得出地下水流速为0.071m/d。</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II、纵向弥散系数</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根据《地下水污染－数学模型和数值方法》（孙讷正著）可知，纵向弥散系数</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D是纵向弥散度aL与孔隙平均流速的乘积，弥散度的实验数据见下表46。地下水纵向弥散系数的计算公式如下：</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left="0" w:leftChars="0" w:right="0" w:rightChars="0" w:firstLine="0" w:firstLineChars="0"/>
              <w:jc w:val="center"/>
              <w:textAlignment w:val="auto"/>
              <w:rPr>
                <w:rFonts w:hint="default" w:ascii="Times New Roman" w:hAnsi="Times New Roman" w:eastAsia="宋体" w:cs="Times New Roman"/>
                <w:i/>
                <w:spacing w:val="-18"/>
                <w:w w:val="105"/>
                <w:position w:val="10"/>
                <w:sz w:val="13"/>
              </w:rPr>
            </w:pPr>
            <w:r>
              <w:rPr>
                <w:rFonts w:hint="default" w:ascii="Times New Roman" w:hAnsi="Times New Roman" w:eastAsia="宋体" w:cs="Times New Roman"/>
                <w:i/>
                <w:w w:val="105"/>
                <w:sz w:val="23"/>
              </w:rPr>
              <w:t>D</w:t>
            </w:r>
            <w:r>
              <w:rPr>
                <w:rFonts w:hint="eastAsia" w:ascii="Times New Roman" w:hAnsi="Times New Roman" w:eastAsia="宋体" w:cs="Times New Roman"/>
                <w:w w:val="105"/>
                <w:sz w:val="23"/>
                <w:lang w:val="en-US" w:eastAsia="zh-CN"/>
              </w:rPr>
              <w:t>=</w:t>
            </w:r>
            <w:r>
              <w:rPr>
                <w:rFonts w:hint="default" w:ascii="Times New Roman" w:hAnsi="Times New Roman" w:eastAsia="宋体" w:cs="Times New Roman"/>
                <w:spacing w:val="-4"/>
                <w:w w:val="105"/>
                <w:sz w:val="23"/>
              </w:rPr>
              <w:t>a</w:t>
            </w:r>
            <w:r>
              <w:rPr>
                <w:rFonts w:hint="default" w:ascii="Times New Roman" w:hAnsi="Times New Roman" w:eastAsia="宋体" w:cs="Times New Roman"/>
                <w:i/>
                <w:spacing w:val="-4"/>
                <w:w w:val="105"/>
                <w:sz w:val="23"/>
              </w:rPr>
              <w:t>L</w:t>
            </w:r>
            <w:r>
              <w:rPr>
                <w:rFonts w:hint="default" w:ascii="Arial" w:hAnsi="Arial" w:eastAsia="宋体" w:cs="Arial"/>
                <w:spacing w:val="5"/>
                <w:w w:val="105"/>
                <w:sz w:val="23"/>
              </w:rPr>
              <w:t>×</w:t>
            </w:r>
            <w:r>
              <w:rPr>
                <w:rFonts w:hint="default" w:ascii="Times New Roman" w:hAnsi="Times New Roman" w:eastAsia="宋体" w:cs="Times New Roman"/>
                <w:i/>
                <w:spacing w:val="5"/>
                <w:w w:val="105"/>
                <w:sz w:val="23"/>
              </w:rPr>
              <w:t>U</w:t>
            </w:r>
            <w:r>
              <w:rPr>
                <w:rFonts w:hint="default" w:ascii="Times New Roman" w:hAnsi="Times New Roman" w:eastAsia="宋体" w:cs="Times New Roman"/>
                <w:i/>
                <w:spacing w:val="-18"/>
                <w:w w:val="105"/>
                <w:position w:val="10"/>
                <w:sz w:val="13"/>
              </w:rPr>
              <w:t>m</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其中：D—纵向弥散系数，m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/d；</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U—地下水流速，m/d；</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aL—纵向弥散度；</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1200" w:firstLineChars="500"/>
              <w:textAlignment w:val="auto"/>
              <w:rPr>
                <w:rFonts w:hint="default" w:ascii="Times New Roman" w:hAnsi="Times New Roman" w:eastAsia="宋体" w:cs="Times New Roman"/>
                <w:sz w:val="24"/>
              </w:rPr>
            </w:pPr>
            <w:r>
              <w:rPr>
                <w:rFonts w:hint="default" w:ascii="Times New Roman" w:hAnsi="Times New Roman" w:eastAsia="宋体" w:cs="Times New Roman"/>
                <w:sz w:val="24"/>
              </w:rPr>
              <w:t>m—指数。</w:t>
            </w:r>
          </w:p>
          <w:p>
            <w:pPr>
              <w:pStyle w:val="121"/>
              <w:numPr>
                <w:ilvl w:val="0"/>
                <w:numId w:val="0"/>
              </w:numPr>
              <w:bidi w:val="0"/>
              <w:ind w:leftChars="0"/>
              <w:jc w:val="center"/>
              <w:rPr>
                <w:rFonts w:hint="default"/>
              </w:rPr>
            </w:pPr>
            <w:r>
              <w:rPr>
                <w:rFonts w:hint="eastAsia"/>
                <w:lang w:val="en-US" w:eastAsia="zh-CN"/>
              </w:rPr>
              <w:t xml:space="preserve">表4-17    </w:t>
            </w:r>
            <w:r>
              <w:rPr>
                <w:rFonts w:hint="default"/>
              </w:rPr>
              <w:t>含水层弥散度类比取值表</w:t>
            </w:r>
          </w:p>
          <w:tbl>
            <w:tblPr>
              <w:tblStyle w:val="25"/>
              <w:tblW w:w="77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8"/>
              <w:gridCol w:w="1945"/>
              <w:gridCol w:w="1948"/>
              <w:gridCol w:w="19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jc w:val="center"/>
              </w:trPr>
              <w:tc>
                <w:tcPr>
                  <w:tcW w:w="195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粒径变化范围（mm）</w:t>
                  </w:r>
                </w:p>
              </w:tc>
              <w:tc>
                <w:tcPr>
                  <w:tcW w:w="194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均匀度系</w:t>
                  </w:r>
                  <w:r>
                    <w:rPr>
                      <w:rFonts w:hint="eastAsia" w:ascii="Times New Roman" w:hAnsi="Times New Roman" w:eastAsia="宋体" w:cs="Times New Roman"/>
                      <w:b/>
                      <w:bCs/>
                      <w:sz w:val="21"/>
                      <w:szCs w:val="21"/>
                      <w:lang w:val="en-US" w:eastAsia="zh-CN"/>
                    </w:rPr>
                    <w:t>数</w:t>
                  </w:r>
                </w:p>
              </w:tc>
              <w:tc>
                <w:tcPr>
                  <w:tcW w:w="194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rPr>
                    <w:t>m指</w:t>
                  </w:r>
                  <w:r>
                    <w:rPr>
                      <w:rFonts w:hint="eastAsia" w:ascii="Times New Roman" w:hAnsi="Times New Roman" w:eastAsia="宋体" w:cs="Times New Roman"/>
                      <w:b/>
                      <w:bCs/>
                      <w:sz w:val="21"/>
                      <w:szCs w:val="21"/>
                      <w:lang w:val="en-US" w:eastAsia="zh-CN"/>
                    </w:rPr>
                    <w:t>数</w:t>
                  </w:r>
                </w:p>
              </w:tc>
              <w:tc>
                <w:tcPr>
                  <w:tcW w:w="1946"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纵向弥散度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958" w:type="dxa"/>
                  <w:tcBorders>
                    <w:tl2br w:val="nil"/>
                    <w:tr2bl w:val="nil"/>
                  </w:tcBorders>
                  <w:noWrap w:val="0"/>
                  <w:vAlign w:val="center"/>
                </w:tcPr>
                <w:p>
                  <w:pPr>
                    <w:pStyle w:val="53"/>
                    <w:spacing w:before="5"/>
                    <w:ind w:left="148"/>
                    <w:jc w:val="center"/>
                    <w:rPr>
                      <w:rFonts w:hint="default" w:ascii="Times New Roman" w:hAnsi="Times New Roman" w:eastAsia="宋体" w:cs="Times New Roman"/>
                      <w:sz w:val="21"/>
                    </w:rPr>
                  </w:pPr>
                  <w:r>
                    <w:rPr>
                      <w:rFonts w:hint="default" w:ascii="Times New Roman" w:hAnsi="Times New Roman" w:eastAsia="宋体" w:cs="Times New Roman"/>
                      <w:sz w:val="21"/>
                    </w:rPr>
                    <w:t>0.4-0.7</w:t>
                  </w:r>
                </w:p>
              </w:tc>
              <w:tc>
                <w:tcPr>
                  <w:tcW w:w="1945" w:type="dxa"/>
                  <w:tcBorders>
                    <w:tl2br w:val="nil"/>
                    <w:tr2bl w:val="nil"/>
                  </w:tcBorders>
                  <w:noWrap w:val="0"/>
                  <w:vAlign w:val="center"/>
                </w:tcPr>
                <w:p>
                  <w:pPr>
                    <w:pStyle w:val="53"/>
                    <w:spacing w:before="5"/>
                    <w:ind w:left="605" w:right="471"/>
                    <w:jc w:val="center"/>
                    <w:rPr>
                      <w:rFonts w:hint="default" w:ascii="Times New Roman" w:hAnsi="Times New Roman" w:eastAsia="宋体" w:cs="Times New Roman"/>
                      <w:sz w:val="21"/>
                    </w:rPr>
                  </w:pPr>
                  <w:r>
                    <w:rPr>
                      <w:rFonts w:hint="default" w:ascii="Times New Roman" w:hAnsi="Times New Roman" w:eastAsia="宋体" w:cs="Times New Roman"/>
                      <w:sz w:val="21"/>
                    </w:rPr>
                    <w:t>1.55</w:t>
                  </w:r>
                </w:p>
              </w:tc>
              <w:tc>
                <w:tcPr>
                  <w:tcW w:w="1948" w:type="dxa"/>
                  <w:tcBorders>
                    <w:tl2br w:val="nil"/>
                    <w:tr2bl w:val="nil"/>
                  </w:tcBorders>
                  <w:noWrap w:val="0"/>
                  <w:vAlign w:val="center"/>
                </w:tcPr>
                <w:p>
                  <w:pPr>
                    <w:pStyle w:val="53"/>
                    <w:spacing w:before="48"/>
                    <w:ind w:left="813" w:right="680"/>
                    <w:jc w:val="center"/>
                    <w:rPr>
                      <w:rFonts w:hint="default" w:ascii="Times New Roman" w:hAnsi="Times New Roman" w:eastAsia="宋体" w:cs="Times New Roman"/>
                      <w:sz w:val="21"/>
                    </w:rPr>
                  </w:pPr>
                  <w:r>
                    <w:rPr>
                      <w:rFonts w:hint="default" w:ascii="Times New Roman" w:hAnsi="Times New Roman" w:eastAsia="宋体" w:cs="Times New Roman"/>
                      <w:sz w:val="21"/>
                    </w:rPr>
                    <w:t>1.09</w:t>
                  </w:r>
                </w:p>
              </w:tc>
              <w:tc>
                <w:tcPr>
                  <w:tcW w:w="1946" w:type="dxa"/>
                  <w:tcBorders>
                    <w:tl2br w:val="nil"/>
                    <w:tr2bl w:val="nil"/>
                  </w:tcBorders>
                  <w:noWrap w:val="0"/>
                  <w:vAlign w:val="center"/>
                </w:tcPr>
                <w:p>
                  <w:pPr>
                    <w:pStyle w:val="53"/>
                    <w:spacing w:before="1"/>
                    <w:ind w:left="604" w:right="481"/>
                    <w:jc w:val="center"/>
                    <w:rPr>
                      <w:rFonts w:hint="default" w:ascii="Times New Roman" w:hAnsi="Times New Roman" w:eastAsia="宋体" w:cs="Times New Roman"/>
                      <w:sz w:val="21"/>
                    </w:rPr>
                  </w:pPr>
                  <w:r>
                    <w:rPr>
                      <w:rFonts w:hint="default" w:ascii="Times New Roman" w:hAnsi="Times New Roman" w:eastAsia="宋体" w:cs="Times New Roman"/>
                      <w:sz w:val="21"/>
                    </w:rPr>
                    <w:t>3.96×10</w:t>
                  </w:r>
                  <w:r>
                    <w:rPr>
                      <w:rFonts w:hint="default" w:ascii="Times New Roman" w:hAnsi="Times New Roman" w:eastAsia="宋体" w:cs="Times New Roman"/>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958" w:type="dxa"/>
                  <w:tcBorders>
                    <w:tl2br w:val="nil"/>
                    <w:tr2bl w:val="nil"/>
                  </w:tcBorders>
                  <w:noWrap w:val="0"/>
                  <w:vAlign w:val="center"/>
                </w:tcPr>
                <w:p>
                  <w:pPr>
                    <w:pStyle w:val="53"/>
                    <w:spacing w:before="5"/>
                    <w:ind w:left="148"/>
                    <w:jc w:val="center"/>
                    <w:rPr>
                      <w:rFonts w:hint="default" w:ascii="Times New Roman" w:hAnsi="Times New Roman" w:eastAsia="宋体" w:cs="Times New Roman"/>
                      <w:sz w:val="21"/>
                    </w:rPr>
                  </w:pPr>
                  <w:r>
                    <w:rPr>
                      <w:rFonts w:hint="default" w:ascii="Times New Roman" w:hAnsi="Times New Roman" w:eastAsia="宋体" w:cs="Times New Roman"/>
                      <w:sz w:val="21"/>
                    </w:rPr>
                    <w:t>0.5-1.5</w:t>
                  </w:r>
                </w:p>
              </w:tc>
              <w:tc>
                <w:tcPr>
                  <w:tcW w:w="1945" w:type="dxa"/>
                  <w:tcBorders>
                    <w:tl2br w:val="nil"/>
                    <w:tr2bl w:val="nil"/>
                  </w:tcBorders>
                  <w:noWrap w:val="0"/>
                  <w:vAlign w:val="center"/>
                </w:tcPr>
                <w:p>
                  <w:pPr>
                    <w:pStyle w:val="53"/>
                    <w:spacing w:before="5"/>
                    <w:ind w:left="605" w:right="471"/>
                    <w:jc w:val="center"/>
                    <w:rPr>
                      <w:rFonts w:hint="default" w:ascii="Times New Roman" w:hAnsi="Times New Roman" w:eastAsia="宋体" w:cs="Times New Roman"/>
                      <w:sz w:val="21"/>
                    </w:rPr>
                  </w:pPr>
                  <w:r>
                    <w:rPr>
                      <w:rFonts w:hint="default" w:ascii="Times New Roman" w:hAnsi="Times New Roman" w:eastAsia="宋体" w:cs="Times New Roman"/>
                      <w:sz w:val="21"/>
                    </w:rPr>
                    <w:t>1.85</w:t>
                  </w:r>
                </w:p>
              </w:tc>
              <w:tc>
                <w:tcPr>
                  <w:tcW w:w="1948" w:type="dxa"/>
                  <w:tcBorders>
                    <w:tl2br w:val="nil"/>
                    <w:tr2bl w:val="nil"/>
                  </w:tcBorders>
                  <w:noWrap w:val="0"/>
                  <w:vAlign w:val="center"/>
                </w:tcPr>
                <w:p>
                  <w:pPr>
                    <w:pStyle w:val="53"/>
                    <w:spacing w:before="48"/>
                    <w:ind w:left="813" w:right="680"/>
                    <w:jc w:val="center"/>
                    <w:rPr>
                      <w:rFonts w:hint="default" w:ascii="Times New Roman" w:hAnsi="Times New Roman" w:eastAsia="宋体" w:cs="Times New Roman"/>
                      <w:sz w:val="21"/>
                    </w:rPr>
                  </w:pPr>
                  <w:r>
                    <w:rPr>
                      <w:rFonts w:hint="default" w:ascii="Times New Roman" w:hAnsi="Times New Roman" w:eastAsia="宋体" w:cs="Times New Roman"/>
                      <w:sz w:val="21"/>
                    </w:rPr>
                    <w:t>1.1</w:t>
                  </w:r>
                </w:p>
              </w:tc>
              <w:tc>
                <w:tcPr>
                  <w:tcW w:w="1946" w:type="dxa"/>
                  <w:tcBorders>
                    <w:tl2br w:val="nil"/>
                    <w:tr2bl w:val="nil"/>
                  </w:tcBorders>
                  <w:noWrap w:val="0"/>
                  <w:vAlign w:val="center"/>
                </w:tcPr>
                <w:p>
                  <w:pPr>
                    <w:pStyle w:val="53"/>
                    <w:spacing w:before="1"/>
                    <w:ind w:left="604" w:right="481"/>
                    <w:jc w:val="center"/>
                    <w:rPr>
                      <w:rFonts w:hint="default" w:ascii="Times New Roman" w:hAnsi="Times New Roman" w:eastAsia="宋体" w:cs="Times New Roman"/>
                      <w:sz w:val="21"/>
                    </w:rPr>
                  </w:pPr>
                  <w:r>
                    <w:rPr>
                      <w:rFonts w:hint="default" w:ascii="Times New Roman" w:hAnsi="Times New Roman" w:eastAsia="宋体" w:cs="Times New Roman"/>
                      <w:sz w:val="21"/>
                    </w:rPr>
                    <w:t>5.78×10</w:t>
                  </w:r>
                  <w:r>
                    <w:rPr>
                      <w:rFonts w:hint="default" w:ascii="Times New Roman" w:hAnsi="Times New Roman" w:eastAsia="宋体" w:cs="Times New Roman"/>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958" w:type="dxa"/>
                  <w:tcBorders>
                    <w:tl2br w:val="nil"/>
                    <w:tr2bl w:val="nil"/>
                  </w:tcBorders>
                  <w:noWrap w:val="0"/>
                  <w:vAlign w:val="center"/>
                </w:tcPr>
                <w:p>
                  <w:pPr>
                    <w:pStyle w:val="53"/>
                    <w:spacing w:before="5"/>
                    <w:ind w:left="143"/>
                    <w:jc w:val="center"/>
                    <w:rPr>
                      <w:rFonts w:hint="default" w:ascii="Times New Roman" w:hAnsi="Times New Roman" w:eastAsia="宋体" w:cs="Times New Roman"/>
                      <w:sz w:val="21"/>
                    </w:rPr>
                  </w:pPr>
                  <w:r>
                    <w:rPr>
                      <w:rFonts w:hint="default" w:ascii="Times New Roman" w:hAnsi="Times New Roman" w:eastAsia="宋体" w:cs="Times New Roman"/>
                      <w:sz w:val="21"/>
                    </w:rPr>
                    <w:t>1-2</w:t>
                  </w:r>
                </w:p>
              </w:tc>
              <w:tc>
                <w:tcPr>
                  <w:tcW w:w="1945" w:type="dxa"/>
                  <w:tcBorders>
                    <w:tl2br w:val="nil"/>
                    <w:tr2bl w:val="nil"/>
                  </w:tcBorders>
                  <w:noWrap w:val="0"/>
                  <w:vAlign w:val="center"/>
                </w:tcPr>
                <w:p>
                  <w:pPr>
                    <w:pStyle w:val="53"/>
                    <w:spacing w:before="5"/>
                    <w:ind w:left="605" w:right="471"/>
                    <w:jc w:val="center"/>
                    <w:rPr>
                      <w:rFonts w:hint="default" w:ascii="Times New Roman" w:hAnsi="Times New Roman" w:eastAsia="宋体" w:cs="Times New Roman"/>
                      <w:sz w:val="21"/>
                    </w:rPr>
                  </w:pPr>
                  <w:r>
                    <w:rPr>
                      <w:rFonts w:hint="default" w:ascii="Times New Roman" w:hAnsi="Times New Roman" w:eastAsia="宋体" w:cs="Times New Roman"/>
                      <w:sz w:val="21"/>
                    </w:rPr>
                    <w:t>1.6</w:t>
                  </w:r>
                </w:p>
              </w:tc>
              <w:tc>
                <w:tcPr>
                  <w:tcW w:w="1948" w:type="dxa"/>
                  <w:tcBorders>
                    <w:tl2br w:val="nil"/>
                    <w:tr2bl w:val="nil"/>
                  </w:tcBorders>
                  <w:noWrap w:val="0"/>
                  <w:vAlign w:val="center"/>
                </w:tcPr>
                <w:p>
                  <w:pPr>
                    <w:pStyle w:val="53"/>
                    <w:spacing w:before="48"/>
                    <w:ind w:left="813" w:right="680"/>
                    <w:jc w:val="center"/>
                    <w:rPr>
                      <w:rFonts w:hint="default" w:ascii="Times New Roman" w:hAnsi="Times New Roman" w:eastAsia="宋体" w:cs="Times New Roman"/>
                      <w:sz w:val="21"/>
                    </w:rPr>
                  </w:pPr>
                  <w:r>
                    <w:rPr>
                      <w:rFonts w:hint="default" w:ascii="Times New Roman" w:hAnsi="Times New Roman" w:eastAsia="宋体" w:cs="Times New Roman"/>
                      <w:sz w:val="21"/>
                    </w:rPr>
                    <w:t>1.1</w:t>
                  </w:r>
                </w:p>
              </w:tc>
              <w:tc>
                <w:tcPr>
                  <w:tcW w:w="1946" w:type="dxa"/>
                  <w:tcBorders>
                    <w:tl2br w:val="nil"/>
                    <w:tr2bl w:val="nil"/>
                  </w:tcBorders>
                  <w:noWrap w:val="0"/>
                  <w:vAlign w:val="center"/>
                </w:tcPr>
                <w:p>
                  <w:pPr>
                    <w:pStyle w:val="53"/>
                    <w:spacing w:before="1"/>
                    <w:ind w:left="604" w:right="481"/>
                    <w:jc w:val="center"/>
                    <w:rPr>
                      <w:rFonts w:hint="default" w:ascii="Times New Roman" w:hAnsi="Times New Roman" w:eastAsia="宋体" w:cs="Times New Roman"/>
                      <w:sz w:val="21"/>
                    </w:rPr>
                  </w:pPr>
                  <w:r>
                    <w:rPr>
                      <w:rFonts w:hint="default" w:ascii="Times New Roman" w:hAnsi="Times New Roman" w:eastAsia="宋体" w:cs="Times New Roman"/>
                      <w:sz w:val="21"/>
                    </w:rPr>
                    <w:t>8.8×10</w:t>
                  </w:r>
                  <w:r>
                    <w:rPr>
                      <w:rFonts w:hint="default" w:ascii="Times New Roman" w:hAnsi="Times New Roman" w:eastAsia="宋体" w:cs="Times New Roman"/>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958" w:type="dxa"/>
                  <w:tcBorders>
                    <w:tl2br w:val="nil"/>
                    <w:tr2bl w:val="nil"/>
                  </w:tcBorders>
                  <w:noWrap w:val="0"/>
                  <w:vAlign w:val="center"/>
                </w:tcPr>
                <w:p>
                  <w:pPr>
                    <w:pStyle w:val="53"/>
                    <w:spacing w:before="7"/>
                    <w:ind w:left="143"/>
                    <w:jc w:val="center"/>
                    <w:rPr>
                      <w:rFonts w:hint="default" w:ascii="Times New Roman" w:hAnsi="Times New Roman" w:eastAsia="宋体" w:cs="Times New Roman"/>
                      <w:sz w:val="21"/>
                    </w:rPr>
                  </w:pPr>
                  <w:r>
                    <w:rPr>
                      <w:rFonts w:hint="default" w:ascii="Times New Roman" w:hAnsi="Times New Roman" w:eastAsia="宋体" w:cs="Times New Roman"/>
                      <w:sz w:val="21"/>
                    </w:rPr>
                    <w:t>2-3</w:t>
                  </w:r>
                </w:p>
              </w:tc>
              <w:tc>
                <w:tcPr>
                  <w:tcW w:w="1945" w:type="dxa"/>
                  <w:tcBorders>
                    <w:tl2br w:val="nil"/>
                    <w:tr2bl w:val="nil"/>
                  </w:tcBorders>
                  <w:noWrap w:val="0"/>
                  <w:vAlign w:val="center"/>
                </w:tcPr>
                <w:p>
                  <w:pPr>
                    <w:pStyle w:val="53"/>
                    <w:spacing w:before="7"/>
                    <w:ind w:left="605" w:right="471"/>
                    <w:jc w:val="center"/>
                    <w:rPr>
                      <w:rFonts w:hint="default" w:ascii="Times New Roman" w:hAnsi="Times New Roman" w:eastAsia="宋体" w:cs="Times New Roman"/>
                      <w:sz w:val="21"/>
                    </w:rPr>
                  </w:pPr>
                  <w:r>
                    <w:rPr>
                      <w:rFonts w:hint="default" w:ascii="Times New Roman" w:hAnsi="Times New Roman" w:eastAsia="宋体" w:cs="Times New Roman"/>
                      <w:sz w:val="21"/>
                    </w:rPr>
                    <w:t>1.3</w:t>
                  </w:r>
                </w:p>
              </w:tc>
              <w:tc>
                <w:tcPr>
                  <w:tcW w:w="1948" w:type="dxa"/>
                  <w:tcBorders>
                    <w:tl2br w:val="nil"/>
                    <w:tr2bl w:val="nil"/>
                  </w:tcBorders>
                  <w:noWrap w:val="0"/>
                  <w:vAlign w:val="center"/>
                </w:tcPr>
                <w:p>
                  <w:pPr>
                    <w:pStyle w:val="53"/>
                    <w:spacing w:before="51"/>
                    <w:ind w:left="813" w:right="680"/>
                    <w:jc w:val="center"/>
                    <w:rPr>
                      <w:rFonts w:hint="default" w:ascii="Times New Roman" w:hAnsi="Times New Roman" w:eastAsia="宋体" w:cs="Times New Roman"/>
                      <w:sz w:val="21"/>
                    </w:rPr>
                  </w:pPr>
                  <w:r>
                    <w:rPr>
                      <w:rFonts w:hint="default" w:ascii="Times New Roman" w:hAnsi="Times New Roman" w:eastAsia="宋体" w:cs="Times New Roman"/>
                      <w:sz w:val="21"/>
                    </w:rPr>
                    <w:t>1.09</w:t>
                  </w:r>
                </w:p>
              </w:tc>
              <w:tc>
                <w:tcPr>
                  <w:tcW w:w="1946" w:type="dxa"/>
                  <w:tcBorders>
                    <w:tl2br w:val="nil"/>
                    <w:tr2bl w:val="nil"/>
                  </w:tcBorders>
                  <w:noWrap w:val="0"/>
                  <w:vAlign w:val="center"/>
                </w:tcPr>
                <w:p>
                  <w:pPr>
                    <w:pStyle w:val="53"/>
                    <w:spacing w:before="3"/>
                    <w:ind w:left="604" w:right="481"/>
                    <w:jc w:val="center"/>
                    <w:rPr>
                      <w:rFonts w:hint="default" w:ascii="Times New Roman" w:hAnsi="Times New Roman" w:eastAsia="宋体" w:cs="Times New Roman"/>
                      <w:sz w:val="21"/>
                    </w:rPr>
                  </w:pPr>
                  <w:r>
                    <w:rPr>
                      <w:rFonts w:hint="default" w:ascii="Times New Roman" w:hAnsi="Times New Roman" w:eastAsia="宋体" w:cs="Times New Roman"/>
                      <w:sz w:val="21"/>
                    </w:rPr>
                    <w:t>1.3×10</w:t>
                  </w:r>
                  <w:r>
                    <w:rPr>
                      <w:rFonts w:hint="default" w:ascii="Times New Roman" w:hAnsi="Times New Roman" w:eastAsia="宋体" w:cs="Times New Roman"/>
                      <w:sz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958" w:type="dxa"/>
                  <w:tcBorders>
                    <w:tl2br w:val="nil"/>
                    <w:tr2bl w:val="nil"/>
                  </w:tcBorders>
                  <w:noWrap w:val="0"/>
                  <w:vAlign w:val="center"/>
                </w:tcPr>
                <w:p>
                  <w:pPr>
                    <w:pStyle w:val="53"/>
                    <w:spacing w:before="5"/>
                    <w:ind w:left="143"/>
                    <w:jc w:val="center"/>
                    <w:rPr>
                      <w:rFonts w:hint="default" w:ascii="Times New Roman" w:hAnsi="Times New Roman" w:eastAsia="宋体" w:cs="Times New Roman"/>
                      <w:sz w:val="21"/>
                    </w:rPr>
                  </w:pPr>
                  <w:r>
                    <w:rPr>
                      <w:rFonts w:hint="default" w:ascii="Times New Roman" w:hAnsi="Times New Roman" w:eastAsia="宋体" w:cs="Times New Roman"/>
                      <w:sz w:val="21"/>
                    </w:rPr>
                    <w:t>5-7</w:t>
                  </w:r>
                </w:p>
              </w:tc>
              <w:tc>
                <w:tcPr>
                  <w:tcW w:w="1945" w:type="dxa"/>
                  <w:tcBorders>
                    <w:tl2br w:val="nil"/>
                    <w:tr2bl w:val="nil"/>
                  </w:tcBorders>
                  <w:noWrap w:val="0"/>
                  <w:vAlign w:val="center"/>
                </w:tcPr>
                <w:p>
                  <w:pPr>
                    <w:pStyle w:val="53"/>
                    <w:spacing w:before="5"/>
                    <w:ind w:left="605" w:right="471"/>
                    <w:jc w:val="center"/>
                    <w:rPr>
                      <w:rFonts w:hint="default" w:ascii="Times New Roman" w:hAnsi="Times New Roman" w:eastAsia="宋体" w:cs="Times New Roman"/>
                      <w:sz w:val="21"/>
                    </w:rPr>
                  </w:pPr>
                  <w:r>
                    <w:rPr>
                      <w:rFonts w:hint="default" w:ascii="Times New Roman" w:hAnsi="Times New Roman" w:eastAsia="宋体" w:cs="Times New Roman"/>
                      <w:sz w:val="21"/>
                    </w:rPr>
                    <w:t>1.3</w:t>
                  </w:r>
                </w:p>
              </w:tc>
              <w:tc>
                <w:tcPr>
                  <w:tcW w:w="1948" w:type="dxa"/>
                  <w:tcBorders>
                    <w:tl2br w:val="nil"/>
                    <w:tr2bl w:val="nil"/>
                  </w:tcBorders>
                  <w:noWrap w:val="0"/>
                  <w:vAlign w:val="center"/>
                </w:tcPr>
                <w:p>
                  <w:pPr>
                    <w:pStyle w:val="53"/>
                    <w:spacing w:before="48"/>
                    <w:ind w:left="813" w:right="680"/>
                    <w:jc w:val="center"/>
                    <w:rPr>
                      <w:rFonts w:hint="default" w:ascii="Times New Roman" w:hAnsi="Times New Roman" w:eastAsia="宋体" w:cs="Times New Roman"/>
                      <w:sz w:val="21"/>
                    </w:rPr>
                  </w:pPr>
                  <w:r>
                    <w:rPr>
                      <w:rFonts w:hint="default" w:ascii="Times New Roman" w:hAnsi="Times New Roman" w:eastAsia="宋体" w:cs="Times New Roman"/>
                      <w:sz w:val="21"/>
                    </w:rPr>
                    <w:t>1.09</w:t>
                  </w:r>
                </w:p>
              </w:tc>
              <w:tc>
                <w:tcPr>
                  <w:tcW w:w="1946" w:type="dxa"/>
                  <w:tcBorders>
                    <w:tl2br w:val="nil"/>
                    <w:tr2bl w:val="nil"/>
                  </w:tcBorders>
                  <w:noWrap w:val="0"/>
                  <w:vAlign w:val="center"/>
                </w:tcPr>
                <w:p>
                  <w:pPr>
                    <w:pStyle w:val="53"/>
                    <w:spacing w:before="1"/>
                    <w:ind w:left="604" w:right="481"/>
                    <w:jc w:val="center"/>
                    <w:rPr>
                      <w:rFonts w:hint="default" w:ascii="Times New Roman" w:hAnsi="Times New Roman" w:eastAsia="宋体" w:cs="Times New Roman"/>
                      <w:sz w:val="21"/>
                    </w:rPr>
                  </w:pPr>
                  <w:r>
                    <w:rPr>
                      <w:rFonts w:hint="default" w:ascii="Times New Roman" w:hAnsi="Times New Roman" w:eastAsia="宋体" w:cs="Times New Roman"/>
                      <w:sz w:val="21"/>
                    </w:rPr>
                    <w:t>1.67×10</w:t>
                  </w:r>
                  <w:r>
                    <w:rPr>
                      <w:rFonts w:hint="default" w:ascii="Times New Roman" w:hAnsi="Times New Roman" w:eastAsia="宋体" w:cs="Times New Roman"/>
                      <w:sz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958" w:type="dxa"/>
                  <w:tcBorders>
                    <w:tl2br w:val="nil"/>
                    <w:tr2bl w:val="nil"/>
                  </w:tcBorders>
                  <w:noWrap w:val="0"/>
                  <w:vAlign w:val="center"/>
                </w:tcPr>
                <w:p>
                  <w:pPr>
                    <w:pStyle w:val="53"/>
                    <w:spacing w:before="7"/>
                    <w:ind w:left="148"/>
                    <w:jc w:val="center"/>
                    <w:rPr>
                      <w:rFonts w:hint="default" w:ascii="Times New Roman" w:hAnsi="Times New Roman" w:eastAsia="宋体" w:cs="Times New Roman"/>
                      <w:sz w:val="21"/>
                    </w:rPr>
                  </w:pPr>
                  <w:r>
                    <w:rPr>
                      <w:rFonts w:hint="default" w:ascii="Times New Roman" w:hAnsi="Times New Roman" w:eastAsia="宋体" w:cs="Times New Roman"/>
                      <w:sz w:val="21"/>
                    </w:rPr>
                    <w:t>0.5-2</w:t>
                  </w:r>
                </w:p>
              </w:tc>
              <w:tc>
                <w:tcPr>
                  <w:tcW w:w="1945" w:type="dxa"/>
                  <w:tcBorders>
                    <w:tl2br w:val="nil"/>
                    <w:tr2bl w:val="nil"/>
                  </w:tcBorders>
                  <w:noWrap w:val="0"/>
                  <w:vAlign w:val="center"/>
                </w:tcPr>
                <w:p>
                  <w:pPr>
                    <w:pStyle w:val="53"/>
                    <w:spacing w:before="7"/>
                    <w:ind w:left="130"/>
                    <w:jc w:val="center"/>
                    <w:rPr>
                      <w:rFonts w:hint="default" w:ascii="Times New Roman" w:hAnsi="Times New Roman" w:eastAsia="宋体" w:cs="Times New Roman"/>
                      <w:sz w:val="21"/>
                    </w:rPr>
                  </w:pPr>
                  <w:r>
                    <w:rPr>
                      <w:rFonts w:hint="default" w:ascii="Times New Roman" w:hAnsi="Times New Roman" w:eastAsia="宋体" w:cs="Times New Roman"/>
                      <w:w w:val="100"/>
                      <w:sz w:val="21"/>
                    </w:rPr>
                    <w:t>2</w:t>
                  </w:r>
                </w:p>
              </w:tc>
              <w:tc>
                <w:tcPr>
                  <w:tcW w:w="1948" w:type="dxa"/>
                  <w:tcBorders>
                    <w:tl2br w:val="nil"/>
                    <w:tr2bl w:val="nil"/>
                  </w:tcBorders>
                  <w:noWrap w:val="0"/>
                  <w:vAlign w:val="center"/>
                </w:tcPr>
                <w:p>
                  <w:pPr>
                    <w:pStyle w:val="53"/>
                    <w:spacing w:before="48"/>
                    <w:ind w:left="813" w:right="680"/>
                    <w:jc w:val="center"/>
                    <w:rPr>
                      <w:rFonts w:hint="default" w:ascii="Times New Roman" w:hAnsi="Times New Roman" w:eastAsia="宋体" w:cs="Times New Roman"/>
                      <w:sz w:val="21"/>
                    </w:rPr>
                  </w:pPr>
                  <w:r>
                    <w:rPr>
                      <w:rFonts w:hint="default" w:ascii="Times New Roman" w:hAnsi="Times New Roman" w:eastAsia="宋体" w:cs="Times New Roman"/>
                      <w:sz w:val="21"/>
                    </w:rPr>
                    <w:t>1.08</w:t>
                  </w:r>
                </w:p>
              </w:tc>
              <w:tc>
                <w:tcPr>
                  <w:tcW w:w="1946" w:type="dxa"/>
                  <w:tcBorders>
                    <w:tl2br w:val="nil"/>
                    <w:tr2bl w:val="nil"/>
                  </w:tcBorders>
                  <w:noWrap w:val="0"/>
                  <w:vAlign w:val="center"/>
                </w:tcPr>
                <w:p>
                  <w:pPr>
                    <w:pStyle w:val="53"/>
                    <w:spacing w:before="1"/>
                    <w:ind w:left="604" w:right="479"/>
                    <w:jc w:val="center"/>
                    <w:rPr>
                      <w:rFonts w:hint="default" w:ascii="Times New Roman" w:hAnsi="Times New Roman" w:eastAsia="宋体" w:cs="Times New Roman"/>
                      <w:sz w:val="21"/>
                    </w:rPr>
                  </w:pPr>
                  <w:r>
                    <w:rPr>
                      <w:rFonts w:hint="default" w:ascii="Times New Roman" w:hAnsi="Times New Roman" w:eastAsia="宋体" w:cs="Times New Roman"/>
                      <w:sz w:val="21"/>
                    </w:rPr>
                    <w:t>3.11×10</w:t>
                  </w:r>
                  <w:r>
                    <w:rPr>
                      <w:rFonts w:hint="default" w:ascii="Times New Roman" w:hAnsi="Times New Roman" w:eastAsia="宋体" w:cs="Times New Roman"/>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958" w:type="dxa"/>
                  <w:tcBorders>
                    <w:tl2br w:val="nil"/>
                    <w:tr2bl w:val="nil"/>
                  </w:tcBorders>
                  <w:noWrap w:val="0"/>
                  <w:vAlign w:val="center"/>
                </w:tcPr>
                <w:p>
                  <w:pPr>
                    <w:pStyle w:val="53"/>
                    <w:spacing w:before="5"/>
                    <w:ind w:left="148"/>
                    <w:jc w:val="center"/>
                    <w:rPr>
                      <w:rFonts w:hint="default" w:ascii="Times New Roman" w:hAnsi="Times New Roman" w:eastAsia="宋体" w:cs="Times New Roman"/>
                      <w:sz w:val="21"/>
                    </w:rPr>
                  </w:pPr>
                  <w:r>
                    <w:rPr>
                      <w:rFonts w:hint="default" w:ascii="Times New Roman" w:hAnsi="Times New Roman" w:eastAsia="宋体" w:cs="Times New Roman"/>
                      <w:sz w:val="21"/>
                    </w:rPr>
                    <w:t>0.2-5</w:t>
                  </w:r>
                </w:p>
              </w:tc>
              <w:tc>
                <w:tcPr>
                  <w:tcW w:w="1945" w:type="dxa"/>
                  <w:tcBorders>
                    <w:tl2br w:val="nil"/>
                    <w:tr2bl w:val="nil"/>
                  </w:tcBorders>
                  <w:noWrap w:val="0"/>
                  <w:vAlign w:val="center"/>
                </w:tcPr>
                <w:p>
                  <w:pPr>
                    <w:pStyle w:val="53"/>
                    <w:spacing w:before="5"/>
                    <w:ind w:left="130"/>
                    <w:jc w:val="center"/>
                    <w:rPr>
                      <w:rFonts w:hint="default" w:ascii="Times New Roman" w:hAnsi="Times New Roman" w:eastAsia="宋体" w:cs="Times New Roman"/>
                      <w:sz w:val="21"/>
                    </w:rPr>
                  </w:pPr>
                  <w:r>
                    <w:rPr>
                      <w:rFonts w:hint="default" w:ascii="Times New Roman" w:hAnsi="Times New Roman" w:eastAsia="宋体" w:cs="Times New Roman"/>
                      <w:w w:val="100"/>
                      <w:sz w:val="21"/>
                    </w:rPr>
                    <w:t>5</w:t>
                  </w:r>
                </w:p>
              </w:tc>
              <w:tc>
                <w:tcPr>
                  <w:tcW w:w="1948" w:type="dxa"/>
                  <w:tcBorders>
                    <w:tl2br w:val="nil"/>
                    <w:tr2bl w:val="nil"/>
                  </w:tcBorders>
                  <w:noWrap w:val="0"/>
                  <w:vAlign w:val="center"/>
                </w:tcPr>
                <w:p>
                  <w:pPr>
                    <w:pStyle w:val="53"/>
                    <w:spacing w:before="48"/>
                    <w:ind w:left="813" w:right="680"/>
                    <w:jc w:val="center"/>
                    <w:rPr>
                      <w:rFonts w:hint="default" w:ascii="Times New Roman" w:hAnsi="Times New Roman" w:eastAsia="宋体" w:cs="Times New Roman"/>
                      <w:sz w:val="21"/>
                    </w:rPr>
                  </w:pPr>
                  <w:r>
                    <w:rPr>
                      <w:rFonts w:hint="default" w:ascii="Times New Roman" w:hAnsi="Times New Roman" w:eastAsia="宋体" w:cs="Times New Roman"/>
                      <w:sz w:val="21"/>
                    </w:rPr>
                    <w:t>1.08</w:t>
                  </w:r>
                </w:p>
              </w:tc>
              <w:tc>
                <w:tcPr>
                  <w:tcW w:w="1946" w:type="dxa"/>
                  <w:tcBorders>
                    <w:tl2br w:val="nil"/>
                    <w:tr2bl w:val="nil"/>
                  </w:tcBorders>
                  <w:noWrap w:val="0"/>
                  <w:vAlign w:val="center"/>
                </w:tcPr>
                <w:p>
                  <w:pPr>
                    <w:pStyle w:val="53"/>
                    <w:spacing w:before="1"/>
                    <w:ind w:left="604" w:right="481"/>
                    <w:jc w:val="center"/>
                    <w:rPr>
                      <w:rFonts w:hint="default" w:ascii="Times New Roman" w:hAnsi="Times New Roman" w:eastAsia="宋体" w:cs="Times New Roman"/>
                      <w:sz w:val="21"/>
                    </w:rPr>
                  </w:pPr>
                  <w:r>
                    <w:rPr>
                      <w:rFonts w:hint="default" w:ascii="Times New Roman" w:hAnsi="Times New Roman" w:eastAsia="宋体" w:cs="Times New Roman"/>
                      <w:sz w:val="21"/>
                    </w:rPr>
                    <w:t>8.3×10</w:t>
                  </w:r>
                  <w:r>
                    <w:rPr>
                      <w:rFonts w:hint="default" w:ascii="Times New Roman" w:hAnsi="Times New Roman" w:eastAsia="宋体" w:cs="Times New Roman"/>
                      <w:sz w:val="21"/>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jc w:val="center"/>
              </w:trPr>
              <w:tc>
                <w:tcPr>
                  <w:tcW w:w="1958" w:type="dxa"/>
                  <w:tcBorders>
                    <w:tl2br w:val="nil"/>
                    <w:tr2bl w:val="nil"/>
                  </w:tcBorders>
                  <w:noWrap w:val="0"/>
                  <w:vAlign w:val="center"/>
                </w:tcPr>
                <w:p>
                  <w:pPr>
                    <w:pStyle w:val="53"/>
                    <w:spacing w:before="5"/>
                    <w:ind w:left="148"/>
                    <w:jc w:val="center"/>
                    <w:rPr>
                      <w:rFonts w:hint="default" w:ascii="Times New Roman" w:hAnsi="Times New Roman" w:eastAsia="宋体" w:cs="Times New Roman"/>
                      <w:sz w:val="21"/>
                    </w:rPr>
                  </w:pPr>
                  <w:r>
                    <w:rPr>
                      <w:rFonts w:hint="default" w:ascii="Times New Roman" w:hAnsi="Times New Roman" w:eastAsia="宋体" w:cs="Times New Roman"/>
                      <w:sz w:val="21"/>
                    </w:rPr>
                    <w:t>0.1-10</w:t>
                  </w:r>
                </w:p>
              </w:tc>
              <w:tc>
                <w:tcPr>
                  <w:tcW w:w="1945" w:type="dxa"/>
                  <w:tcBorders>
                    <w:tl2br w:val="nil"/>
                    <w:tr2bl w:val="nil"/>
                  </w:tcBorders>
                  <w:noWrap w:val="0"/>
                  <w:vAlign w:val="center"/>
                </w:tcPr>
                <w:p>
                  <w:pPr>
                    <w:pStyle w:val="53"/>
                    <w:spacing w:before="5"/>
                    <w:ind w:left="603" w:right="473"/>
                    <w:jc w:val="center"/>
                    <w:rPr>
                      <w:rFonts w:hint="default" w:ascii="Times New Roman" w:hAnsi="Times New Roman" w:eastAsia="宋体" w:cs="Times New Roman"/>
                      <w:sz w:val="21"/>
                    </w:rPr>
                  </w:pPr>
                  <w:r>
                    <w:rPr>
                      <w:rFonts w:hint="default" w:ascii="Times New Roman" w:hAnsi="Times New Roman" w:eastAsia="宋体" w:cs="Times New Roman"/>
                      <w:sz w:val="21"/>
                    </w:rPr>
                    <w:t>10</w:t>
                  </w:r>
                </w:p>
              </w:tc>
              <w:tc>
                <w:tcPr>
                  <w:tcW w:w="1948" w:type="dxa"/>
                  <w:tcBorders>
                    <w:tl2br w:val="nil"/>
                    <w:tr2bl w:val="nil"/>
                  </w:tcBorders>
                  <w:noWrap w:val="0"/>
                  <w:vAlign w:val="center"/>
                </w:tcPr>
                <w:p>
                  <w:pPr>
                    <w:pStyle w:val="53"/>
                    <w:spacing w:before="48"/>
                    <w:ind w:left="813" w:right="680"/>
                    <w:jc w:val="center"/>
                    <w:rPr>
                      <w:rFonts w:hint="default" w:ascii="Times New Roman" w:hAnsi="Times New Roman" w:eastAsia="宋体" w:cs="Times New Roman"/>
                      <w:sz w:val="21"/>
                    </w:rPr>
                  </w:pPr>
                  <w:r>
                    <w:rPr>
                      <w:rFonts w:hint="default" w:ascii="Times New Roman" w:hAnsi="Times New Roman" w:eastAsia="宋体" w:cs="Times New Roman"/>
                      <w:sz w:val="21"/>
                    </w:rPr>
                    <w:t>1.07</w:t>
                  </w:r>
                </w:p>
              </w:tc>
              <w:tc>
                <w:tcPr>
                  <w:tcW w:w="1946" w:type="dxa"/>
                  <w:tcBorders>
                    <w:tl2br w:val="nil"/>
                    <w:tr2bl w:val="nil"/>
                  </w:tcBorders>
                  <w:noWrap w:val="0"/>
                  <w:vAlign w:val="center"/>
                </w:tcPr>
                <w:p>
                  <w:pPr>
                    <w:pStyle w:val="53"/>
                    <w:spacing w:before="1"/>
                    <w:ind w:left="604" w:right="481"/>
                    <w:jc w:val="center"/>
                    <w:rPr>
                      <w:rFonts w:hint="default" w:ascii="Times New Roman" w:hAnsi="Times New Roman" w:eastAsia="宋体" w:cs="Times New Roman"/>
                      <w:sz w:val="21"/>
                    </w:rPr>
                  </w:pPr>
                  <w:r>
                    <w:rPr>
                      <w:rFonts w:hint="default" w:ascii="Times New Roman" w:hAnsi="Times New Roman" w:eastAsia="宋体" w:cs="Times New Roman"/>
                      <w:sz w:val="21"/>
                    </w:rPr>
                    <w:t>1.63×10</w:t>
                  </w:r>
                  <w:r>
                    <w:rPr>
                      <w:rFonts w:hint="default" w:ascii="Times New Roman" w:hAnsi="Times New Roman" w:eastAsia="宋体" w:cs="Times New Roman"/>
                      <w:sz w:val="21"/>
                      <w:vertAlign w:val="superscript"/>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1958" w:type="dxa"/>
                  <w:tcBorders>
                    <w:tl2br w:val="nil"/>
                    <w:tr2bl w:val="nil"/>
                  </w:tcBorders>
                  <w:noWrap w:val="0"/>
                  <w:vAlign w:val="center"/>
                </w:tcPr>
                <w:p>
                  <w:pPr>
                    <w:pStyle w:val="53"/>
                    <w:spacing w:before="7"/>
                    <w:ind w:left="148"/>
                    <w:jc w:val="center"/>
                    <w:rPr>
                      <w:rFonts w:hint="default" w:ascii="Times New Roman" w:hAnsi="Times New Roman" w:eastAsia="宋体" w:cs="Times New Roman"/>
                      <w:sz w:val="21"/>
                    </w:rPr>
                  </w:pPr>
                  <w:r>
                    <w:rPr>
                      <w:rFonts w:hint="default" w:ascii="Times New Roman" w:hAnsi="Times New Roman" w:eastAsia="宋体" w:cs="Times New Roman"/>
                      <w:sz w:val="21"/>
                    </w:rPr>
                    <w:t>0.05-20</w:t>
                  </w:r>
                </w:p>
              </w:tc>
              <w:tc>
                <w:tcPr>
                  <w:tcW w:w="1945" w:type="dxa"/>
                  <w:tcBorders>
                    <w:tl2br w:val="nil"/>
                    <w:tr2bl w:val="nil"/>
                  </w:tcBorders>
                  <w:noWrap w:val="0"/>
                  <w:vAlign w:val="center"/>
                </w:tcPr>
                <w:p>
                  <w:pPr>
                    <w:pStyle w:val="53"/>
                    <w:spacing w:before="7"/>
                    <w:ind w:left="603" w:right="473"/>
                    <w:jc w:val="center"/>
                    <w:rPr>
                      <w:rFonts w:hint="default" w:ascii="Times New Roman" w:hAnsi="Times New Roman" w:eastAsia="宋体" w:cs="Times New Roman"/>
                      <w:sz w:val="21"/>
                    </w:rPr>
                  </w:pPr>
                  <w:r>
                    <w:rPr>
                      <w:rFonts w:hint="default" w:ascii="Times New Roman" w:hAnsi="Times New Roman" w:eastAsia="宋体" w:cs="Times New Roman"/>
                      <w:sz w:val="21"/>
                    </w:rPr>
                    <w:t>20</w:t>
                  </w:r>
                </w:p>
              </w:tc>
              <w:tc>
                <w:tcPr>
                  <w:tcW w:w="1948" w:type="dxa"/>
                  <w:tcBorders>
                    <w:tl2br w:val="nil"/>
                    <w:tr2bl w:val="nil"/>
                  </w:tcBorders>
                  <w:noWrap w:val="0"/>
                  <w:vAlign w:val="center"/>
                </w:tcPr>
                <w:p>
                  <w:pPr>
                    <w:pStyle w:val="53"/>
                    <w:spacing w:before="51"/>
                    <w:ind w:left="813" w:right="680"/>
                    <w:jc w:val="center"/>
                    <w:rPr>
                      <w:rFonts w:hint="default" w:ascii="Times New Roman" w:hAnsi="Times New Roman" w:eastAsia="宋体" w:cs="Times New Roman"/>
                      <w:sz w:val="21"/>
                    </w:rPr>
                  </w:pPr>
                  <w:r>
                    <w:rPr>
                      <w:rFonts w:hint="default" w:ascii="Times New Roman" w:hAnsi="Times New Roman" w:eastAsia="宋体" w:cs="Times New Roman"/>
                      <w:sz w:val="21"/>
                    </w:rPr>
                    <w:t>1.07</w:t>
                  </w:r>
                </w:p>
              </w:tc>
              <w:tc>
                <w:tcPr>
                  <w:tcW w:w="1946" w:type="dxa"/>
                  <w:tcBorders>
                    <w:tl2br w:val="nil"/>
                    <w:tr2bl w:val="nil"/>
                  </w:tcBorders>
                  <w:noWrap w:val="0"/>
                  <w:vAlign w:val="center"/>
                </w:tcPr>
                <w:p>
                  <w:pPr>
                    <w:pStyle w:val="53"/>
                    <w:spacing w:before="3"/>
                    <w:ind w:left="604" w:right="481"/>
                    <w:jc w:val="center"/>
                    <w:rPr>
                      <w:rFonts w:hint="default" w:ascii="Times New Roman" w:hAnsi="Times New Roman" w:eastAsia="宋体" w:cs="Times New Roman"/>
                      <w:sz w:val="21"/>
                    </w:rPr>
                  </w:pPr>
                  <w:r>
                    <w:rPr>
                      <w:rFonts w:hint="default" w:ascii="Times New Roman" w:hAnsi="Times New Roman" w:eastAsia="宋体" w:cs="Times New Roman"/>
                      <w:sz w:val="21"/>
                    </w:rPr>
                    <w:t>7.07×10</w:t>
                  </w:r>
                  <w:r>
                    <w:rPr>
                      <w:rFonts w:hint="default" w:ascii="Times New Roman" w:hAnsi="Times New Roman" w:eastAsia="宋体" w:cs="Times New Roman"/>
                      <w:sz w:val="21"/>
                      <w:vertAlign w:val="superscript"/>
                    </w:rPr>
                    <w:t>-2</w:t>
                  </w:r>
                </w:p>
              </w:tc>
            </w:tr>
          </w:tbl>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查阅相关资料，本项目区域含水层中砂的粒径范围约为0.1-10mm，按上表计算，项目所在区域含水层纵向弥散系数为0.00096m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/d。</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模型计算参数取值详见</w:t>
            </w:r>
            <w:r>
              <w:rPr>
                <w:rFonts w:hint="eastAsia" w:ascii="Times New Roman" w:hAnsi="Times New Roman" w:eastAsia="宋体" w:cs="Times New Roman"/>
                <w:sz w:val="24"/>
                <w:lang w:eastAsia="zh-CN"/>
              </w:rPr>
              <w:t>下</w:t>
            </w:r>
            <w:r>
              <w:rPr>
                <w:rFonts w:hint="default" w:ascii="Times New Roman" w:hAnsi="Times New Roman" w:eastAsia="宋体" w:cs="Times New Roman"/>
                <w:sz w:val="24"/>
              </w:rPr>
              <w:t>表。</w:t>
            </w:r>
          </w:p>
          <w:p>
            <w:pPr>
              <w:pStyle w:val="121"/>
              <w:numPr>
                <w:ilvl w:val="0"/>
                <w:numId w:val="0"/>
              </w:numPr>
              <w:bidi w:val="0"/>
              <w:ind w:leftChars="0"/>
              <w:jc w:val="center"/>
              <w:rPr>
                <w:rFonts w:hint="default"/>
              </w:rPr>
            </w:pPr>
            <w:r>
              <w:rPr>
                <w:rFonts w:hint="eastAsia"/>
                <w:lang w:val="en-US" w:eastAsia="zh-CN"/>
              </w:rPr>
              <w:t xml:space="preserve">表4-18    </w:t>
            </w:r>
            <w:r>
              <w:rPr>
                <w:rFonts w:hint="default"/>
                <w:lang w:eastAsia="zh-CN"/>
              </w:rPr>
              <w:t>计算参数</w:t>
            </w:r>
            <w:r>
              <w:rPr>
                <w:rFonts w:hint="default"/>
              </w:rPr>
              <w:t>取值</w:t>
            </w:r>
            <w:r>
              <w:rPr>
                <w:rFonts w:hint="default"/>
                <w:lang w:eastAsia="zh-CN"/>
              </w:rPr>
              <w:t>一览</w:t>
            </w:r>
            <w:r>
              <w:rPr>
                <w:rFonts w:hint="default"/>
              </w:rPr>
              <w:t>表</w:t>
            </w:r>
          </w:p>
          <w:tbl>
            <w:tblPr>
              <w:tblStyle w:val="25"/>
              <w:tblW w:w="795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7"/>
              <w:gridCol w:w="1950"/>
              <w:gridCol w:w="1798"/>
              <w:gridCol w:w="1531"/>
              <w:gridCol w:w="15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jc w:val="center"/>
              </w:trPr>
              <w:tc>
                <w:tcPr>
                  <w:tcW w:w="112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污染物</w:t>
                  </w:r>
                </w:p>
              </w:tc>
              <w:tc>
                <w:tcPr>
                  <w:tcW w:w="1950"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污染物泄漏质量</w:t>
                  </w:r>
                </w:p>
              </w:tc>
              <w:tc>
                <w:tcPr>
                  <w:tcW w:w="179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pacing w:val="11"/>
                      <w:sz w:val="21"/>
                    </w:rPr>
                    <w:t>弥散系数</w:t>
                  </w:r>
                  <w:r>
                    <w:rPr>
                      <w:rFonts w:hint="default" w:ascii="Times New Roman" w:hAnsi="Times New Roman" w:eastAsia="宋体" w:cs="Times New Roman"/>
                      <w:b/>
                      <w:bCs/>
                      <w:sz w:val="21"/>
                    </w:rPr>
                    <w:t>D（m</w:t>
                  </w:r>
                  <w:r>
                    <w:rPr>
                      <w:rFonts w:hint="default" w:ascii="Times New Roman" w:hAnsi="Times New Roman" w:eastAsia="宋体" w:cs="Times New Roman"/>
                      <w:b/>
                      <w:bCs/>
                      <w:sz w:val="21"/>
                      <w:vertAlign w:val="superscript"/>
                    </w:rPr>
                    <w:t>2</w:t>
                  </w:r>
                  <w:r>
                    <w:rPr>
                      <w:rFonts w:hint="default" w:ascii="Times New Roman" w:hAnsi="Times New Roman" w:eastAsia="宋体" w:cs="Times New Roman"/>
                      <w:b/>
                      <w:bCs/>
                      <w:sz w:val="21"/>
                      <w:vertAlign w:val="baseline"/>
                    </w:rPr>
                    <w:t>/d）</w:t>
                  </w:r>
                </w:p>
              </w:tc>
              <w:tc>
                <w:tcPr>
                  <w:tcW w:w="153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地下水流速度U</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（m/d）</w:t>
                  </w:r>
                </w:p>
              </w:tc>
              <w:tc>
                <w:tcPr>
                  <w:tcW w:w="15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rPr>
                  </w:pPr>
                  <w:r>
                    <w:rPr>
                      <w:rFonts w:hint="default" w:ascii="Times New Roman" w:hAnsi="Times New Roman" w:eastAsia="宋体" w:cs="Times New Roman"/>
                      <w:b/>
                      <w:bCs/>
                      <w:sz w:val="21"/>
                    </w:rPr>
                    <w:t>有效孔隙度n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2" w:hRule="atLeast"/>
                <w:jc w:val="center"/>
              </w:trPr>
              <w:tc>
                <w:tcPr>
                  <w:tcW w:w="112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石油类</w:t>
                  </w:r>
                </w:p>
              </w:tc>
              <w:tc>
                <w:tcPr>
                  <w:tcW w:w="1950"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0.000</w:t>
                  </w:r>
                  <w:r>
                    <w:rPr>
                      <w:rFonts w:hint="default" w:ascii="Times New Roman" w:hAnsi="Times New Roman" w:eastAsia="宋体" w:cs="Times New Roman"/>
                      <w:sz w:val="21"/>
                      <w:lang w:val="en-US" w:eastAsia="zh-CN"/>
                    </w:rPr>
                    <w:t>20</w:t>
                  </w:r>
                  <w:r>
                    <w:rPr>
                      <w:rFonts w:hint="default" w:ascii="Times New Roman" w:hAnsi="Times New Roman" w:eastAsia="宋体" w:cs="Times New Roman"/>
                      <w:sz w:val="21"/>
                    </w:rPr>
                    <w:t>2</w:t>
                  </w:r>
                  <w:r>
                    <w:rPr>
                      <w:rFonts w:hint="default" w:ascii="Times New Roman" w:hAnsi="Times New Roman" w:eastAsia="宋体" w:cs="Times New Roman"/>
                      <w:sz w:val="21"/>
                      <w:lang w:val="en-US" w:eastAsia="zh-CN"/>
                    </w:rPr>
                    <w:t>5</w:t>
                  </w:r>
                  <w:r>
                    <w:rPr>
                      <w:rFonts w:hint="default" w:ascii="Times New Roman" w:hAnsi="Times New Roman" w:eastAsia="宋体" w:cs="Times New Roman"/>
                      <w:sz w:val="21"/>
                    </w:rPr>
                    <w:t>kg</w:t>
                  </w:r>
                </w:p>
              </w:tc>
              <w:tc>
                <w:tcPr>
                  <w:tcW w:w="179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0.00096</w:t>
                  </w:r>
                </w:p>
              </w:tc>
              <w:tc>
                <w:tcPr>
                  <w:tcW w:w="153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0.071</w:t>
                  </w:r>
                </w:p>
              </w:tc>
              <w:tc>
                <w:tcPr>
                  <w:tcW w:w="15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rPr>
                  </w:pPr>
                  <w:r>
                    <w:rPr>
                      <w:rFonts w:hint="default" w:ascii="Times New Roman" w:hAnsi="Times New Roman" w:eastAsia="宋体" w:cs="Times New Roman"/>
                      <w:sz w:val="21"/>
                    </w:rPr>
                    <w:t>0.35</w:t>
                  </w:r>
                </w:p>
              </w:tc>
            </w:tr>
          </w:tbl>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⑦预测结果</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本项目预测结果见下表：</w:t>
            </w:r>
          </w:p>
          <w:p>
            <w:pPr>
              <w:pStyle w:val="121"/>
              <w:numPr>
                <w:ilvl w:val="0"/>
                <w:numId w:val="0"/>
              </w:numPr>
              <w:bidi w:val="0"/>
              <w:ind w:leftChars="0"/>
              <w:jc w:val="center"/>
              <w:rPr>
                <w:rFonts w:hint="default"/>
              </w:rPr>
            </w:pPr>
            <w:r>
              <w:rPr>
                <w:rFonts w:hint="eastAsia"/>
                <w:lang w:val="en-US" w:eastAsia="zh-CN"/>
              </w:rPr>
              <w:t xml:space="preserve">表4-19     </w:t>
            </w:r>
            <w:r>
              <w:rPr>
                <w:rFonts w:hint="default"/>
                <w:lang w:eastAsia="zh-CN"/>
              </w:rPr>
              <w:t>计算参数</w:t>
            </w:r>
            <w:r>
              <w:rPr>
                <w:rFonts w:hint="default"/>
              </w:rPr>
              <w:t>取值</w:t>
            </w:r>
            <w:r>
              <w:rPr>
                <w:rFonts w:hint="default"/>
                <w:lang w:eastAsia="zh-CN"/>
              </w:rPr>
              <w:t>一览</w:t>
            </w:r>
            <w:r>
              <w:rPr>
                <w:rFonts w:hint="default"/>
              </w:rPr>
              <w:t>表</w:t>
            </w:r>
          </w:p>
          <w:tbl>
            <w:tblPr>
              <w:tblStyle w:val="25"/>
              <w:tblW w:w="78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7"/>
              <w:gridCol w:w="1279"/>
              <w:gridCol w:w="715"/>
              <w:gridCol w:w="717"/>
              <w:gridCol w:w="717"/>
              <w:gridCol w:w="717"/>
              <w:gridCol w:w="851"/>
              <w:gridCol w:w="838"/>
              <w:gridCol w:w="791"/>
              <w:gridCol w:w="8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377"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因子</w:t>
                  </w:r>
                </w:p>
              </w:tc>
              <w:tc>
                <w:tcPr>
                  <w:tcW w:w="1279"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pacing w:val="-8"/>
                      <w:sz w:val="21"/>
                      <w:szCs w:val="21"/>
                    </w:rPr>
                    <w:t>时间</w:t>
                  </w:r>
                  <w:r>
                    <w:rPr>
                      <w:rFonts w:hint="default" w:ascii="Times New Roman" w:hAnsi="Times New Roman" w:eastAsia="宋体" w:cs="Times New Roman"/>
                      <w:b/>
                      <w:bCs/>
                      <w:sz w:val="21"/>
                      <w:szCs w:val="21"/>
                    </w:rPr>
                    <w:t>浓度</w:t>
                  </w:r>
                </w:p>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距离</w:t>
                  </w:r>
                </w:p>
              </w:tc>
              <w:tc>
                <w:tcPr>
                  <w:tcW w:w="6243" w:type="dxa"/>
                  <w:gridSpan w:val="8"/>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泄漏停止后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3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p>
              </w:tc>
              <w:tc>
                <w:tcPr>
                  <w:tcW w:w="127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p>
              </w:tc>
              <w:tc>
                <w:tcPr>
                  <w:tcW w:w="71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50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100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200</w:t>
                  </w:r>
                </w:p>
              </w:tc>
              <w:tc>
                <w:tcPr>
                  <w:tcW w:w="8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300</w:t>
                  </w:r>
                </w:p>
              </w:tc>
              <w:tc>
                <w:tcPr>
                  <w:tcW w:w="8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400</w:t>
                  </w:r>
                </w:p>
              </w:tc>
              <w:tc>
                <w:tcPr>
                  <w:tcW w:w="79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500</w:t>
                  </w:r>
                </w:p>
              </w:tc>
              <w:tc>
                <w:tcPr>
                  <w:tcW w:w="8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377" w:type="dxa"/>
                  <w:vMerge w:val="restart"/>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127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c>
                <w:tcPr>
                  <w:tcW w:w="71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9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3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7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w:t>
                  </w:r>
                </w:p>
              </w:tc>
              <w:tc>
                <w:tcPr>
                  <w:tcW w:w="71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9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3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7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w:t>
                  </w:r>
                </w:p>
              </w:tc>
              <w:tc>
                <w:tcPr>
                  <w:tcW w:w="71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9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3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7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w:t>
                  </w:r>
                </w:p>
              </w:tc>
              <w:tc>
                <w:tcPr>
                  <w:tcW w:w="71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9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3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7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w:t>
                  </w:r>
                </w:p>
              </w:tc>
              <w:tc>
                <w:tcPr>
                  <w:tcW w:w="71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9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3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7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300</w:t>
                  </w:r>
                </w:p>
              </w:tc>
              <w:tc>
                <w:tcPr>
                  <w:tcW w:w="71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9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3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7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w:t>
                  </w:r>
                </w:p>
              </w:tc>
              <w:tc>
                <w:tcPr>
                  <w:tcW w:w="71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9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jc w:val="center"/>
              </w:trPr>
              <w:tc>
                <w:tcPr>
                  <w:tcW w:w="3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p>
              </w:tc>
              <w:tc>
                <w:tcPr>
                  <w:tcW w:w="1279"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c>
                <w:tcPr>
                  <w:tcW w:w="715"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1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5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38"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791"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c>
                <w:tcPr>
                  <w:tcW w:w="897" w:type="dxa"/>
                  <w:tcBorders>
                    <w:tl2br w:val="nil"/>
                    <w:tr2bl w:val="nil"/>
                  </w:tcBorders>
                  <w:noWrap w:val="0"/>
                  <w:vAlign w:val="center"/>
                </w:tcPr>
                <w:p>
                  <w:pPr>
                    <w:pStyle w:val="5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w:t>
                  </w:r>
                </w:p>
              </w:tc>
            </w:tr>
          </w:tbl>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根据预测结果可知，非正常状况下本项目发生渗漏后，随着时间的推移，石没油类在各距离处均未出现超标情况，对项目所在区域地下水环境影响在可接受范围。</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综上所述，非正常工况下，废矿物油发生泄漏后能满足《地下水环境质量标准》GB/T14848-2017）III类标准限值的要求；对项目周围敏感点处的地下水水质无影响。</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本环评建议应采取以下措施以降低对地下水的影响：</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①如发现地下水污染事故，应立即向厂区环保部门及行政管理部门报告，调查并确认污染源位置。</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②若存在污染物泄漏情况，查明泄漏污染源位置后，应首先堵住泄漏源，利用导流沟或围堰收容，然后收集、转移到事故池进行处理。如果已经渗入地下水，应将污染区的地下水抽出并送到事故应急池中，防止污染物在地下继续扩散。</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③立即对重污染区采取有效的修复措施，包括开挖并移走重污染土壤做危险废物处置，回填新鲜土壤；对重污染区的地下水通过检测井抽出并送至事故应急池中，防止污染物在地下继续扩散。</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④对项目区域及周边区域的地下水敏感点进行取样检测，确定水质是否受到影响。如果水质受到影响，应及时通知相关方并立即停用受污染的地下水。</w:t>
            </w:r>
          </w:p>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综上所述，由污染途径及对应措施分析可知，项目对可能产生地下水影响的各项途径均进行了有效预防，在确保各项防渗措施得以落实，加强维护厂区环境管理的前提下，可有效控制厂区内的污染物下渗现象，避免污染地下水，因此项目不会对区域地下水环境及保护目标产生明显影响。</w:t>
            </w: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b w:val="0"/>
                <w:bCs/>
                <w:color w:val="000000"/>
                <w:sz w:val="24"/>
                <w:szCs w:val="24"/>
              </w:rPr>
            </w:pPr>
            <w:r>
              <w:rPr>
                <w:rFonts w:hint="eastAsia"/>
                <w:b w:val="0"/>
                <w:bCs/>
                <w:color w:val="000000"/>
                <w:sz w:val="24"/>
                <w:szCs w:val="24"/>
                <w:lang w:val="en-US" w:eastAsia="zh-CN"/>
              </w:rPr>
              <w:t>土壤污染主要来自废水、废气、固体废物污染，重在预防，为有效防治土壤环境污染，项目运营期应采取以下防治措施：</w:t>
            </w: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b w:val="0"/>
                <w:bCs/>
                <w:color w:val="000000"/>
                <w:sz w:val="24"/>
                <w:szCs w:val="24"/>
              </w:rPr>
            </w:pPr>
            <w:r>
              <w:rPr>
                <w:rFonts w:hint="eastAsia"/>
                <w:b w:val="0"/>
                <w:bCs/>
                <w:color w:val="000000"/>
                <w:sz w:val="24"/>
                <w:szCs w:val="24"/>
                <w:lang w:val="en-US" w:eastAsia="zh-CN"/>
              </w:rPr>
              <w:t>（1）生产中严格落实废水收集措施，事故废水及时通知第三方单位清运处理。厂区设置事故应急池，厂区废弃物泄漏或发生火灾爆炸事故时，将泄漏液体、消防废水转移至事故应急水池暂存，泄漏、事故解除后妥善处理，禁止将未经有效处理的废污水外排。生产中加强废水收集、输送管道巡检，发现破损后采取堵截措施，将泄漏的废污水控制在厂区范围内，并妥善处理、修复受到污染的土壤。</w:t>
            </w: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b w:val="0"/>
                <w:bCs/>
                <w:color w:val="000000"/>
                <w:sz w:val="24"/>
                <w:szCs w:val="24"/>
              </w:rPr>
            </w:pPr>
            <w:r>
              <w:rPr>
                <w:rFonts w:hint="eastAsia"/>
                <w:b w:val="0"/>
                <w:bCs/>
                <w:color w:val="000000"/>
                <w:sz w:val="24"/>
                <w:szCs w:val="24"/>
                <w:lang w:val="en-US" w:eastAsia="zh-CN"/>
              </w:rPr>
              <w:t>（2）严格落实废气污染防治措施，加强废气治理设施检修、维护，使大气污染物得到有效处理，减少粉尘、臭气等污染物干湿沉降。</w:t>
            </w: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b w:val="0"/>
                <w:bCs/>
                <w:color w:val="000000"/>
                <w:sz w:val="24"/>
                <w:szCs w:val="24"/>
              </w:rPr>
            </w:pPr>
            <w:r>
              <w:rPr>
                <w:rFonts w:hint="eastAsia"/>
                <w:b w:val="0"/>
                <w:bCs/>
                <w:color w:val="000000"/>
                <w:sz w:val="24"/>
                <w:szCs w:val="24"/>
                <w:lang w:val="en-US" w:eastAsia="zh-CN"/>
              </w:rPr>
              <w:t>（3）危废转运、贮存等各环节做好防风、防水、防渗措施，避免有害物质流失，禁止随意弃置、堆放、填埋。</w:t>
            </w: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b w:val="0"/>
                <w:bCs/>
                <w:color w:val="000000"/>
                <w:sz w:val="24"/>
                <w:szCs w:val="24"/>
              </w:rPr>
            </w:pPr>
            <w:r>
              <w:rPr>
                <w:rFonts w:hint="eastAsia"/>
                <w:b w:val="0"/>
                <w:bCs/>
                <w:color w:val="000000"/>
                <w:sz w:val="24"/>
                <w:szCs w:val="24"/>
                <w:lang w:val="en-US" w:eastAsia="zh-CN"/>
              </w:rPr>
              <w:t>（4）厂区分区防渗，一旦发现地下水发生异常情况，必须马上采取紧急措施。按照有关的规范要求采取上述污染防渗措施，可以避免项目对周边土壤产生明显影响，营运期土壤污染防治措施是可行的。</w:t>
            </w:r>
          </w:p>
          <w:p>
            <w:pPr>
              <w:keepNext w:val="0"/>
              <w:keepLines w:val="0"/>
              <w:pageBreakBefore w:val="0"/>
              <w:widowControl w:val="0"/>
              <w:kinsoku/>
              <w:overflowPunct/>
              <w:topLinePunct w:val="0"/>
              <w:autoSpaceDE/>
              <w:autoSpaceDN/>
              <w:bidi w:val="0"/>
              <w:adjustRightInd w:val="0"/>
              <w:snapToGrid w:val="0"/>
              <w:spacing w:line="520" w:lineRule="exact"/>
              <w:ind w:firstLine="482" w:firstLineChars="200"/>
              <w:jc w:val="left"/>
              <w:textAlignment w:val="auto"/>
              <w:rPr>
                <w:b/>
                <w:color w:val="000000"/>
                <w:sz w:val="24"/>
                <w:szCs w:val="24"/>
              </w:rPr>
            </w:pPr>
            <w:r>
              <w:rPr>
                <w:rFonts w:hint="eastAsia"/>
                <w:b/>
                <w:color w:val="000000"/>
                <w:sz w:val="24"/>
                <w:szCs w:val="24"/>
              </w:rPr>
              <w:t>六、生态</w:t>
            </w: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color w:val="000000"/>
                <w:sz w:val="24"/>
                <w:szCs w:val="24"/>
              </w:rPr>
            </w:pPr>
            <w:r>
              <w:rPr>
                <w:rFonts w:hint="eastAsia"/>
                <w:color w:val="000000"/>
                <w:sz w:val="24"/>
                <w:szCs w:val="24"/>
              </w:rPr>
              <w:t>本项目位于产业园区内且项目用地范围内不存在生态环境保护目标，故本次不进行评价。</w:t>
            </w:r>
          </w:p>
          <w:p>
            <w:pPr>
              <w:keepNext w:val="0"/>
              <w:keepLines w:val="0"/>
              <w:pageBreakBefore w:val="0"/>
              <w:widowControl w:val="0"/>
              <w:kinsoku/>
              <w:overflowPunct/>
              <w:topLinePunct w:val="0"/>
              <w:autoSpaceDE/>
              <w:autoSpaceDN/>
              <w:bidi w:val="0"/>
              <w:adjustRightInd w:val="0"/>
              <w:snapToGrid w:val="0"/>
              <w:spacing w:line="520" w:lineRule="exact"/>
              <w:ind w:firstLine="482" w:firstLineChars="200"/>
              <w:jc w:val="left"/>
              <w:textAlignment w:val="auto"/>
              <w:rPr>
                <w:b/>
                <w:color w:val="000000"/>
                <w:sz w:val="24"/>
                <w:szCs w:val="24"/>
              </w:rPr>
            </w:pPr>
            <w:r>
              <w:rPr>
                <w:rFonts w:hint="eastAsia"/>
                <w:b/>
                <w:color w:val="000000"/>
                <w:sz w:val="24"/>
                <w:szCs w:val="24"/>
              </w:rPr>
              <w:t>七、环境风险</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1、风险源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主要为危险废物暂存，涉及的危险物质主要为C（腐蚀性）、T（毒性）、I（易燃性）、R（反应性），因此危险废物贮存过程中有可能发生环境风险事故。对照《建设项目环境风险评价技术导则》(HJ/T169-2018)附录B，本项目涉及的风险物质主要为</w:t>
            </w:r>
            <w:r>
              <w:rPr>
                <w:rFonts w:hint="default" w:ascii="Times New Roman" w:hAnsi="Times New Roman" w:eastAsia="宋体" w:cs="Times New Roman"/>
                <w:b w:val="0"/>
                <w:bCs w:val="0"/>
                <w:color w:val="auto"/>
                <w:sz w:val="24"/>
                <w:szCs w:val="24"/>
                <w:u w:val="none"/>
                <w:lang w:val="en-US" w:eastAsia="zh-CN"/>
              </w:rPr>
              <w:t>HW06废有机溶剂与含有有机溶剂废物</w:t>
            </w:r>
            <w:r>
              <w:rPr>
                <w:rFonts w:hint="eastAsia" w:cs="Times New Roman"/>
                <w:b w:val="0"/>
                <w:bCs w:val="0"/>
                <w:color w:val="auto"/>
                <w:sz w:val="24"/>
                <w:szCs w:val="24"/>
                <w:u w:val="none"/>
                <w:lang w:val="en-US" w:eastAsia="zh-CN"/>
              </w:rPr>
              <w:t>和</w:t>
            </w:r>
            <w:r>
              <w:rPr>
                <w:rFonts w:hint="default" w:ascii="Times New Roman" w:hAnsi="Times New Roman" w:eastAsia="宋体" w:cs="Times New Roman"/>
                <w:color w:val="000000"/>
                <w:kern w:val="0"/>
                <w:sz w:val="24"/>
                <w:szCs w:val="24"/>
                <w:lang w:val="en-US" w:eastAsia="zh-CN"/>
              </w:rPr>
              <w:t>HW08废矿物油与含矿物油废物，危险废物暂存区</w:t>
            </w:r>
            <w:r>
              <w:rPr>
                <w:rFonts w:hint="default" w:ascii="Times New Roman" w:hAnsi="Times New Roman" w:eastAsia="宋体" w:cs="Times New Roman"/>
                <w:b w:val="0"/>
                <w:bCs w:val="0"/>
                <w:color w:val="auto"/>
                <w:sz w:val="24"/>
                <w:szCs w:val="24"/>
                <w:u w:val="none"/>
                <w:lang w:val="en-US" w:eastAsia="zh-CN"/>
              </w:rPr>
              <w:t>HW06废有机溶剂与含有有机溶剂废物</w:t>
            </w:r>
            <w:r>
              <w:rPr>
                <w:rFonts w:hint="eastAsia" w:cs="Times New Roman"/>
                <w:b w:val="0"/>
                <w:bCs w:val="0"/>
                <w:color w:val="auto"/>
                <w:sz w:val="24"/>
                <w:szCs w:val="24"/>
                <w:u w:val="none"/>
                <w:lang w:val="en-US" w:eastAsia="zh-CN"/>
              </w:rPr>
              <w:t>和</w:t>
            </w:r>
            <w:r>
              <w:rPr>
                <w:rFonts w:hint="default" w:ascii="Times New Roman" w:hAnsi="Times New Roman" w:eastAsia="宋体" w:cs="Times New Roman"/>
                <w:color w:val="000000"/>
                <w:kern w:val="0"/>
                <w:sz w:val="24"/>
                <w:szCs w:val="24"/>
                <w:lang w:val="en-US" w:eastAsia="zh-CN"/>
              </w:rPr>
              <w:t>HW08废矿物油与含矿物油废物最大储存量为</w:t>
            </w:r>
            <w:r>
              <w:rPr>
                <w:rFonts w:hint="eastAsia" w:cs="Times New Roman"/>
                <w:color w:val="000000"/>
                <w:kern w:val="0"/>
                <w:sz w:val="24"/>
                <w:szCs w:val="24"/>
                <w:lang w:val="en-US" w:eastAsia="zh-CN"/>
              </w:rPr>
              <w:t>4</w:t>
            </w:r>
            <w:r>
              <w:rPr>
                <w:rFonts w:hint="default" w:ascii="Times New Roman" w:hAnsi="Times New Roman" w:eastAsia="宋体" w:cs="Times New Roman"/>
                <w:color w:val="000000"/>
                <w:kern w:val="0"/>
                <w:sz w:val="24"/>
                <w:szCs w:val="24"/>
                <w:lang w:val="en-US" w:eastAsia="zh-CN"/>
              </w:rPr>
              <w:t>0t。其余危废为毒性物质，本项目不收集废弃剧毒化学品，则本项目毒性物质不属于健康危险急性毒性物质（类别1）和健康危险急性毒性物质（类别2，类别3）。</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2、影响途径</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本项目主要为危险废物暂存，危险废物具有易燃性、腐蚀性、毒性等危险特性，因此潜在的环境风险主要为危险废物暂存、运输、装卸过程中潜在的泄露、火灾以及中毒事故。</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（1）运输过程潜在风险识别</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1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①</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因路基不平或发生车祸导致危险废物泄露，随雨水进入地表水体，污染事故周边地表水、土壤、农作物，对附近人员可能造成一定的影响。</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2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②</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运输人员玩忽职守，未严格遵守相关危险废物运输管理规定，如不熟悉危险废物特性、未对其采取有效防护措施等，使危险废物泄露发生危险事故。</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（2）装卸、贮存过程潜在风险识别</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在装卸、贮存过程中，由于包装桶的破裂、操作失误等造成危险废物的泄露，若遇火源等可能发生火灾等风险事故。</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（3）伴生/</w:t>
            </w:r>
            <w:r>
              <w:rPr>
                <w:rFonts w:hint="eastAsia" w:ascii="Times New Roman" w:hAnsi="Times New Roman" w:eastAsia="宋体" w:cs="Times New Roman"/>
                <w:color w:val="000000"/>
                <w:kern w:val="0"/>
                <w:sz w:val="24"/>
                <w:szCs w:val="24"/>
                <w:lang w:val="en-US" w:eastAsia="zh-CN"/>
              </w:rPr>
              <w:t>次</w:t>
            </w:r>
            <w:r>
              <w:rPr>
                <w:rFonts w:hint="default" w:ascii="Times New Roman" w:hAnsi="Times New Roman" w:eastAsia="宋体" w:cs="Times New Roman"/>
                <w:color w:val="000000"/>
                <w:kern w:val="0"/>
                <w:sz w:val="24"/>
                <w:szCs w:val="24"/>
                <w:lang w:val="en-US" w:eastAsia="zh-CN"/>
              </w:rPr>
              <w:t>生风险识别</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险废物泄露若火灾事故发生，在应急救援中，会在事故现场喷射大量的消防水等进行灭火，消防用水在短时间内会大量漫流，如果没有做好事故应急防范措施，则会影响周边环境，消防废水会进入附近水体或土壤，对局部水体、土壤造成污染，甚至通过土壤下渗，破坏地下水环境。</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同时项目在泄露、火灾等事故应急救援中可能会产生大量的废灭火剂、拦截、堵漏材料，均可能掺杂一定的有毒有害物质，若事故排放后随意丢弃、排放，将对环境产生二次污染。</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w:t>
            </w:r>
            <w:r>
              <w:rPr>
                <w:rFonts w:hint="default" w:ascii="Times New Roman" w:hAnsi="Times New Roman" w:eastAsia="宋体" w:cs="Times New Roman"/>
                <w:color w:val="000000"/>
                <w:kern w:val="0"/>
                <w:sz w:val="24"/>
                <w:szCs w:val="24"/>
                <w:lang w:val="en-US" w:eastAsia="zh-CN"/>
              </w:rPr>
              <w:t>环境风险影响分析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r>
              <w:rPr>
                <w:rFonts w:hint="default" w:ascii="Times New Roman" w:hAnsi="Times New Roman" w:eastAsia="宋体" w:cs="Times New Roman"/>
                <w:color w:val="000000"/>
                <w:kern w:val="0"/>
                <w:sz w:val="24"/>
                <w:szCs w:val="24"/>
                <w:lang w:val="en-US" w:eastAsia="zh-CN"/>
              </w:rPr>
              <w:t>泄漏影响分析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液态和半固态危险废物采用包装桶进行包装，贮存或装卸过程中若包装桶破裂发生泄漏，泄漏的液态废物可能进入附近地表水、地下水和土壤，对局部水体、土壤、地下水造成污染。</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本项目危废暂存库地面做防腐、防渗处理，并在仓库四周开挖深20cm、宽20cm的引流沟，在危废暂存库</w:t>
            </w:r>
            <w:r>
              <w:rPr>
                <w:rFonts w:hint="eastAsia" w:ascii="Times New Roman" w:hAnsi="Times New Roman" w:eastAsia="宋体" w:cs="Times New Roman"/>
                <w:color w:val="000000"/>
                <w:kern w:val="0"/>
                <w:sz w:val="24"/>
                <w:szCs w:val="24"/>
                <w:lang w:val="en-US" w:eastAsia="zh-CN"/>
              </w:rPr>
              <w:t>北</w:t>
            </w:r>
            <w:r>
              <w:rPr>
                <w:rFonts w:hint="default" w:ascii="Times New Roman" w:hAnsi="Times New Roman" w:eastAsia="宋体" w:cs="Times New Roman"/>
                <w:color w:val="000000"/>
                <w:kern w:val="0"/>
                <w:sz w:val="24"/>
                <w:szCs w:val="24"/>
                <w:lang w:val="en-US" w:eastAsia="zh-CN"/>
              </w:rPr>
              <w:t>侧设置一个事故应急池，一旦发生泄漏，物料将沿引流沟收集至事故池中，最终安全运送至有资质单位进行处置。若发生火灾事故，消防废水可沿引流沟收集至应急池中，可有效防止环境污染事故的发生。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w:t>
            </w:r>
            <w:r>
              <w:rPr>
                <w:rFonts w:hint="default" w:ascii="Times New Roman" w:hAnsi="Times New Roman" w:eastAsia="宋体" w:cs="Times New Roman"/>
                <w:color w:val="000000"/>
                <w:kern w:val="0"/>
                <w:sz w:val="24"/>
                <w:szCs w:val="24"/>
                <w:lang w:val="en-US" w:eastAsia="zh-CN"/>
              </w:rPr>
              <w:t>固体废物处理不当对环境影响分析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危险废物暂存过程中新产生的危险废物，若管理不善或处理不当可能会对空气、地表水、土壤等产生一定的危害。项目为危废暂存项目，上述的危险废物收集后暂存于储存区，最终送至有资质单位处理。同时企业加强管理，防止各种危废包装、转移过程中的散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综上所述，本项目固废分类收集处理后，不会对环境造成危害。</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w:t>
            </w:r>
            <w:r>
              <w:rPr>
                <w:rFonts w:hint="default" w:ascii="Times New Roman" w:hAnsi="Times New Roman" w:eastAsia="宋体" w:cs="Times New Roman"/>
                <w:color w:val="000000"/>
                <w:kern w:val="0"/>
                <w:sz w:val="24"/>
                <w:szCs w:val="24"/>
                <w:lang w:val="en-US" w:eastAsia="zh-CN"/>
              </w:rPr>
              <w:t>伴生/次生影响分析</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1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①</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事故排污水</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险废物泄漏若发生火灾事故，在应急救援中，会在事故现场喷射大量的消防水以及冷却水等进行灭火或降低有毒物质对大气的污染。针对事故排污水若无应急收集措施，可能会有部分有毒有害物质直接或随冷却水、消防水等进入附近水体或土壤，对局部水体、土壤造成污染。</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2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②</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事故固体废物</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本项目在泄漏、火灾等事故应急救援中可能产生大量的废灭火剂、拦截、堵漏材料，均可能掺杂一定的有毒有害物质，若事故排放后随意</w:t>
            </w:r>
            <w:r>
              <w:rPr>
                <w:rFonts w:hint="eastAsia" w:ascii="Times New Roman" w:hAnsi="Times New Roman" w:eastAsia="宋体" w:cs="Times New Roman"/>
                <w:color w:val="000000"/>
                <w:kern w:val="0"/>
                <w:sz w:val="24"/>
                <w:szCs w:val="24"/>
                <w:lang w:val="en-US" w:eastAsia="zh-CN"/>
              </w:rPr>
              <w:t>丢</w:t>
            </w:r>
            <w:r>
              <w:rPr>
                <w:rFonts w:hint="default" w:ascii="Times New Roman" w:hAnsi="Times New Roman" w:eastAsia="宋体" w:cs="Times New Roman"/>
                <w:color w:val="000000"/>
                <w:kern w:val="0"/>
                <w:sz w:val="24"/>
                <w:szCs w:val="24"/>
                <w:lang w:val="en-US" w:eastAsia="zh-CN"/>
              </w:rPr>
              <w:t>弃、排放，将对环境产生二次污染。</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3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③</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包装破损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工业废弃物在暂存过程中若发生包装袋、包装桶等破损，泄漏的物料若未及时收集，可能对附近空气、土壤等造成一定的影响。</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4、</w:t>
            </w:r>
            <w:r>
              <w:rPr>
                <w:rFonts w:hint="default" w:ascii="Times New Roman" w:hAnsi="Times New Roman" w:eastAsia="宋体" w:cs="Times New Roman"/>
                <w:color w:val="000000"/>
                <w:kern w:val="0"/>
                <w:sz w:val="24"/>
                <w:szCs w:val="24"/>
                <w:lang w:val="en-US" w:eastAsia="zh-CN"/>
              </w:rPr>
              <w:t>环境风险防范措施</w:t>
            </w:r>
            <w:r>
              <w:rPr>
                <w:rFonts w:hint="default" w:ascii="Times New Roman" w:hAnsi="Times New Roman" w:eastAsia="宋体" w:cs="Times New Roman"/>
                <w:color w:val="000000"/>
                <w:kern w:val="0"/>
                <w:sz w:val="24"/>
                <w:szCs w:val="24"/>
                <w:lang w:val="en-US" w:eastAsia="zh-CN"/>
              </w:rPr>
              <w:tab/>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（1）</w:t>
            </w:r>
            <w:r>
              <w:rPr>
                <w:rFonts w:hint="default" w:ascii="Times New Roman" w:hAnsi="Times New Roman" w:eastAsia="宋体" w:cs="Times New Roman"/>
                <w:color w:val="000000"/>
                <w:kern w:val="0"/>
                <w:sz w:val="24"/>
                <w:szCs w:val="24"/>
                <w:lang w:val="en-US" w:eastAsia="zh-CN"/>
              </w:rPr>
              <w:t>企业总图布置与风险防范</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在厂区内的总平面设计上，应严格按照国家相关规范、标准和规定以及按照安监、消防、供电、卫生等相关部门的要求进行设计。项目仓库间距及建筑物耐火等级必须符合《建筑设计防火规范》（GB50016-2014）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（2）</w:t>
            </w:r>
            <w:r>
              <w:rPr>
                <w:rFonts w:hint="default" w:ascii="Times New Roman" w:hAnsi="Times New Roman" w:eastAsia="宋体" w:cs="Times New Roman"/>
                <w:color w:val="000000"/>
                <w:kern w:val="0"/>
                <w:sz w:val="24"/>
                <w:szCs w:val="24"/>
                <w:lang w:val="en-US" w:eastAsia="zh-CN"/>
              </w:rPr>
              <w:t>收集运输过程中的风险防范措施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为防止危险废物在收集运输过程中的泄漏以及减缓泄漏事故造成的危害，建设单位应根据安监、消防、交通部门的要求做好以下防范措施：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1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①</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制定详细的收集计划</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可根据危险废物的排放周期、危险废物特性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2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②</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制定可靠的操作规程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危险废物的收集应制定详细的操作规程，内容应包括适用范围、操作程序和方法、专用设备和工具、转移和交接、安全保障和应急防护等。</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3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③</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配备必须的个人防护装备</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危险废物收集和转运作业人员应根据工作需要配备必要的个人防护装备，如手套、防护镜、防护服、防毒面具或口罩等。</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4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④</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危险废物的包装要求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应采用密封的储器对危险废物进行包装，储器的材质要与危险废物相容，并达到防渗、防漏的要求；性质不相容的危险废物不应混合装存；装好的危险废物应设置相应的标签，标签信息应填写完整详实；装过危险废物的容器破损后应按危险废物进行管理和处置。</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5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⑤</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运输车辆及运输路线的要求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险废物的运输车辆应是密封的专用车辆，车辆外应按GB13392的相关要求设置车辆标志。专用车辆上除驾驶人员外，还应配有押运人员，驾驶人员和押运人员应具备相应的从业资格证，其中押运人员对运输全过程进行监管。专用车辆应符合《道路危险货物运输管理规定》的有关规定，满足防泄漏、防溢出、防扬尘的要求，并禁止超载、超限运输。</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危险废物的运输路线应尽量避开村庄等居民集中区、城市中心区、居住区、水源地保护区以及自然保护区等环境敏感区。</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6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⑥</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其他要求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根据实际情况确定相应作业区域，作业区域的边界应设置界限标志和警示牌；作业区域应布设危险废物收集专用通道和人员避险通道，应配备必要的消防设备，并应设置隔离设施；收集结束后应及时清理和恢复作业区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危险废物的收集应参照《危险废物收集贮存运输技术规范（HJ2025-2012）》的要求填写记录表，并妥善保管好危险废物的记录表。</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（3）</w:t>
            </w:r>
            <w:r>
              <w:rPr>
                <w:rFonts w:hint="default" w:ascii="Times New Roman" w:hAnsi="Times New Roman" w:eastAsia="宋体" w:cs="Times New Roman"/>
                <w:color w:val="000000"/>
                <w:kern w:val="0"/>
                <w:sz w:val="24"/>
                <w:szCs w:val="24"/>
                <w:lang w:val="en-US" w:eastAsia="zh-CN"/>
              </w:rPr>
              <w:t>贮存过程中风险防范措施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建设单位在危险废物贮存期间，应按安监、消防部门的要求做好以下防范措施：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1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①</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标识清楚</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危险废物的贮存车间应根据储存废物的种类和特性，在显眼的位置上张贴标志。张贴的标志应符合GB18597的有关要求。</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2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②</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配备必要的设施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险废物的贮存车间应配备通讯设备、照明设施、消防设施和污染防治设施。车间门口应设置挡水板，防止雨水的渗入。且库房应布设良好的通风净化装置，根据《建筑设计防火规范》（GB50016-2014），车间应设置自然通风，空气不应循环使用。根据《仓库防火安全管理规则》（中华人民共和国公安部令第6号），危险废物应存放在温度较低，通风良好的库房。</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为了防止泄漏的废液污染土壤，车间的地面做好防渗处理，危险废物车间参考《危险废物收集贮存运输技术规范》（HJ2025-2012）、《危险废物贮存污染控制标准》（GB18597-2001）及2013年修改单）：防渗层为2mm厚的其他人工材料，渗透系数不大于10</w:t>
            </w:r>
            <w:r>
              <w:rPr>
                <w:rFonts w:hint="default" w:ascii="Times New Roman" w:hAnsi="Times New Roman" w:eastAsia="宋体" w:cs="Times New Roman"/>
                <w:color w:val="000000"/>
                <w:kern w:val="0"/>
                <w:sz w:val="24"/>
                <w:szCs w:val="24"/>
                <w:vertAlign w:val="superscript"/>
                <w:lang w:val="en-US" w:eastAsia="zh-CN"/>
              </w:rPr>
              <w:t>-10</w:t>
            </w:r>
            <w:r>
              <w:rPr>
                <w:rFonts w:hint="default" w:ascii="Times New Roman" w:hAnsi="Times New Roman" w:eastAsia="宋体" w:cs="Times New Roman"/>
                <w:color w:val="000000"/>
                <w:kern w:val="0"/>
                <w:sz w:val="24"/>
                <w:szCs w:val="24"/>
                <w:lang w:val="en-US" w:eastAsia="zh-CN"/>
              </w:rPr>
              <w:t>cm/s，以硬化水泥为基础，增加1层2mm厚高密度聚乙烯防渗材料及1层2mm厚环氧聚氨酯防渗材料作为防渗层，缝隙通过填充防渗填塞料达到防渗的目的。</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根据地形条件在车间内部设置收集沟，收集沟通向事故应急池。此外，储存易燃易爆危险废物的车间应配置有机气体报警装置、火灾报警装置和导出静电的接地装置。</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3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③</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分区储存</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危废库里面应按危险废物的种类和特性进行分区贮存，每个贮存区域之间宜设置挡墙间隔，并应设置防雨、防火、防雷、防扬尘装置。</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4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④</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加强车间管理</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建设单位应建立危险废物储存的</w:t>
            </w:r>
            <w:r>
              <w:rPr>
                <w:rFonts w:hint="eastAsia" w:ascii="Times New Roman" w:hAnsi="Times New Roman" w:eastAsia="宋体" w:cs="Times New Roman"/>
                <w:color w:val="000000"/>
                <w:kern w:val="0"/>
                <w:sz w:val="24"/>
                <w:szCs w:val="24"/>
                <w:lang w:val="en-US" w:eastAsia="zh-CN"/>
              </w:rPr>
              <w:t>台账</w:t>
            </w:r>
            <w:r>
              <w:rPr>
                <w:rFonts w:hint="default" w:ascii="Times New Roman" w:hAnsi="Times New Roman" w:eastAsia="宋体" w:cs="Times New Roman"/>
                <w:color w:val="000000"/>
                <w:kern w:val="0"/>
                <w:sz w:val="24"/>
                <w:szCs w:val="24"/>
                <w:lang w:val="en-US" w:eastAsia="zh-CN"/>
              </w:rPr>
              <w:t>制度，危险废物出入库交接记录内容应参照《危险废物收集贮存运输技术规范》的有关规定执行。</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贮存易燃易爆物品的车间应加强对火源的管理，严禁明火进入车间。车间内的所有设备、装置都应满足防火防爆的要求。对设备维修</w:t>
            </w:r>
            <w:r>
              <w:rPr>
                <w:rFonts w:hint="eastAsia" w:ascii="Times New Roman" w:hAnsi="Times New Roman" w:eastAsia="宋体" w:cs="Times New Roman"/>
                <w:color w:val="000000"/>
                <w:kern w:val="0"/>
                <w:sz w:val="24"/>
                <w:szCs w:val="24"/>
                <w:lang w:val="en-US" w:eastAsia="zh-CN"/>
              </w:rPr>
              <w:t>检查</w:t>
            </w:r>
            <w:r>
              <w:rPr>
                <w:rFonts w:hint="default" w:ascii="Times New Roman" w:hAnsi="Times New Roman" w:eastAsia="宋体" w:cs="Times New Roman"/>
                <w:color w:val="000000"/>
                <w:kern w:val="0"/>
                <w:sz w:val="24"/>
                <w:szCs w:val="24"/>
                <w:lang w:val="en-US" w:eastAsia="zh-CN"/>
              </w:rPr>
              <w:t>，需进行维修焊接，应经安全部门确认、准许，并有记录在案。汽车、拖拉机等机动车在工作区行驶，须安装阻火器，必要设备安装防火、防爆装置。</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（4）</w:t>
            </w:r>
            <w:r>
              <w:rPr>
                <w:rFonts w:hint="default" w:ascii="Times New Roman" w:hAnsi="Times New Roman" w:eastAsia="宋体" w:cs="Times New Roman"/>
                <w:color w:val="000000"/>
                <w:kern w:val="0"/>
                <w:sz w:val="24"/>
                <w:szCs w:val="24"/>
                <w:lang w:val="en-US" w:eastAsia="zh-CN"/>
              </w:rPr>
              <w:t>事故性污染物风险防范措施</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本项目应设置事故应急池和通风净化装置，以防止事故泄漏的废液、厂区的初期雨水、消防废水以及挥发性气体直接排入环境。</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1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①</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布设收集沟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根据车间的平面布置和车间存放的各类固体废物类型，对危险废物车间的贮存区、装卸平台区域四周设置收集沟，该收集沟与应急事故池连通，并在合适的位置设立危险废物警告标志牌。</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fldChar w:fldCharType="begin"/>
            </w:r>
            <w:r>
              <w:rPr>
                <w:rFonts w:hint="default" w:ascii="Times New Roman" w:hAnsi="Times New Roman" w:eastAsia="宋体" w:cs="Times New Roman"/>
                <w:color w:val="000000"/>
                <w:kern w:val="0"/>
                <w:sz w:val="24"/>
                <w:szCs w:val="24"/>
                <w:lang w:val="en-US" w:eastAsia="zh-CN"/>
              </w:rPr>
              <w:instrText xml:space="preserve"> = 2 \* GB3 </w:instrText>
            </w:r>
            <w:r>
              <w:rPr>
                <w:rFonts w:hint="default" w:ascii="Times New Roman" w:hAnsi="Times New Roman" w:eastAsia="宋体" w:cs="Times New Roman"/>
                <w:color w:val="000000"/>
                <w:kern w:val="0"/>
                <w:sz w:val="24"/>
                <w:szCs w:val="24"/>
                <w:lang w:val="en-US" w:eastAsia="zh-CN"/>
              </w:rPr>
              <w:fldChar w:fldCharType="separate"/>
            </w:r>
            <w:r>
              <w:rPr>
                <w:rFonts w:hint="default" w:ascii="Times New Roman" w:hAnsi="Times New Roman" w:eastAsia="宋体" w:cs="Times New Roman"/>
                <w:color w:val="000000"/>
                <w:kern w:val="0"/>
                <w:sz w:val="24"/>
                <w:szCs w:val="24"/>
                <w:lang w:val="en-US" w:eastAsia="zh-CN"/>
              </w:rPr>
              <w:t>②</w:t>
            </w:r>
            <w:r>
              <w:rPr>
                <w:rFonts w:hint="default" w:ascii="Times New Roman" w:hAnsi="Times New Roman" w:eastAsia="宋体" w:cs="Times New Roman"/>
                <w:color w:val="000000"/>
                <w:kern w:val="0"/>
                <w:sz w:val="24"/>
                <w:szCs w:val="24"/>
                <w:lang w:val="en-US" w:eastAsia="zh-CN"/>
              </w:rPr>
              <w:fldChar w:fldCharType="end"/>
            </w:r>
            <w:r>
              <w:rPr>
                <w:rFonts w:hint="default" w:ascii="Times New Roman" w:hAnsi="Times New Roman" w:eastAsia="宋体" w:cs="Times New Roman"/>
                <w:color w:val="000000"/>
                <w:kern w:val="0"/>
                <w:sz w:val="24"/>
                <w:szCs w:val="24"/>
                <w:lang w:val="en-US" w:eastAsia="zh-CN"/>
              </w:rPr>
              <w:t>设立事故应急池</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本项目事故废水量参照中国石化建标[2006]43号《关于印发&lt;水体污染防控紧急措施设计导则&gt;的通知》中计算公式确定。具体公式如下：</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总</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1</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2</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3</w:t>
            </w:r>
            <w:r>
              <w:rPr>
                <w:rFonts w:hint="default" w:ascii="Times New Roman" w:hAnsi="Times New Roman" w:eastAsia="宋体" w:cs="Times New Roman"/>
                <w:color w:val="000000"/>
                <w:kern w:val="0"/>
                <w:sz w:val="24"/>
                <w:szCs w:val="24"/>
                <w:lang w:val="en-US" w:eastAsia="zh-CN"/>
              </w:rPr>
              <w:t>）</w:t>
            </w:r>
            <w:r>
              <w:rPr>
                <w:rFonts w:hint="default" w:ascii="Times New Roman" w:hAnsi="Times New Roman" w:eastAsia="宋体" w:cs="Times New Roman"/>
                <w:color w:val="000000"/>
                <w:kern w:val="0"/>
                <w:sz w:val="24"/>
                <w:szCs w:val="24"/>
                <w:vertAlign w:val="subscript"/>
                <w:lang w:val="en-US" w:eastAsia="zh-CN"/>
              </w:rPr>
              <w:t>max</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4</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5</w:t>
            </w:r>
            <w:r>
              <w:rPr>
                <w:rFonts w:hint="default" w:ascii="Times New Roman" w:hAnsi="Times New Roman" w:eastAsia="宋体" w:cs="Times New Roman"/>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jc w:val="center"/>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2</w:t>
            </w:r>
            <w:r>
              <w:rPr>
                <w:rFonts w:hint="default" w:ascii="Times New Roman" w:hAnsi="Times New Roman" w:eastAsia="宋体" w:cs="Times New Roman"/>
                <w:color w:val="000000"/>
                <w:kern w:val="0"/>
                <w:sz w:val="24"/>
                <w:szCs w:val="24"/>
                <w:lang w:val="en-US" w:eastAsia="zh-CN"/>
              </w:rPr>
              <w:t>=∑Q</w:t>
            </w:r>
            <w:r>
              <w:rPr>
                <w:rFonts w:hint="default" w:ascii="Times New Roman" w:hAnsi="Times New Roman" w:eastAsia="宋体" w:cs="Times New Roman"/>
                <w:color w:val="000000"/>
                <w:kern w:val="0"/>
                <w:sz w:val="24"/>
                <w:szCs w:val="24"/>
                <w:vertAlign w:val="subscript"/>
                <w:lang w:val="en-US" w:eastAsia="zh-CN"/>
              </w:rPr>
              <w:t>消</w:t>
            </w:r>
            <w:r>
              <w:rPr>
                <w:rFonts w:hint="default" w:ascii="Times New Roman" w:hAnsi="Times New Roman" w:eastAsia="宋体" w:cs="Times New Roman"/>
                <w:color w:val="000000"/>
                <w:kern w:val="0"/>
                <w:sz w:val="24"/>
                <w:szCs w:val="24"/>
                <w:lang w:val="en-US" w:eastAsia="zh-CN"/>
              </w:rPr>
              <w:t>·t</w:t>
            </w:r>
            <w:r>
              <w:rPr>
                <w:rFonts w:hint="default" w:ascii="Times New Roman" w:hAnsi="Times New Roman" w:eastAsia="宋体" w:cs="Times New Roman"/>
                <w:color w:val="000000"/>
                <w:kern w:val="0"/>
                <w:sz w:val="24"/>
                <w:szCs w:val="24"/>
                <w:vertAlign w:val="subscript"/>
                <w:lang w:val="en-US" w:eastAsia="zh-CN"/>
              </w:rPr>
              <w:t>消</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5</w:t>
            </w:r>
            <w:r>
              <w:rPr>
                <w:rFonts w:hint="default" w:ascii="Times New Roman" w:hAnsi="Times New Roman" w:eastAsia="宋体" w:cs="Times New Roman"/>
                <w:color w:val="000000"/>
                <w:kern w:val="0"/>
                <w:sz w:val="24"/>
                <w:szCs w:val="24"/>
                <w:lang w:val="en-US" w:eastAsia="zh-CN"/>
              </w:rPr>
              <w:t>=10q·f；q=qa/n</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注：（V</w:t>
            </w:r>
            <w:r>
              <w:rPr>
                <w:rFonts w:hint="default" w:ascii="Times New Roman" w:hAnsi="Times New Roman" w:eastAsia="宋体" w:cs="Times New Roman"/>
                <w:color w:val="000000"/>
                <w:kern w:val="0"/>
                <w:sz w:val="24"/>
                <w:szCs w:val="24"/>
                <w:vertAlign w:val="subscript"/>
                <w:lang w:val="en-US" w:eastAsia="zh-CN"/>
              </w:rPr>
              <w:t>1</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2</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3</w:t>
            </w:r>
            <w:r>
              <w:rPr>
                <w:rFonts w:hint="default" w:ascii="Times New Roman" w:hAnsi="Times New Roman" w:eastAsia="宋体" w:cs="Times New Roman"/>
                <w:color w:val="000000"/>
                <w:kern w:val="0"/>
                <w:sz w:val="24"/>
                <w:szCs w:val="24"/>
                <w:lang w:val="en-US" w:eastAsia="zh-CN"/>
              </w:rPr>
              <w:t>）</w:t>
            </w:r>
            <w:r>
              <w:rPr>
                <w:rFonts w:hint="default" w:ascii="Times New Roman" w:hAnsi="Times New Roman" w:eastAsia="宋体" w:cs="Times New Roman"/>
                <w:color w:val="000000"/>
                <w:kern w:val="0"/>
                <w:sz w:val="24"/>
                <w:szCs w:val="24"/>
                <w:vertAlign w:val="subscript"/>
                <w:lang w:val="en-US" w:eastAsia="zh-CN"/>
              </w:rPr>
              <w:t>max</w:t>
            </w:r>
            <w:r>
              <w:rPr>
                <w:rFonts w:hint="default" w:ascii="Times New Roman" w:hAnsi="Times New Roman" w:eastAsia="宋体" w:cs="Times New Roman"/>
                <w:color w:val="000000"/>
                <w:kern w:val="0"/>
                <w:sz w:val="24"/>
                <w:szCs w:val="24"/>
                <w:lang w:val="en-US" w:eastAsia="zh-CN"/>
              </w:rPr>
              <w:t>是指对收集系统范围内不同罐组或装置分别计算V</w:t>
            </w:r>
            <w:r>
              <w:rPr>
                <w:rFonts w:hint="default" w:ascii="Times New Roman" w:hAnsi="Times New Roman" w:eastAsia="宋体" w:cs="Times New Roman"/>
                <w:color w:val="000000"/>
                <w:kern w:val="0"/>
                <w:sz w:val="24"/>
                <w:szCs w:val="24"/>
                <w:vertAlign w:val="subscript"/>
                <w:lang w:val="en-US" w:eastAsia="zh-CN"/>
              </w:rPr>
              <w:t>1</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2</w:t>
            </w: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3</w:t>
            </w:r>
            <w:r>
              <w:rPr>
                <w:rFonts w:hint="default" w:ascii="Times New Roman" w:hAnsi="Times New Roman" w:eastAsia="宋体" w:cs="Times New Roman"/>
                <w:color w:val="000000"/>
                <w:kern w:val="0"/>
                <w:sz w:val="24"/>
                <w:szCs w:val="24"/>
                <w:lang w:val="en-US" w:eastAsia="zh-CN"/>
              </w:rPr>
              <w:t>，取其中最大值。</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1</w:t>
            </w:r>
            <w:r>
              <w:rPr>
                <w:rFonts w:hint="default" w:ascii="Times New Roman" w:hAnsi="Times New Roman" w:eastAsia="宋体" w:cs="Times New Roman"/>
                <w:color w:val="000000"/>
                <w:kern w:val="0"/>
                <w:sz w:val="24"/>
                <w:szCs w:val="24"/>
                <w:lang w:val="en-US" w:eastAsia="zh-CN"/>
              </w:rPr>
              <w:t>——收集系统范围内发生事故的一个罐组或一套装置的物料量，本项目按照仓库内部最大贮存容器容积，取0.2m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2</w:t>
            </w:r>
            <w:r>
              <w:rPr>
                <w:rFonts w:hint="default" w:ascii="Times New Roman" w:hAnsi="Times New Roman" w:eastAsia="宋体" w:cs="Times New Roman"/>
                <w:color w:val="000000"/>
                <w:kern w:val="0"/>
                <w:sz w:val="24"/>
                <w:szCs w:val="24"/>
                <w:lang w:val="en-US" w:eastAsia="zh-CN"/>
              </w:rPr>
              <w:t>——发生事故的储罐或装置的消防水量，m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根据《消防给水及消火栓系统技术规范》（GB50974-2014）计算消防水量，本项目消防水量为20L/s，火灾延续时间按</w:t>
            </w:r>
            <w:r>
              <w:rPr>
                <w:rFonts w:hint="eastAsia" w:ascii="Times New Roman" w:hAnsi="Times New Roman" w:eastAsia="宋体" w:cs="Times New Roman"/>
                <w:color w:val="000000"/>
                <w:kern w:val="0"/>
                <w:sz w:val="24"/>
                <w:szCs w:val="24"/>
                <w:lang w:val="en-US" w:eastAsia="zh-CN"/>
              </w:rPr>
              <w:t>0.5</w:t>
            </w:r>
            <w:r>
              <w:rPr>
                <w:rFonts w:hint="default" w:ascii="Times New Roman" w:hAnsi="Times New Roman" w:eastAsia="宋体" w:cs="Times New Roman"/>
                <w:color w:val="000000"/>
                <w:kern w:val="0"/>
                <w:sz w:val="24"/>
                <w:szCs w:val="24"/>
                <w:lang w:val="en-US" w:eastAsia="zh-CN"/>
              </w:rPr>
              <w:t>h考虑，则一次最大消防水量为</w:t>
            </w:r>
            <w:r>
              <w:rPr>
                <w:rFonts w:hint="eastAsia" w:ascii="Times New Roman" w:hAnsi="Times New Roman" w:eastAsia="宋体" w:cs="Times New Roman"/>
                <w:color w:val="000000"/>
                <w:kern w:val="0"/>
                <w:sz w:val="24"/>
                <w:szCs w:val="24"/>
                <w:lang w:val="en-US" w:eastAsia="zh-CN"/>
              </w:rPr>
              <w:t>36</w:t>
            </w:r>
            <w:r>
              <w:rPr>
                <w:rFonts w:hint="default" w:ascii="Times New Roman" w:hAnsi="Times New Roman" w:eastAsia="宋体" w:cs="Times New Roman"/>
                <w:color w:val="000000"/>
                <w:kern w:val="0"/>
                <w:sz w:val="24"/>
                <w:szCs w:val="24"/>
                <w:lang w:val="en-US" w:eastAsia="zh-CN"/>
              </w:rPr>
              <w:t>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3</w:t>
            </w:r>
            <w:r>
              <w:rPr>
                <w:rFonts w:hint="default" w:ascii="Times New Roman" w:hAnsi="Times New Roman" w:eastAsia="宋体" w:cs="Times New Roman"/>
                <w:color w:val="000000"/>
                <w:kern w:val="0"/>
                <w:sz w:val="24"/>
                <w:szCs w:val="24"/>
                <w:lang w:val="en-US" w:eastAsia="zh-CN"/>
              </w:rPr>
              <w:t>——发生事故时可以转输到其他储存或处理设施的物料量，m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；贮存区收集沟容积7.1m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4</w:t>
            </w:r>
            <w:r>
              <w:rPr>
                <w:rFonts w:hint="default" w:ascii="Times New Roman" w:hAnsi="Times New Roman" w:eastAsia="宋体" w:cs="Times New Roman"/>
                <w:color w:val="000000"/>
                <w:kern w:val="0"/>
                <w:sz w:val="24"/>
                <w:szCs w:val="24"/>
                <w:lang w:val="en-US" w:eastAsia="zh-CN"/>
              </w:rPr>
              <w:t>——发生事故时仍必须进入该收集系统的生产废水量，m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；本项目无生产废水外排，发生事故时无生产废水进入该收集系统。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V</w:t>
            </w:r>
            <w:r>
              <w:rPr>
                <w:rFonts w:hint="default" w:ascii="Times New Roman" w:hAnsi="Times New Roman" w:eastAsia="宋体" w:cs="Times New Roman"/>
                <w:color w:val="000000"/>
                <w:kern w:val="0"/>
                <w:sz w:val="24"/>
                <w:szCs w:val="24"/>
                <w:vertAlign w:val="subscript"/>
                <w:lang w:val="en-US" w:eastAsia="zh-CN"/>
              </w:rPr>
              <w:t>5</w:t>
            </w:r>
            <w:r>
              <w:rPr>
                <w:rFonts w:hint="default" w:ascii="Times New Roman" w:hAnsi="Times New Roman" w:eastAsia="宋体" w:cs="Times New Roman"/>
                <w:color w:val="000000"/>
                <w:kern w:val="0"/>
                <w:sz w:val="24"/>
                <w:szCs w:val="24"/>
                <w:lang w:val="en-US" w:eastAsia="zh-CN"/>
              </w:rPr>
              <w:t>——发生事故时可能进入该收集系统的降雨量，m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；本项目为暂存及装卸中转均位于室内，发生事故时无初期雨水进入该收集系统。</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q—降雨强度，按平均日降雨量，mm；qa—年平均降雨量；n—年平均降雨日数；</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ƒ—必须进入事故废水收集系统的雨水汇水面积。</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根据上述计算公式事故储存设施总有效容积V总=0.2+</w:t>
            </w:r>
            <w:r>
              <w:rPr>
                <w:rFonts w:hint="eastAsia" w:ascii="Times New Roman" w:hAnsi="Times New Roman" w:eastAsia="宋体" w:cs="Times New Roman"/>
                <w:color w:val="000000"/>
                <w:kern w:val="0"/>
                <w:sz w:val="24"/>
                <w:szCs w:val="24"/>
                <w:lang w:val="en-US" w:eastAsia="zh-CN"/>
              </w:rPr>
              <w:t>36</w:t>
            </w:r>
            <w:r>
              <w:rPr>
                <w:rFonts w:hint="default" w:ascii="Times New Roman" w:hAnsi="Times New Roman" w:eastAsia="宋体" w:cs="Times New Roman"/>
                <w:color w:val="000000"/>
                <w:kern w:val="0"/>
                <w:sz w:val="24"/>
                <w:szCs w:val="24"/>
                <w:lang w:val="en-US" w:eastAsia="zh-CN"/>
              </w:rPr>
              <w:t>-7.1+0+0=</w:t>
            </w:r>
            <w:r>
              <w:rPr>
                <w:rFonts w:hint="eastAsia" w:ascii="Times New Roman" w:hAnsi="Times New Roman" w:eastAsia="宋体" w:cs="Times New Roman"/>
                <w:color w:val="000000"/>
                <w:kern w:val="0"/>
                <w:sz w:val="24"/>
                <w:szCs w:val="24"/>
                <w:lang w:val="en-US" w:eastAsia="zh-CN"/>
              </w:rPr>
              <w:t>29</w:t>
            </w:r>
            <w:r>
              <w:rPr>
                <w:rFonts w:hint="default" w:ascii="Times New Roman" w:hAnsi="Times New Roman" w:eastAsia="宋体" w:cs="Times New Roman"/>
                <w:color w:val="000000"/>
                <w:kern w:val="0"/>
                <w:sz w:val="24"/>
                <w:szCs w:val="24"/>
                <w:lang w:val="en-US" w:eastAsia="zh-CN"/>
              </w:rPr>
              <w:t>.1m</w:t>
            </w:r>
            <w:r>
              <w:rPr>
                <w:rFonts w:hint="default" w:ascii="Times New Roman" w:hAnsi="Times New Roman" w:eastAsia="宋体" w:cs="Times New Roman"/>
                <w:color w:val="000000"/>
                <w:kern w:val="0"/>
                <w:sz w:val="24"/>
                <w:szCs w:val="24"/>
                <w:vertAlign w:val="superscript"/>
                <w:lang w:val="en-US" w:eastAsia="zh-CN"/>
              </w:rPr>
              <w:t>3</w:t>
            </w:r>
          </w:p>
          <w:p>
            <w:pPr>
              <w:keepNext w:val="0"/>
              <w:keepLines w:val="0"/>
              <w:pageBreakBefore w:val="0"/>
              <w:widowControl w:val="0"/>
              <w:kinsoku/>
              <w:wordWrap/>
              <w:overflowPunct/>
              <w:topLinePunct w:val="0"/>
              <w:autoSpaceDE/>
              <w:autoSpaceDN/>
              <w:bidi w:val="0"/>
              <w:adjustRightInd/>
              <w:snapToGrid/>
              <w:spacing w:line="520" w:lineRule="exact"/>
              <w:ind w:firstLine="480" w:firstLineChars="200"/>
              <w:rPr>
                <w:rFonts w:hint="default" w:ascii="Times New Roman" w:hAnsi="Times New Roman" w:eastAsia="宋体" w:cs="Times New Roman"/>
                <w:color w:val="000000"/>
                <w:kern w:val="0"/>
                <w:sz w:val="24"/>
                <w:szCs w:val="24"/>
                <w:lang w:val="en-US" w:eastAsia="zh-CN"/>
              </w:rPr>
            </w:pPr>
            <w:r>
              <w:rPr>
                <w:rFonts w:hint="default" w:ascii="Times New Roman" w:hAnsi="Times New Roman" w:eastAsia="宋体" w:cs="Times New Roman"/>
                <w:color w:val="000000"/>
                <w:kern w:val="0"/>
                <w:sz w:val="24"/>
                <w:szCs w:val="24"/>
                <w:lang w:val="en-US" w:eastAsia="zh-CN"/>
              </w:rPr>
              <w:t>综上，本项目事故水量最大为</w:t>
            </w:r>
            <w:r>
              <w:rPr>
                <w:rFonts w:hint="eastAsia" w:ascii="Times New Roman" w:hAnsi="Times New Roman" w:eastAsia="宋体" w:cs="Times New Roman"/>
                <w:color w:val="000000"/>
                <w:kern w:val="0"/>
                <w:sz w:val="24"/>
                <w:szCs w:val="24"/>
                <w:lang w:val="en-US" w:eastAsia="zh-CN"/>
              </w:rPr>
              <w:t>29</w:t>
            </w:r>
            <w:r>
              <w:rPr>
                <w:rFonts w:hint="default" w:ascii="Times New Roman" w:hAnsi="Times New Roman" w:eastAsia="宋体" w:cs="Times New Roman"/>
                <w:color w:val="000000"/>
                <w:kern w:val="0"/>
                <w:sz w:val="24"/>
                <w:szCs w:val="24"/>
                <w:lang w:val="en-US" w:eastAsia="zh-CN"/>
              </w:rPr>
              <w:t>.1m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，企业拟设置容积为</w:t>
            </w:r>
            <w:r>
              <w:rPr>
                <w:rFonts w:hint="eastAsia" w:ascii="Times New Roman" w:hAnsi="Times New Roman" w:eastAsia="宋体" w:cs="Times New Roman"/>
                <w:color w:val="000000"/>
                <w:kern w:val="0"/>
                <w:sz w:val="24"/>
                <w:szCs w:val="24"/>
                <w:lang w:val="en-US" w:eastAsia="zh-CN"/>
              </w:rPr>
              <w:t>5</w:t>
            </w:r>
            <w:r>
              <w:rPr>
                <w:rFonts w:hint="default" w:ascii="Times New Roman" w:hAnsi="Times New Roman" w:eastAsia="宋体" w:cs="Times New Roman"/>
                <w:color w:val="000000"/>
                <w:kern w:val="0"/>
                <w:sz w:val="24"/>
                <w:szCs w:val="24"/>
                <w:lang w:val="en-US" w:eastAsia="zh-CN"/>
              </w:rPr>
              <w:t>0m</w:t>
            </w:r>
            <w:r>
              <w:rPr>
                <w:rFonts w:hint="default" w:ascii="Times New Roman" w:hAnsi="Times New Roman" w:eastAsia="宋体" w:cs="Times New Roman"/>
                <w:color w:val="000000"/>
                <w:kern w:val="0"/>
                <w:sz w:val="24"/>
                <w:szCs w:val="24"/>
                <w:vertAlign w:val="superscript"/>
                <w:lang w:val="en-US" w:eastAsia="zh-CN"/>
              </w:rPr>
              <w:t>3</w:t>
            </w:r>
            <w:r>
              <w:rPr>
                <w:rFonts w:hint="default" w:ascii="Times New Roman" w:hAnsi="Times New Roman" w:eastAsia="宋体" w:cs="Times New Roman"/>
                <w:color w:val="000000"/>
                <w:kern w:val="0"/>
                <w:sz w:val="24"/>
                <w:szCs w:val="24"/>
                <w:lang w:val="en-US" w:eastAsia="zh-CN"/>
              </w:rPr>
              <w:t>的</w:t>
            </w:r>
            <w:r>
              <w:rPr>
                <w:rFonts w:hint="eastAsia" w:ascii="Times New Roman" w:hAnsi="Times New Roman" w:eastAsia="宋体" w:cs="Times New Roman"/>
                <w:color w:val="000000"/>
                <w:kern w:val="0"/>
                <w:sz w:val="24"/>
                <w:szCs w:val="24"/>
                <w:lang w:val="en-US" w:eastAsia="zh-CN"/>
              </w:rPr>
              <w:t>消防</w:t>
            </w:r>
            <w:r>
              <w:rPr>
                <w:rFonts w:hint="default" w:ascii="Times New Roman" w:hAnsi="Times New Roman" w:eastAsia="宋体" w:cs="Times New Roman"/>
                <w:color w:val="000000"/>
                <w:kern w:val="0"/>
                <w:sz w:val="24"/>
                <w:szCs w:val="24"/>
                <w:lang w:val="en-US" w:eastAsia="zh-CN"/>
              </w:rPr>
              <w:t>事故池，可以满足本次风险评价单元事故废水防控的要求。</w:t>
            </w:r>
          </w:p>
          <w:p>
            <w:pPr>
              <w:keepNext w:val="0"/>
              <w:keepLines w:val="0"/>
              <w:pageBreakBefore w:val="0"/>
              <w:widowControl w:val="0"/>
              <w:kinsoku/>
              <w:overflowPunct/>
              <w:topLinePunct w:val="0"/>
              <w:autoSpaceDE/>
              <w:autoSpaceDN/>
              <w:bidi w:val="0"/>
              <w:adjustRightInd w:val="0"/>
              <w:snapToGrid w:val="0"/>
              <w:spacing w:line="520" w:lineRule="exact"/>
              <w:ind w:firstLine="482" w:firstLineChars="200"/>
              <w:jc w:val="left"/>
              <w:textAlignment w:val="auto"/>
              <w:rPr>
                <w:rFonts w:hint="default" w:eastAsia="宋体"/>
                <w:b/>
                <w:color w:val="000000"/>
                <w:sz w:val="24"/>
                <w:szCs w:val="24"/>
                <w:lang w:val="en-US" w:eastAsia="zh-CN"/>
              </w:rPr>
            </w:pPr>
            <w:r>
              <w:rPr>
                <w:rFonts w:hint="eastAsia"/>
                <w:b/>
                <w:color w:val="000000"/>
                <w:sz w:val="24"/>
                <w:szCs w:val="24"/>
              </w:rPr>
              <w:t>八、</w:t>
            </w:r>
            <w:r>
              <w:rPr>
                <w:rFonts w:hint="eastAsia"/>
                <w:b/>
                <w:color w:val="000000"/>
                <w:sz w:val="24"/>
                <w:szCs w:val="24"/>
                <w:lang w:val="en-US" w:eastAsia="zh-CN"/>
              </w:rPr>
              <w:t>电磁辐射</w:t>
            </w: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r>
              <w:rPr>
                <w:rFonts w:hint="default" w:ascii="Times New Roman" w:hAnsi="Times New Roman" w:eastAsia="宋体" w:cs="Times New Roman"/>
                <w:bCs/>
                <w:sz w:val="24"/>
                <w:lang w:val="en-US" w:eastAsia="zh-CN"/>
              </w:rPr>
              <w:t>本项目不涉及电磁辐射影响</w:t>
            </w:r>
            <w:r>
              <w:rPr>
                <w:rFonts w:hint="eastAsia" w:cs="Times New Roman"/>
                <w:bCs/>
                <w:sz w:val="24"/>
                <w:lang w:val="en-US" w:eastAsia="zh-CN"/>
              </w:rPr>
              <w:t>。</w:t>
            </w: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rFonts w:hint="eastAsia" w:cs="Times New Roman"/>
                <w:bCs/>
                <w:sz w:val="24"/>
                <w:lang w:val="en-US" w:eastAsia="zh-CN"/>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color w:val="000000"/>
                <w:sz w:val="24"/>
                <w:szCs w:val="24"/>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color w:val="000000"/>
                <w:sz w:val="24"/>
                <w:szCs w:val="24"/>
              </w:rPr>
            </w:pPr>
          </w:p>
          <w:p>
            <w:pPr>
              <w:keepNext w:val="0"/>
              <w:keepLines w:val="0"/>
              <w:pageBreakBefore w:val="0"/>
              <w:widowControl w:val="0"/>
              <w:kinsoku/>
              <w:overflowPunct/>
              <w:topLinePunct w:val="0"/>
              <w:autoSpaceDE/>
              <w:autoSpaceDN/>
              <w:bidi w:val="0"/>
              <w:adjustRightInd w:val="0"/>
              <w:snapToGrid w:val="0"/>
              <w:spacing w:line="520" w:lineRule="exact"/>
              <w:ind w:firstLine="480" w:firstLineChars="200"/>
              <w:jc w:val="left"/>
              <w:textAlignment w:val="auto"/>
              <w:rPr>
                <w:color w:val="000000"/>
                <w:sz w:val="24"/>
                <w:szCs w:val="24"/>
              </w:rPr>
            </w:pPr>
          </w:p>
          <w:p>
            <w:pPr>
              <w:adjustRightInd w:val="0"/>
              <w:snapToGrid w:val="0"/>
              <w:spacing w:line="440" w:lineRule="exact"/>
              <w:ind w:firstLine="480" w:firstLineChars="200"/>
              <w:jc w:val="left"/>
              <w:rPr>
                <w:color w:val="000000"/>
                <w:sz w:val="24"/>
                <w:szCs w:val="24"/>
              </w:rPr>
            </w:pPr>
          </w:p>
        </w:tc>
      </w:tr>
    </w:tbl>
    <w:p>
      <w:pPr>
        <w:adjustRightInd w:val="0"/>
        <w:snapToGrid w:val="0"/>
        <w:jc w:val="left"/>
        <w:rPr>
          <w:rFonts w:hint="eastAsia"/>
          <w:b/>
          <w:color w:val="000000"/>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黑体" w:hAnsi="黑体" w:eastAsia="黑体" w:cs="黑体"/>
          <w:b w:val="0"/>
          <w:bCs/>
          <w:color w:val="000000"/>
          <w:sz w:val="30"/>
          <w:szCs w:val="30"/>
        </w:rPr>
      </w:pPr>
      <w:r>
        <w:rPr>
          <w:rFonts w:hint="eastAsia" w:ascii="黑体" w:hAnsi="黑体" w:eastAsia="黑体" w:cs="黑体"/>
          <w:b w:val="0"/>
          <w:bCs/>
          <w:color w:val="000000"/>
          <w:sz w:val="30"/>
          <w:szCs w:val="30"/>
        </w:rPr>
        <w:t>五、</w:t>
      </w:r>
      <w:bookmarkStart w:id="2" w:name="_Hlk54167917"/>
      <w:r>
        <w:rPr>
          <w:rFonts w:hint="eastAsia" w:ascii="黑体" w:hAnsi="黑体" w:eastAsia="黑体" w:cs="黑体"/>
          <w:b w:val="0"/>
          <w:bCs/>
          <w:color w:val="000000"/>
          <w:sz w:val="30"/>
          <w:szCs w:val="30"/>
        </w:rPr>
        <w:t>环境保护措施监督检查清单</w:t>
      </w:r>
      <w:bookmarkEnd w:id="2"/>
    </w:p>
    <w:tbl>
      <w:tblPr>
        <w:tblStyle w:val="25"/>
        <w:tblW w:w="86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03"/>
        <w:gridCol w:w="1458"/>
        <w:gridCol w:w="1317"/>
        <w:gridCol w:w="2034"/>
        <w:gridCol w:w="2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1203" w:type="dxa"/>
            <w:tcBorders>
              <w:tl2br w:val="single" w:color="auto" w:sz="4" w:space="0"/>
            </w:tcBorders>
          </w:tcPr>
          <w:p>
            <w:pPr>
              <w:adjustRightInd w:val="0"/>
              <w:snapToGrid w:val="0"/>
              <w:jc w:val="left"/>
              <w:rPr>
                <w:sz w:val="24"/>
                <w:szCs w:val="24"/>
              </w:rPr>
            </w:pPr>
            <w:r>
              <w:rPr>
                <w:rFonts w:hint="eastAsia" w:hAnsi="宋体"/>
                <w:sz w:val="24"/>
                <w:szCs w:val="24"/>
              </w:rPr>
              <w:t xml:space="preserve"> </w:t>
            </w:r>
            <w:r>
              <w:rPr>
                <w:rFonts w:hint="eastAsia" w:hAnsi="宋体"/>
                <w:sz w:val="24"/>
                <w:szCs w:val="24"/>
                <w:lang w:val="en-US" w:eastAsia="zh-CN"/>
              </w:rPr>
              <w:t xml:space="preserve">  </w:t>
            </w:r>
            <w:r>
              <w:rPr>
                <w:rFonts w:hAnsi="宋体"/>
                <w:sz w:val="24"/>
                <w:szCs w:val="24"/>
              </w:rPr>
              <w:t>内容</w:t>
            </w:r>
          </w:p>
          <w:p>
            <w:pPr>
              <w:adjustRightInd w:val="0"/>
              <w:snapToGrid w:val="0"/>
              <w:rPr>
                <w:rFonts w:hAnsi="宋体"/>
                <w:sz w:val="24"/>
                <w:szCs w:val="24"/>
              </w:rPr>
            </w:pPr>
          </w:p>
          <w:p>
            <w:pPr>
              <w:adjustRightInd w:val="0"/>
              <w:snapToGrid w:val="0"/>
              <w:rPr>
                <w:sz w:val="24"/>
                <w:szCs w:val="24"/>
              </w:rPr>
            </w:pPr>
            <w:r>
              <w:rPr>
                <w:rFonts w:hAnsi="宋体"/>
                <w:sz w:val="24"/>
                <w:szCs w:val="24"/>
              </w:rPr>
              <w:t>要素</w:t>
            </w:r>
          </w:p>
        </w:tc>
        <w:tc>
          <w:tcPr>
            <w:tcW w:w="1458" w:type="dxa"/>
            <w:tcBorders>
              <w:bottom w:val="single" w:color="auto" w:sz="4" w:space="0"/>
            </w:tcBorders>
            <w:vAlign w:val="center"/>
          </w:tcPr>
          <w:p>
            <w:pPr>
              <w:adjustRightInd w:val="0"/>
              <w:snapToGrid w:val="0"/>
              <w:jc w:val="center"/>
              <w:rPr>
                <w:sz w:val="24"/>
                <w:szCs w:val="24"/>
              </w:rPr>
            </w:pPr>
            <w:r>
              <w:rPr>
                <w:rFonts w:hAnsi="宋体"/>
                <w:sz w:val="24"/>
                <w:szCs w:val="24"/>
              </w:rPr>
              <w:t>排放口</w:t>
            </w:r>
            <w:r>
              <w:rPr>
                <w:sz w:val="24"/>
                <w:szCs w:val="24"/>
              </w:rPr>
              <w:t>(</w:t>
            </w:r>
            <w:r>
              <w:rPr>
                <w:rFonts w:hAnsi="宋体"/>
                <w:sz w:val="24"/>
                <w:szCs w:val="24"/>
              </w:rPr>
              <w:t>编号、名称</w:t>
            </w:r>
            <w:r>
              <w:rPr>
                <w:sz w:val="24"/>
                <w:szCs w:val="24"/>
              </w:rPr>
              <w:t>)/</w:t>
            </w:r>
            <w:r>
              <w:rPr>
                <w:rFonts w:hAnsi="宋体"/>
                <w:sz w:val="24"/>
                <w:szCs w:val="24"/>
              </w:rPr>
              <w:t>污染源</w:t>
            </w:r>
          </w:p>
        </w:tc>
        <w:tc>
          <w:tcPr>
            <w:tcW w:w="1317" w:type="dxa"/>
            <w:tcBorders>
              <w:bottom w:val="single" w:color="auto" w:sz="4" w:space="0"/>
            </w:tcBorders>
            <w:vAlign w:val="center"/>
          </w:tcPr>
          <w:p>
            <w:pPr>
              <w:adjustRightInd w:val="0"/>
              <w:snapToGrid w:val="0"/>
              <w:jc w:val="center"/>
              <w:rPr>
                <w:sz w:val="24"/>
                <w:szCs w:val="24"/>
              </w:rPr>
            </w:pPr>
            <w:r>
              <w:rPr>
                <w:rFonts w:hAnsi="宋体"/>
                <w:sz w:val="24"/>
                <w:szCs w:val="24"/>
              </w:rPr>
              <w:t>污染物项目</w:t>
            </w:r>
          </w:p>
        </w:tc>
        <w:tc>
          <w:tcPr>
            <w:tcW w:w="2034" w:type="dxa"/>
            <w:tcBorders>
              <w:bottom w:val="single" w:color="auto" w:sz="4" w:space="0"/>
            </w:tcBorders>
            <w:vAlign w:val="center"/>
          </w:tcPr>
          <w:p>
            <w:pPr>
              <w:adjustRightInd w:val="0"/>
              <w:snapToGrid w:val="0"/>
              <w:jc w:val="center"/>
              <w:rPr>
                <w:sz w:val="24"/>
                <w:szCs w:val="24"/>
              </w:rPr>
            </w:pPr>
            <w:r>
              <w:rPr>
                <w:rFonts w:hAnsi="宋体"/>
                <w:sz w:val="24"/>
                <w:szCs w:val="24"/>
              </w:rPr>
              <w:t>环境保护措施</w:t>
            </w:r>
          </w:p>
        </w:tc>
        <w:tc>
          <w:tcPr>
            <w:tcW w:w="2607" w:type="dxa"/>
            <w:tcBorders>
              <w:bottom w:val="single" w:color="auto" w:sz="4" w:space="0"/>
            </w:tcBorders>
            <w:vAlign w:val="center"/>
          </w:tcPr>
          <w:p>
            <w:pPr>
              <w:adjustRightInd w:val="0"/>
              <w:snapToGrid w:val="0"/>
              <w:jc w:val="center"/>
              <w:rPr>
                <w:sz w:val="24"/>
                <w:szCs w:val="24"/>
              </w:rPr>
            </w:pPr>
            <w:r>
              <w:rPr>
                <w:rFonts w:hAnsi="宋体"/>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9" w:hRule="atLeast"/>
          <w:jc w:val="center"/>
        </w:trPr>
        <w:tc>
          <w:tcPr>
            <w:tcW w:w="1203" w:type="dxa"/>
            <w:vAlign w:val="center"/>
          </w:tcPr>
          <w:p>
            <w:pPr>
              <w:adjustRightInd w:val="0"/>
              <w:snapToGrid w:val="0"/>
              <w:jc w:val="center"/>
              <w:rPr>
                <w:sz w:val="24"/>
                <w:szCs w:val="24"/>
              </w:rPr>
            </w:pPr>
            <w:r>
              <w:rPr>
                <w:rFonts w:hAnsi="宋体"/>
                <w:sz w:val="24"/>
                <w:szCs w:val="24"/>
              </w:rPr>
              <w:t>大气环境</w:t>
            </w:r>
          </w:p>
        </w:tc>
        <w:tc>
          <w:tcPr>
            <w:tcW w:w="1458" w:type="dxa"/>
            <w:tcBorders>
              <w:top w:val="single" w:color="auto" w:sz="4" w:space="0"/>
            </w:tcBorders>
            <w:vAlign w:val="center"/>
          </w:tcPr>
          <w:p>
            <w:pPr>
              <w:adjustRightInd w:val="0"/>
              <w:snapToGrid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DA001</w:t>
            </w:r>
          </w:p>
        </w:tc>
        <w:tc>
          <w:tcPr>
            <w:tcW w:w="1317" w:type="dxa"/>
            <w:tcBorders>
              <w:top w:val="single" w:color="auto" w:sz="4" w:space="0"/>
            </w:tcBorders>
            <w:vAlign w:val="center"/>
          </w:tcPr>
          <w:p>
            <w:pPr>
              <w:adjustRightInd w:val="0"/>
              <w:snapToGrid w:val="0"/>
              <w:jc w:val="center"/>
              <w:rPr>
                <w:sz w:val="24"/>
                <w:szCs w:val="24"/>
              </w:rPr>
            </w:pPr>
            <w:r>
              <w:rPr>
                <w:rFonts w:hint="eastAsia"/>
                <w:sz w:val="24"/>
                <w:szCs w:val="24"/>
              </w:rPr>
              <w:t>非甲烷总烃</w:t>
            </w:r>
          </w:p>
        </w:tc>
        <w:tc>
          <w:tcPr>
            <w:tcW w:w="2034" w:type="dxa"/>
            <w:tcBorders>
              <w:top w:val="single" w:color="auto" w:sz="4" w:space="0"/>
            </w:tcBorders>
            <w:vAlign w:val="center"/>
          </w:tcPr>
          <w:p>
            <w:pPr>
              <w:jc w:val="center"/>
              <w:rPr>
                <w:sz w:val="24"/>
                <w:szCs w:val="24"/>
              </w:rPr>
            </w:pPr>
            <w:r>
              <w:rPr>
                <w:rFonts w:hint="eastAsia"/>
                <w:color w:val="000000"/>
                <w:kern w:val="24"/>
                <w:sz w:val="24"/>
                <w:szCs w:val="24"/>
                <w:lang w:val="en-US" w:eastAsia="zh-CN"/>
              </w:rPr>
              <w:t>负压收集+活性炭吸附</w:t>
            </w:r>
            <w:r>
              <w:rPr>
                <w:color w:val="000000"/>
                <w:kern w:val="24"/>
                <w:sz w:val="24"/>
                <w:szCs w:val="24"/>
              </w:rPr>
              <w:t>+15m高排气筒排放</w:t>
            </w:r>
          </w:p>
        </w:tc>
        <w:tc>
          <w:tcPr>
            <w:tcW w:w="2607" w:type="dxa"/>
            <w:tcBorders>
              <w:top w:val="single" w:color="auto" w:sz="4" w:space="0"/>
            </w:tcBorders>
            <w:vAlign w:val="center"/>
          </w:tcPr>
          <w:p>
            <w:pPr>
              <w:jc w:val="center"/>
              <w:rPr>
                <w:sz w:val="24"/>
                <w:szCs w:val="24"/>
              </w:rPr>
            </w:pPr>
            <w:r>
              <w:rPr>
                <w:rFonts w:hint="eastAsia"/>
                <w:sz w:val="24"/>
                <w:szCs w:val="24"/>
              </w:rPr>
              <w:t>《大气污染物综合排放标准》（GB16297-1996）；</w:t>
            </w:r>
            <w:r>
              <w:rPr>
                <w:sz w:val="24"/>
                <w:szCs w:val="24"/>
              </w:rPr>
              <w:t>《关于全省开展工业企业挥发性有机物专项治理工作中排放建议值的通知》（豫环攻坚办[2017]162号）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203" w:type="dxa"/>
            <w:vAlign w:val="center"/>
          </w:tcPr>
          <w:p>
            <w:pPr>
              <w:adjustRightInd w:val="0"/>
              <w:snapToGrid w:val="0"/>
              <w:jc w:val="center"/>
              <w:rPr>
                <w:sz w:val="24"/>
                <w:szCs w:val="24"/>
              </w:rPr>
            </w:pPr>
            <w:r>
              <w:rPr>
                <w:rFonts w:hAnsi="宋体"/>
                <w:sz w:val="24"/>
                <w:szCs w:val="24"/>
              </w:rPr>
              <w:t>地表水环境</w:t>
            </w:r>
          </w:p>
        </w:tc>
        <w:tc>
          <w:tcPr>
            <w:tcW w:w="1458" w:type="dxa"/>
            <w:tcBorders>
              <w:top w:val="single" w:color="auto" w:sz="4" w:space="0"/>
            </w:tcBorders>
            <w:vAlign w:val="center"/>
          </w:tcPr>
          <w:p>
            <w:pPr>
              <w:adjustRightInd w:val="0"/>
              <w:snapToGrid w:val="0"/>
              <w:jc w:val="cente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DW001</w:t>
            </w:r>
          </w:p>
        </w:tc>
        <w:tc>
          <w:tcPr>
            <w:tcW w:w="1317" w:type="dxa"/>
            <w:tcBorders>
              <w:top w:val="single" w:color="auto" w:sz="4" w:space="0"/>
            </w:tcBorders>
            <w:vAlign w:val="center"/>
          </w:tcPr>
          <w:p>
            <w:pPr>
              <w:adjustRightInd w:val="0"/>
              <w:snapToGrid w:val="0"/>
              <w:jc w:val="center"/>
              <w:rPr>
                <w:sz w:val="24"/>
                <w:szCs w:val="24"/>
              </w:rPr>
            </w:pPr>
            <w:r>
              <w:rPr>
                <w:rFonts w:hint="eastAsia"/>
                <w:sz w:val="24"/>
                <w:szCs w:val="24"/>
              </w:rPr>
              <w:t>COD</w:t>
            </w:r>
          </w:p>
          <w:p>
            <w:pPr>
              <w:adjustRightInd w:val="0"/>
              <w:snapToGrid w:val="0"/>
              <w:jc w:val="center"/>
              <w:rPr>
                <w:sz w:val="24"/>
                <w:szCs w:val="24"/>
              </w:rPr>
            </w:pPr>
            <w:r>
              <w:rPr>
                <w:rFonts w:hint="eastAsia"/>
                <w:sz w:val="24"/>
                <w:szCs w:val="24"/>
              </w:rPr>
              <w:t>SS</w:t>
            </w:r>
          </w:p>
          <w:p>
            <w:pPr>
              <w:adjustRightInd w:val="0"/>
              <w:snapToGrid w:val="0"/>
              <w:jc w:val="center"/>
              <w:rPr>
                <w:sz w:val="24"/>
                <w:szCs w:val="24"/>
              </w:rPr>
            </w:pPr>
            <w:r>
              <w:rPr>
                <w:sz w:val="24"/>
                <w:szCs w:val="24"/>
              </w:rPr>
              <w:t>NH</w:t>
            </w:r>
            <w:r>
              <w:rPr>
                <w:sz w:val="24"/>
                <w:szCs w:val="24"/>
                <w:vertAlign w:val="subscript"/>
              </w:rPr>
              <w:t>3</w:t>
            </w:r>
            <w:r>
              <w:rPr>
                <w:sz w:val="24"/>
                <w:szCs w:val="24"/>
              </w:rPr>
              <w:t>-N</w:t>
            </w:r>
          </w:p>
          <w:p>
            <w:pPr>
              <w:adjustRightInd w:val="0"/>
              <w:snapToGrid w:val="0"/>
              <w:jc w:val="center"/>
              <w:rPr>
                <w:sz w:val="24"/>
                <w:szCs w:val="24"/>
              </w:rPr>
            </w:pPr>
            <w:r>
              <w:rPr>
                <w:sz w:val="24"/>
                <w:szCs w:val="24"/>
              </w:rPr>
              <w:t>TN</w:t>
            </w:r>
          </w:p>
          <w:p>
            <w:pPr>
              <w:adjustRightInd w:val="0"/>
              <w:snapToGrid w:val="0"/>
              <w:jc w:val="center"/>
              <w:rPr>
                <w:sz w:val="24"/>
                <w:szCs w:val="24"/>
              </w:rPr>
            </w:pPr>
            <w:r>
              <w:rPr>
                <w:sz w:val="24"/>
                <w:szCs w:val="24"/>
              </w:rPr>
              <w:t>TP</w:t>
            </w:r>
          </w:p>
        </w:tc>
        <w:tc>
          <w:tcPr>
            <w:tcW w:w="2034" w:type="dxa"/>
            <w:tcBorders>
              <w:top w:val="single" w:color="auto" w:sz="4" w:space="0"/>
            </w:tcBorders>
            <w:vAlign w:val="center"/>
          </w:tcPr>
          <w:p>
            <w:pPr>
              <w:adjustRightInd w:val="0"/>
              <w:snapToGrid w:val="0"/>
              <w:jc w:val="center"/>
              <w:rPr>
                <w:sz w:val="24"/>
                <w:szCs w:val="24"/>
              </w:rPr>
            </w:pPr>
            <w:r>
              <w:rPr>
                <w:rFonts w:hint="eastAsia"/>
                <w:bCs/>
                <w:sz w:val="24"/>
                <w:szCs w:val="24"/>
              </w:rPr>
              <w:t>前期生活污水经化粪池处理后，定期清运，待管网接通后，通入大块镇</w:t>
            </w:r>
            <w:r>
              <w:rPr>
                <w:bCs/>
                <w:sz w:val="24"/>
                <w:szCs w:val="24"/>
              </w:rPr>
              <w:t>污水处理厂进一步处理</w:t>
            </w:r>
          </w:p>
        </w:tc>
        <w:tc>
          <w:tcPr>
            <w:tcW w:w="2607" w:type="dxa"/>
            <w:tcBorders>
              <w:top w:val="single" w:color="auto" w:sz="4" w:space="0"/>
            </w:tcBorders>
            <w:vAlign w:val="center"/>
          </w:tcPr>
          <w:p>
            <w:pPr>
              <w:adjustRightInd w:val="0"/>
              <w:snapToGrid w:val="0"/>
              <w:jc w:val="center"/>
              <w:rPr>
                <w:sz w:val="24"/>
                <w:szCs w:val="24"/>
              </w:rPr>
            </w:pPr>
            <w:r>
              <w:rPr>
                <w:rFonts w:hint="eastAsia"/>
                <w:bCs/>
                <w:sz w:val="24"/>
                <w:szCs w:val="24"/>
              </w:rPr>
              <w:t>大块镇</w:t>
            </w:r>
            <w:r>
              <w:rPr>
                <w:bCs/>
                <w:sz w:val="24"/>
                <w:szCs w:val="24"/>
              </w:rPr>
              <w:t>污水处理厂</w:t>
            </w:r>
            <w:r>
              <w:rPr>
                <w:sz w:val="24"/>
                <w:szCs w:val="24"/>
              </w:rPr>
              <w:t>收水</w:t>
            </w:r>
            <w:r>
              <w:rPr>
                <w:rFonts w:hint="eastAsia"/>
                <w:sz w:val="24"/>
                <w:szCs w:val="24"/>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3" w:hRule="atLeast"/>
          <w:jc w:val="center"/>
        </w:trPr>
        <w:tc>
          <w:tcPr>
            <w:tcW w:w="1203" w:type="dxa"/>
            <w:vAlign w:val="center"/>
          </w:tcPr>
          <w:p>
            <w:pPr>
              <w:adjustRightInd w:val="0"/>
              <w:snapToGrid w:val="0"/>
              <w:jc w:val="center"/>
              <w:rPr>
                <w:sz w:val="24"/>
                <w:szCs w:val="24"/>
              </w:rPr>
            </w:pPr>
            <w:r>
              <w:rPr>
                <w:rFonts w:hAnsi="宋体"/>
                <w:sz w:val="24"/>
                <w:szCs w:val="24"/>
              </w:rPr>
              <w:t>声环境</w:t>
            </w:r>
          </w:p>
        </w:tc>
        <w:tc>
          <w:tcPr>
            <w:tcW w:w="1458" w:type="dxa"/>
            <w:vAlign w:val="center"/>
          </w:tcPr>
          <w:p>
            <w:pPr>
              <w:adjustRightInd w:val="0"/>
              <w:snapToGrid w:val="0"/>
              <w:jc w:val="center"/>
              <w:rPr>
                <w:sz w:val="24"/>
                <w:szCs w:val="24"/>
              </w:rPr>
            </w:pPr>
            <w:r>
              <w:rPr>
                <w:rFonts w:hint="eastAsia"/>
                <w:color w:val="000000"/>
                <w:sz w:val="24"/>
                <w:szCs w:val="24"/>
                <w:lang w:val="en-US" w:eastAsia="zh-CN"/>
              </w:rPr>
              <w:t>风机、叉车</w:t>
            </w:r>
            <w:r>
              <w:rPr>
                <w:color w:val="000000"/>
                <w:sz w:val="24"/>
                <w:szCs w:val="24"/>
              </w:rPr>
              <w:t>等</w:t>
            </w:r>
            <w:r>
              <w:rPr>
                <w:rFonts w:hint="eastAsia"/>
                <w:color w:val="000000"/>
                <w:sz w:val="24"/>
                <w:szCs w:val="24"/>
              </w:rPr>
              <w:t>设备</w:t>
            </w:r>
          </w:p>
        </w:tc>
        <w:tc>
          <w:tcPr>
            <w:tcW w:w="1317" w:type="dxa"/>
            <w:vAlign w:val="center"/>
          </w:tcPr>
          <w:p>
            <w:pPr>
              <w:adjustRightInd w:val="0"/>
              <w:snapToGrid w:val="0"/>
              <w:jc w:val="center"/>
              <w:rPr>
                <w:sz w:val="24"/>
                <w:szCs w:val="24"/>
              </w:rPr>
            </w:pPr>
            <w:r>
              <w:rPr>
                <w:rFonts w:hAnsi="宋体"/>
                <w:sz w:val="24"/>
                <w:szCs w:val="24"/>
              </w:rPr>
              <w:t>噪声</w:t>
            </w:r>
          </w:p>
        </w:tc>
        <w:tc>
          <w:tcPr>
            <w:tcW w:w="2034" w:type="dxa"/>
            <w:vAlign w:val="center"/>
          </w:tcPr>
          <w:p>
            <w:pPr>
              <w:adjustRightInd w:val="0"/>
              <w:snapToGrid w:val="0"/>
              <w:jc w:val="center"/>
              <w:rPr>
                <w:sz w:val="24"/>
                <w:szCs w:val="24"/>
              </w:rPr>
            </w:pPr>
            <w:r>
              <w:rPr>
                <w:rFonts w:hint="eastAsia"/>
                <w:bCs/>
                <w:color w:val="000000"/>
                <w:sz w:val="24"/>
                <w:szCs w:val="24"/>
              </w:rPr>
              <w:t>厂房密闭</w:t>
            </w:r>
            <w:r>
              <w:rPr>
                <w:color w:val="000000"/>
                <w:sz w:val="24"/>
                <w:szCs w:val="24"/>
              </w:rPr>
              <w:t>隔音、距离衰减</w:t>
            </w:r>
          </w:p>
        </w:tc>
        <w:tc>
          <w:tcPr>
            <w:tcW w:w="2607" w:type="dxa"/>
            <w:vAlign w:val="center"/>
          </w:tcPr>
          <w:p>
            <w:pPr>
              <w:adjustRightInd w:val="0"/>
              <w:snapToGrid w:val="0"/>
              <w:jc w:val="center"/>
              <w:rPr>
                <w:sz w:val="24"/>
                <w:szCs w:val="24"/>
              </w:rPr>
            </w:pPr>
            <w:r>
              <w:rPr>
                <w:color w:val="000000"/>
                <w:kern w:val="24"/>
                <w:sz w:val="24"/>
                <w:szCs w:val="24"/>
              </w:rPr>
              <w:t>《工业企业厂界环境噪声排放标准》（GB12348-2008）</w:t>
            </w:r>
            <w:r>
              <w:rPr>
                <w:rFonts w:hint="eastAsia"/>
                <w:color w:val="000000"/>
                <w:kern w:val="24"/>
                <w:sz w:val="24"/>
                <w:szCs w:val="24"/>
              </w:rPr>
              <w:t>2</w:t>
            </w:r>
            <w:r>
              <w:rPr>
                <w:color w:val="000000"/>
                <w:kern w:val="24"/>
                <w:sz w:val="24"/>
                <w:szCs w:val="24"/>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1203" w:type="dxa"/>
            <w:vAlign w:val="center"/>
          </w:tcPr>
          <w:p>
            <w:pPr>
              <w:adjustRightInd w:val="0"/>
              <w:snapToGrid w:val="0"/>
              <w:jc w:val="center"/>
              <w:rPr>
                <w:sz w:val="24"/>
                <w:szCs w:val="24"/>
              </w:rPr>
            </w:pPr>
            <w:r>
              <w:rPr>
                <w:rFonts w:hAnsi="宋体"/>
                <w:sz w:val="24"/>
                <w:szCs w:val="24"/>
              </w:rPr>
              <w:t>电磁辐射</w:t>
            </w:r>
          </w:p>
        </w:tc>
        <w:tc>
          <w:tcPr>
            <w:tcW w:w="1458" w:type="dxa"/>
            <w:vAlign w:val="center"/>
          </w:tcPr>
          <w:p>
            <w:pPr>
              <w:adjustRightInd w:val="0"/>
              <w:snapToGrid w:val="0"/>
              <w:jc w:val="center"/>
              <w:rPr>
                <w:sz w:val="24"/>
                <w:szCs w:val="24"/>
              </w:rPr>
            </w:pPr>
            <w:r>
              <w:rPr>
                <w:sz w:val="24"/>
                <w:szCs w:val="24"/>
              </w:rPr>
              <w:t>/</w:t>
            </w:r>
          </w:p>
        </w:tc>
        <w:tc>
          <w:tcPr>
            <w:tcW w:w="1317" w:type="dxa"/>
            <w:vAlign w:val="center"/>
          </w:tcPr>
          <w:p>
            <w:pPr>
              <w:adjustRightInd w:val="0"/>
              <w:snapToGrid w:val="0"/>
              <w:jc w:val="center"/>
              <w:rPr>
                <w:sz w:val="24"/>
                <w:szCs w:val="24"/>
              </w:rPr>
            </w:pPr>
            <w:r>
              <w:rPr>
                <w:sz w:val="24"/>
                <w:szCs w:val="24"/>
              </w:rPr>
              <w:t>/</w:t>
            </w:r>
          </w:p>
        </w:tc>
        <w:tc>
          <w:tcPr>
            <w:tcW w:w="2034" w:type="dxa"/>
            <w:vAlign w:val="center"/>
          </w:tcPr>
          <w:p>
            <w:pPr>
              <w:adjustRightInd w:val="0"/>
              <w:snapToGrid w:val="0"/>
              <w:jc w:val="center"/>
              <w:rPr>
                <w:sz w:val="24"/>
                <w:szCs w:val="24"/>
              </w:rPr>
            </w:pPr>
            <w:r>
              <w:rPr>
                <w:sz w:val="24"/>
                <w:szCs w:val="24"/>
              </w:rPr>
              <w:t>/</w:t>
            </w:r>
          </w:p>
        </w:tc>
        <w:tc>
          <w:tcPr>
            <w:tcW w:w="2607" w:type="dxa"/>
            <w:vAlign w:val="center"/>
          </w:tcPr>
          <w:p>
            <w:pPr>
              <w:adjustRightInd w:val="0"/>
              <w:snapToGrid w:val="0"/>
              <w:jc w:val="center"/>
              <w:rPr>
                <w:sz w:val="24"/>
                <w:szCs w:val="24"/>
              </w:rPr>
            </w:pPr>
            <w:r>
              <w:rPr>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1203" w:type="dxa"/>
            <w:vAlign w:val="center"/>
          </w:tcPr>
          <w:p>
            <w:pPr>
              <w:adjustRightInd w:val="0"/>
              <w:snapToGrid w:val="0"/>
              <w:jc w:val="center"/>
              <w:rPr>
                <w:sz w:val="24"/>
                <w:szCs w:val="24"/>
              </w:rPr>
            </w:pPr>
            <w:r>
              <w:rPr>
                <w:rFonts w:hAnsi="宋体"/>
                <w:sz w:val="24"/>
                <w:szCs w:val="24"/>
              </w:rPr>
              <w:t>固体废物</w:t>
            </w:r>
          </w:p>
        </w:tc>
        <w:tc>
          <w:tcPr>
            <w:tcW w:w="7416" w:type="dxa"/>
            <w:gridSpan w:val="4"/>
            <w:vAlign w:val="center"/>
          </w:tcPr>
          <w:p>
            <w:pPr>
              <w:adjustRightInd w:val="0"/>
              <w:ind w:firstLine="480" w:firstLineChars="200"/>
              <w:textAlignment w:val="baseline"/>
              <w:rPr>
                <w:color w:val="000000"/>
                <w:kern w:val="24"/>
                <w:sz w:val="24"/>
                <w:szCs w:val="24"/>
              </w:rPr>
            </w:pPr>
            <w:r>
              <w:rPr>
                <w:rFonts w:hint="eastAsia"/>
                <w:color w:val="000000"/>
                <w:sz w:val="24"/>
                <w:szCs w:val="24"/>
              </w:rPr>
              <w:t>废活性炭</w:t>
            </w:r>
            <w:r>
              <w:rPr>
                <w:rFonts w:hint="eastAsia"/>
                <w:color w:val="000000"/>
                <w:sz w:val="24"/>
                <w:szCs w:val="24"/>
                <w:lang w:eastAsia="zh-CN"/>
              </w:rPr>
              <w:t>、</w:t>
            </w:r>
            <w:r>
              <w:rPr>
                <w:rFonts w:hint="eastAsia"/>
                <w:color w:val="000000"/>
                <w:sz w:val="24"/>
                <w:szCs w:val="24"/>
                <w:lang w:val="en-US" w:eastAsia="zh-CN"/>
              </w:rPr>
              <w:t>喷淋液、废包装桶/袋</w:t>
            </w:r>
            <w:r>
              <w:rPr>
                <w:rFonts w:hint="eastAsia"/>
                <w:color w:val="000000"/>
                <w:sz w:val="24"/>
                <w:szCs w:val="24"/>
              </w:rPr>
              <w:t>在危废暂存间暂存，定期交由有资质单位处置。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1203" w:type="dxa"/>
            <w:vAlign w:val="center"/>
          </w:tcPr>
          <w:p>
            <w:pPr>
              <w:adjustRightInd w:val="0"/>
              <w:snapToGrid w:val="0"/>
              <w:jc w:val="center"/>
              <w:rPr>
                <w:sz w:val="24"/>
                <w:szCs w:val="24"/>
              </w:rPr>
            </w:pPr>
            <w:r>
              <w:rPr>
                <w:rFonts w:hAnsi="宋体"/>
                <w:sz w:val="24"/>
                <w:szCs w:val="24"/>
              </w:rPr>
              <w:t>土壤及地下水污染防治措施</w:t>
            </w:r>
          </w:p>
        </w:tc>
        <w:tc>
          <w:tcPr>
            <w:tcW w:w="7416" w:type="dxa"/>
            <w:gridSpan w:val="4"/>
            <w:vAlign w:val="center"/>
          </w:tcPr>
          <w:p>
            <w:pPr>
              <w:keepNext w:val="0"/>
              <w:keepLines w:val="0"/>
              <w:pageBreakBefore w:val="0"/>
              <w:widowControl w:val="0"/>
              <w:tabs>
                <w:tab w:val="left" w:pos="6843"/>
              </w:tabs>
              <w:kinsoku/>
              <w:wordWrap/>
              <w:overflowPunct/>
              <w:topLinePunct w:val="0"/>
              <w:autoSpaceDE/>
              <w:autoSpaceDN/>
              <w:bidi w:val="0"/>
              <w:adjustRightInd w:val="0"/>
              <w:snapToGrid w:val="0"/>
              <w:spacing w:line="520" w:lineRule="exact"/>
              <w:ind w:firstLine="480" w:firstLineChars="200"/>
              <w:textAlignment w:val="auto"/>
              <w:rPr>
                <w:sz w:val="24"/>
                <w:szCs w:val="24"/>
              </w:rPr>
            </w:pPr>
            <w:r>
              <w:rPr>
                <w:rFonts w:hint="eastAsia" w:cs="宋体"/>
                <w:sz w:val="24"/>
                <w:szCs w:val="24"/>
                <w:highlight w:val="none"/>
                <w:lang w:val="en-US" w:eastAsia="zh-CN"/>
              </w:rPr>
              <w:t>化粪池进行池低、池壁防渗；危废仓库按照《危险废物贮存污染控制标准》（GB18597-2001）及其2013修改单要求建设，</w:t>
            </w:r>
            <w:r>
              <w:rPr>
                <w:rFonts w:hint="default" w:ascii="Times New Roman" w:hAnsi="Times New Roman" w:eastAsia="宋体" w:cs="Times New Roman"/>
                <w:sz w:val="24"/>
              </w:rPr>
              <w:t>地面采用耐酸水泥+环氧树脂+环氧地坪漆防渗，渗透系数不大于l0</w:t>
            </w:r>
            <w:r>
              <w:rPr>
                <w:rFonts w:hint="default" w:ascii="Times New Roman" w:hAnsi="Times New Roman" w:eastAsia="宋体" w:cs="Times New Roman"/>
                <w:sz w:val="24"/>
                <w:vertAlign w:val="superscript"/>
              </w:rPr>
              <w:t>-7</w:t>
            </w:r>
            <w:r>
              <w:rPr>
                <w:rFonts w:hint="default" w:ascii="Times New Roman" w:hAnsi="Times New Roman" w:eastAsia="宋体" w:cs="Times New Roman"/>
                <w:sz w:val="24"/>
              </w:rPr>
              <w:t>cm/s</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rPr>
              <w:t>事故池及导流沟采用抗渗钢筋混凝土结构，混凝土强度等级不宜小于C30，抗渗等级不应小于P8，且水池和导流沟的内表面应涂刷水泥基渗透结晶型防水涂料，使防渗系统不大于10</w:t>
            </w:r>
            <w:r>
              <w:rPr>
                <w:rFonts w:hint="default" w:ascii="Times New Roman" w:hAnsi="Times New Roman" w:eastAsia="宋体" w:cs="Times New Roman"/>
                <w:sz w:val="24"/>
                <w:vertAlign w:val="superscript"/>
              </w:rPr>
              <w:t>-10</w:t>
            </w:r>
            <w:r>
              <w:rPr>
                <w:rFonts w:hint="default" w:ascii="Times New Roman" w:hAnsi="Times New Roman" w:eastAsia="宋体" w:cs="Times New Roman"/>
                <w:sz w:val="24"/>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203" w:type="dxa"/>
            <w:vAlign w:val="center"/>
          </w:tcPr>
          <w:p>
            <w:pPr>
              <w:adjustRightInd w:val="0"/>
              <w:snapToGrid w:val="0"/>
              <w:jc w:val="center"/>
              <w:rPr>
                <w:sz w:val="24"/>
                <w:szCs w:val="24"/>
              </w:rPr>
            </w:pPr>
            <w:r>
              <w:rPr>
                <w:rFonts w:hAnsi="宋体"/>
                <w:sz w:val="24"/>
                <w:szCs w:val="24"/>
              </w:rPr>
              <w:t>生态保护措施</w:t>
            </w:r>
          </w:p>
        </w:tc>
        <w:tc>
          <w:tcPr>
            <w:tcW w:w="7416" w:type="dxa"/>
            <w:gridSpan w:val="4"/>
            <w:vAlign w:val="center"/>
          </w:tcPr>
          <w:p>
            <w:pPr>
              <w:adjustRightInd w:val="0"/>
              <w:snapToGrid w:val="0"/>
              <w:jc w:val="center"/>
              <w:rPr>
                <w:sz w:val="24"/>
                <w:szCs w:val="24"/>
              </w:rPr>
            </w:pPr>
            <w:r>
              <w:rPr>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1203" w:type="dxa"/>
            <w:vAlign w:val="center"/>
          </w:tcPr>
          <w:p>
            <w:pPr>
              <w:adjustRightInd w:val="0"/>
              <w:snapToGrid w:val="0"/>
              <w:jc w:val="center"/>
              <w:rPr>
                <w:spacing w:val="-8"/>
                <w:sz w:val="24"/>
                <w:szCs w:val="24"/>
              </w:rPr>
            </w:pPr>
            <w:r>
              <w:rPr>
                <w:rFonts w:hAnsi="宋体"/>
                <w:spacing w:val="-8"/>
                <w:sz w:val="24"/>
                <w:szCs w:val="24"/>
              </w:rPr>
              <w:t>环境风险</w:t>
            </w:r>
          </w:p>
          <w:p>
            <w:pPr>
              <w:adjustRightInd w:val="0"/>
              <w:snapToGrid w:val="0"/>
              <w:jc w:val="center"/>
              <w:rPr>
                <w:spacing w:val="-8"/>
                <w:sz w:val="24"/>
                <w:szCs w:val="24"/>
              </w:rPr>
            </w:pPr>
            <w:r>
              <w:rPr>
                <w:rFonts w:hAnsi="宋体"/>
                <w:spacing w:val="-8"/>
                <w:sz w:val="24"/>
                <w:szCs w:val="24"/>
              </w:rPr>
              <w:t>防范措施</w:t>
            </w:r>
          </w:p>
        </w:tc>
        <w:tc>
          <w:tcPr>
            <w:tcW w:w="7416" w:type="dxa"/>
            <w:gridSpan w:val="4"/>
            <w:vAlign w:val="center"/>
          </w:tcPr>
          <w:p>
            <w:pPr>
              <w:spacing w:line="360" w:lineRule="auto"/>
              <w:jc w:val="center"/>
              <w:rPr>
                <w:rFonts w:hint="default"/>
                <w:kern w:val="0"/>
                <w:sz w:val="24"/>
                <w:szCs w:val="24"/>
                <w:lang w:val="en-US"/>
              </w:rPr>
            </w:pPr>
            <w:r>
              <w:rPr>
                <w:rFonts w:hint="eastAsia" w:ascii="Times New Roman" w:hAnsi="Times New Roman" w:eastAsia="宋体" w:cs="Times New Roman"/>
                <w:color w:val="000000"/>
                <w:kern w:val="0"/>
                <w:sz w:val="24"/>
                <w:szCs w:val="24"/>
                <w:lang w:val="en-US" w:eastAsia="zh-CN"/>
              </w:rPr>
              <w:t>总平面布置和</w:t>
            </w:r>
            <w:r>
              <w:rPr>
                <w:rFonts w:hint="default" w:ascii="Times New Roman" w:hAnsi="Times New Roman" w:eastAsia="宋体" w:cs="Times New Roman"/>
                <w:color w:val="000000"/>
                <w:kern w:val="0"/>
                <w:sz w:val="24"/>
                <w:szCs w:val="24"/>
                <w:lang w:val="en-US" w:eastAsia="zh-CN"/>
              </w:rPr>
              <w:t>耐火等级必须符合《建筑设计防火规范》（GB50016-2014）要求</w:t>
            </w:r>
            <w:r>
              <w:rPr>
                <w:rFonts w:hint="eastAsia" w:ascii="Times New Roman" w:hAnsi="Times New Roman" w:eastAsia="宋体" w:cs="Times New Roman"/>
                <w:color w:val="000000"/>
                <w:kern w:val="0"/>
                <w:sz w:val="24"/>
                <w:szCs w:val="24"/>
                <w:lang w:val="en-US" w:eastAsia="zh-CN"/>
              </w:rPr>
              <w:t>，配备应急物资，制定应急预案，建设事故应急池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06" w:hRule="atLeast"/>
          <w:jc w:val="center"/>
        </w:trPr>
        <w:tc>
          <w:tcPr>
            <w:tcW w:w="1203" w:type="dxa"/>
            <w:vAlign w:val="center"/>
          </w:tcPr>
          <w:p>
            <w:pPr>
              <w:adjustRightInd w:val="0"/>
              <w:snapToGrid w:val="0"/>
              <w:jc w:val="center"/>
              <w:rPr>
                <w:rFonts w:ascii="Times New Roman" w:hAnsi="宋体" w:eastAsia="宋体" w:cs="Times New Roman"/>
                <w:spacing w:val="-8"/>
                <w:sz w:val="24"/>
                <w:szCs w:val="24"/>
              </w:rPr>
            </w:pPr>
            <w:r>
              <w:rPr>
                <w:rFonts w:ascii="Times New Roman" w:hAnsi="宋体" w:eastAsia="宋体" w:cs="Times New Roman"/>
                <w:spacing w:val="-8"/>
                <w:sz w:val="24"/>
                <w:szCs w:val="24"/>
              </w:rPr>
              <w:t>其他环境</w:t>
            </w:r>
          </w:p>
          <w:p>
            <w:pPr>
              <w:adjustRightInd w:val="0"/>
              <w:snapToGrid w:val="0"/>
              <w:jc w:val="center"/>
              <w:rPr>
                <w:rFonts w:ascii="Times New Roman" w:hAnsi="宋体" w:eastAsia="宋体" w:cs="Times New Roman"/>
                <w:spacing w:val="-8"/>
                <w:sz w:val="24"/>
                <w:szCs w:val="24"/>
              </w:rPr>
            </w:pPr>
            <w:r>
              <w:rPr>
                <w:rFonts w:ascii="Times New Roman" w:hAnsi="宋体" w:eastAsia="宋体" w:cs="Times New Roman"/>
                <w:spacing w:val="-8"/>
                <w:sz w:val="24"/>
                <w:szCs w:val="24"/>
              </w:rPr>
              <w:t>管理要求</w:t>
            </w:r>
          </w:p>
        </w:tc>
        <w:tc>
          <w:tcPr>
            <w:tcW w:w="7416" w:type="dxa"/>
            <w:gridSpan w:val="4"/>
            <w:vAlign w:val="center"/>
          </w:tcPr>
          <w:p>
            <w:pPr>
              <w:adjustRightInd w:val="0"/>
              <w:snapToGrid w:val="0"/>
              <w:jc w:val="center"/>
              <w:rPr>
                <w:rFonts w:hint="eastAsia" w:ascii="Times New Roman" w:hAnsi="宋体" w:eastAsia="宋体" w:cs="Times New Roman"/>
                <w:spacing w:val="-8"/>
                <w:sz w:val="24"/>
                <w:szCs w:val="24"/>
              </w:rPr>
            </w:pPr>
          </w:p>
          <w:p>
            <w:pPr>
              <w:spacing w:line="360" w:lineRule="auto"/>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总用电处、生产设施、废气处理设施处安装用电监控设施（各1套）；</w:t>
            </w:r>
          </w:p>
          <w:p>
            <w:pPr>
              <w:spacing w:line="360" w:lineRule="auto"/>
              <w:jc w:val="center"/>
              <w:rPr>
                <w:rFonts w:hint="eastAsia" w:ascii="Times New Roman" w:hAnsi="Times New Roman" w:eastAsia="宋体" w:cs="Times New Roman"/>
                <w:color w:val="000000"/>
                <w:kern w:val="0"/>
                <w:sz w:val="24"/>
                <w:szCs w:val="24"/>
                <w:lang w:val="en-US" w:eastAsia="zh-CN"/>
              </w:rPr>
            </w:pPr>
            <w:r>
              <w:rPr>
                <w:rFonts w:hint="eastAsia" w:ascii="Times New Roman" w:hAnsi="Times New Roman" w:eastAsia="宋体" w:cs="Times New Roman"/>
                <w:color w:val="000000"/>
                <w:kern w:val="0"/>
                <w:sz w:val="24"/>
                <w:szCs w:val="24"/>
                <w:lang w:val="en-US" w:eastAsia="zh-CN"/>
              </w:rPr>
              <w:t>按照要求在废气排气筒排放口、监测取样处安装视频监控（各1套）。</w:t>
            </w:r>
          </w:p>
          <w:p>
            <w:pPr>
              <w:adjustRightInd w:val="0"/>
              <w:snapToGrid w:val="0"/>
              <w:jc w:val="center"/>
              <w:rPr>
                <w:rFonts w:ascii="Times New Roman" w:hAnsi="宋体" w:eastAsia="宋体" w:cs="Times New Roman"/>
                <w:spacing w:val="-8"/>
                <w:sz w:val="24"/>
                <w:szCs w:val="24"/>
              </w:rPr>
            </w:pPr>
          </w:p>
        </w:tc>
      </w:tr>
    </w:tbl>
    <w:p>
      <w:pPr>
        <w:keepNext w:val="0"/>
        <w:keepLines w:val="0"/>
        <w:pageBreakBefore w:val="0"/>
        <w:widowControl w:val="0"/>
        <w:kinsoku/>
        <w:wordWrap/>
        <w:overflowPunct/>
        <w:topLinePunct w:val="0"/>
        <w:autoSpaceDE/>
        <w:autoSpaceDN/>
        <w:bidi w:val="0"/>
        <w:adjustRightInd w:val="0"/>
        <w:snapToGrid w:val="0"/>
        <w:spacing w:before="157" w:beforeLines="50" w:after="157" w:afterLines="50"/>
        <w:jc w:val="center"/>
        <w:textAlignment w:val="auto"/>
        <w:rPr>
          <w:rFonts w:hint="eastAsia" w:ascii="黑体" w:hAnsi="黑体" w:eastAsia="黑体" w:cs="黑体"/>
          <w:b w:val="0"/>
          <w:bCs/>
          <w:color w:val="000000"/>
          <w:sz w:val="30"/>
          <w:szCs w:val="30"/>
        </w:rPr>
      </w:pPr>
      <w:r>
        <w:rPr>
          <w:rFonts w:hint="eastAsia" w:ascii="黑体" w:hAnsi="黑体" w:eastAsia="黑体" w:cs="黑体"/>
          <w:b w:val="0"/>
          <w:bCs/>
          <w:color w:val="000000"/>
          <w:sz w:val="30"/>
          <w:szCs w:val="30"/>
        </w:rPr>
        <w:drawing>
          <wp:anchor distT="0" distB="0" distL="114300" distR="114300" simplePos="0" relativeHeight="251669504" behindDoc="0" locked="0" layoutInCell="1" allowOverlap="1">
            <wp:simplePos x="0" y="0"/>
            <wp:positionH relativeFrom="column">
              <wp:posOffset>-1143635</wp:posOffset>
            </wp:positionH>
            <wp:positionV relativeFrom="paragraph">
              <wp:posOffset>-900430</wp:posOffset>
            </wp:positionV>
            <wp:extent cx="7551420" cy="10680065"/>
            <wp:effectExtent l="0" t="0" r="11430" b="6985"/>
            <wp:wrapNone/>
            <wp:docPr id="14" name="图片 14" descr="SKM_C554e2202181021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KM_C554e22021810210_0003"/>
                    <pic:cNvPicPr>
                      <a:picLocks noChangeAspect="1"/>
                    </pic:cNvPicPr>
                  </pic:nvPicPr>
                  <pic:blipFill>
                    <a:blip r:embed="rId18"/>
                    <a:stretch>
                      <a:fillRect/>
                    </a:stretch>
                  </pic:blipFill>
                  <pic:spPr>
                    <a:xfrm>
                      <a:off x="0" y="0"/>
                      <a:ext cx="7551420" cy="10680065"/>
                    </a:xfrm>
                    <a:prstGeom prst="rect">
                      <a:avLst/>
                    </a:prstGeom>
                  </pic:spPr>
                </pic:pic>
              </a:graphicData>
            </a:graphic>
          </wp:anchor>
        </w:drawing>
      </w:r>
      <w:r>
        <w:rPr>
          <w:rFonts w:hint="eastAsia" w:ascii="黑体" w:hAnsi="黑体" w:eastAsia="黑体" w:cs="黑体"/>
          <w:b w:val="0"/>
          <w:bCs/>
          <w:color w:val="000000"/>
          <w:sz w:val="30"/>
          <w:szCs w:val="30"/>
        </w:rPr>
        <w:t>六、结论</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single" w:color="auto" w:sz="8" w:space="0"/>
              <w:left w:val="single" w:color="auto" w:sz="8" w:space="0"/>
              <w:bottom w:val="single" w:color="auto" w:sz="8" w:space="0"/>
              <w:right w:val="single" w:color="auto" w:sz="8" w:space="0"/>
            </w:tcBorders>
          </w:tcPr>
          <w:p>
            <w:pPr>
              <w:keepNext w:val="0"/>
              <w:keepLines w:val="0"/>
              <w:pageBreakBefore w:val="0"/>
              <w:widowControl w:val="0"/>
              <w:kinsoku/>
              <w:wordWrap/>
              <w:overflowPunct/>
              <w:topLinePunct w:val="0"/>
              <w:autoSpaceDE/>
              <w:autoSpaceDN/>
              <w:bidi w:val="0"/>
              <w:adjustRightInd w:val="0"/>
              <w:snapToGrid w:val="0"/>
              <w:spacing w:line="520" w:lineRule="exact"/>
              <w:ind w:firstLine="480" w:firstLineChars="200"/>
              <w:jc w:val="left"/>
              <w:textAlignment w:val="auto"/>
              <w:rPr>
                <w:rFonts w:hint="eastAsia" w:ascii="黑体" w:hAnsi="黑体" w:eastAsia="黑体" w:cs="黑体"/>
                <w:color w:val="000000"/>
                <w:sz w:val="24"/>
                <w:szCs w:val="24"/>
              </w:rPr>
            </w:pPr>
            <w:r>
              <w:rPr>
                <w:rFonts w:hint="eastAsia" w:ascii="黑体" w:hAnsi="黑体" w:eastAsia="黑体" w:cs="黑体"/>
                <w:color w:val="000000"/>
                <w:sz w:val="24"/>
                <w:szCs w:val="24"/>
                <w:lang w:eastAsia="zh-CN"/>
              </w:rPr>
              <w:t>新乡威斯特环保科技有限公司</w:t>
            </w:r>
            <w:r>
              <w:rPr>
                <w:rFonts w:hint="eastAsia" w:ascii="黑体" w:hAnsi="黑体" w:eastAsia="黑体" w:cs="黑体"/>
                <w:color w:val="000000"/>
                <w:spacing w:val="-4"/>
                <w:sz w:val="24"/>
                <w:szCs w:val="24"/>
                <w:lang w:eastAsia="zh-CN"/>
              </w:rPr>
              <w:t>年回收5000吨漆渣、废弃包装物、污泥等项目</w:t>
            </w:r>
            <w:r>
              <w:rPr>
                <w:rFonts w:hint="eastAsia" w:ascii="黑体" w:hAnsi="黑体" w:eastAsia="黑体" w:cs="黑体"/>
                <w:color w:val="000000"/>
                <w:sz w:val="24"/>
                <w:szCs w:val="24"/>
              </w:rPr>
              <w:t>位于</w:t>
            </w:r>
            <w:r>
              <w:rPr>
                <w:rFonts w:hint="eastAsia" w:ascii="黑体" w:hAnsi="黑体" w:eastAsia="黑体" w:cs="黑体"/>
                <w:color w:val="000000"/>
                <w:sz w:val="24"/>
                <w:szCs w:val="24"/>
                <w:lang w:eastAsia="zh-CN"/>
              </w:rPr>
              <w:t>新乡市动力电池专业园区西区陈堡村南700米路西</w:t>
            </w:r>
            <w:r>
              <w:rPr>
                <w:rFonts w:hint="eastAsia" w:ascii="黑体" w:hAnsi="黑体" w:eastAsia="黑体" w:cs="黑体"/>
                <w:color w:val="000000"/>
                <w:sz w:val="24"/>
                <w:szCs w:val="24"/>
              </w:rPr>
              <w:t>，</w:t>
            </w:r>
            <w:r>
              <w:rPr>
                <w:rFonts w:hint="eastAsia" w:ascii="黑体" w:hAnsi="黑体" w:eastAsia="黑体" w:cs="黑体"/>
                <w:color w:val="000000"/>
                <w:sz w:val="24"/>
                <w:szCs w:val="24"/>
                <w:lang w:val="en-US" w:eastAsia="zh-CN"/>
              </w:rPr>
              <w:t>选址属工业用地</w:t>
            </w:r>
            <w:r>
              <w:rPr>
                <w:rFonts w:hint="eastAsia" w:ascii="黑体" w:hAnsi="黑体" w:eastAsia="黑体" w:cs="黑体"/>
                <w:color w:val="000000"/>
                <w:sz w:val="24"/>
                <w:szCs w:val="24"/>
              </w:rPr>
              <w:t>，</w:t>
            </w:r>
            <w:r>
              <w:rPr>
                <w:rFonts w:hint="eastAsia" w:ascii="黑体" w:hAnsi="黑体" w:eastAsia="黑体" w:cs="黑体"/>
                <w:color w:val="000000"/>
                <w:sz w:val="24"/>
                <w:szCs w:val="24"/>
                <w:lang w:val="en-US" w:eastAsia="zh-CN"/>
              </w:rPr>
              <w:t>符合</w:t>
            </w:r>
            <w:r>
              <w:rPr>
                <w:rFonts w:hint="eastAsia" w:ascii="黑体" w:hAnsi="黑体" w:eastAsia="黑体" w:cs="黑体"/>
                <w:color w:val="000000"/>
                <w:sz w:val="24"/>
                <w:szCs w:val="24"/>
                <w:lang w:eastAsia="zh-CN"/>
              </w:rPr>
              <w:t>新乡市动力电池专业园区</w:t>
            </w:r>
            <w:r>
              <w:rPr>
                <w:rFonts w:hint="eastAsia" w:ascii="黑体" w:hAnsi="黑体" w:eastAsia="黑体" w:cs="黑体"/>
                <w:color w:val="000000"/>
                <w:sz w:val="24"/>
                <w:szCs w:val="24"/>
                <w:lang w:val="en-US" w:eastAsia="zh-CN"/>
              </w:rPr>
              <w:t>土地利用规划</w:t>
            </w:r>
            <w:r>
              <w:rPr>
                <w:rFonts w:hint="eastAsia" w:ascii="黑体" w:hAnsi="黑体" w:eastAsia="黑体" w:cs="黑体"/>
                <w:color w:val="000000"/>
                <w:sz w:val="24"/>
                <w:szCs w:val="24"/>
              </w:rPr>
              <w:t>。项目产生的污染物经采用合理的环保措施治理后，均可做到妥善处置，对周围环境影响小，可以实现其经济效益、社会效益和环境效益的协调发展。因此，从环保角度分析，项目建设可行。</w:t>
            </w: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80" w:firstLineChars="200"/>
              <w:jc w:val="right"/>
              <w:rPr>
                <w:color w:val="000000"/>
                <w:sz w:val="24"/>
                <w:szCs w:val="24"/>
              </w:rPr>
            </w:pPr>
            <w:r>
              <w:rPr>
                <w:rFonts w:hint="eastAsia"/>
                <w:color w:val="000000"/>
                <w:sz w:val="24"/>
                <w:szCs w:val="24"/>
              </w:rPr>
              <w:t>新乡市</w:t>
            </w:r>
            <w:r>
              <w:rPr>
                <w:rFonts w:hint="eastAsia"/>
                <w:color w:val="000000"/>
                <w:sz w:val="24"/>
                <w:szCs w:val="24"/>
                <w:lang w:val="en-US" w:eastAsia="zh-CN"/>
              </w:rPr>
              <w:t>天之蓝</w:t>
            </w:r>
            <w:r>
              <w:rPr>
                <w:rFonts w:hint="eastAsia"/>
                <w:color w:val="000000"/>
                <w:sz w:val="24"/>
                <w:szCs w:val="24"/>
              </w:rPr>
              <w:t>环保技术有限公司</w:t>
            </w:r>
          </w:p>
          <w:p>
            <w:pPr>
              <w:adjustRightInd w:val="0"/>
              <w:snapToGrid w:val="0"/>
              <w:spacing w:line="440" w:lineRule="exact"/>
              <w:ind w:firstLine="480" w:firstLineChars="200"/>
              <w:jc w:val="center"/>
              <w:rPr>
                <w:color w:val="000000"/>
                <w:sz w:val="24"/>
                <w:szCs w:val="24"/>
              </w:rPr>
            </w:pPr>
            <w:r>
              <w:rPr>
                <w:rFonts w:hint="eastAsia"/>
                <w:color w:val="000000"/>
                <w:sz w:val="24"/>
                <w:szCs w:val="24"/>
              </w:rPr>
              <w:t xml:space="preserve">                                                202</w:t>
            </w:r>
            <w:r>
              <w:rPr>
                <w:rFonts w:hint="eastAsia"/>
                <w:color w:val="000000"/>
                <w:sz w:val="24"/>
                <w:szCs w:val="24"/>
                <w:lang w:val="en-US" w:eastAsia="zh-CN"/>
              </w:rPr>
              <w:t>2</w:t>
            </w:r>
            <w:r>
              <w:rPr>
                <w:rFonts w:hint="eastAsia"/>
                <w:color w:val="000000"/>
                <w:sz w:val="24"/>
                <w:szCs w:val="24"/>
              </w:rPr>
              <w:t>年</w:t>
            </w:r>
            <w:r>
              <w:rPr>
                <w:rFonts w:hint="eastAsia"/>
                <w:color w:val="000000"/>
                <w:sz w:val="24"/>
                <w:szCs w:val="24"/>
                <w:lang w:val="en-US" w:eastAsia="zh-CN"/>
              </w:rPr>
              <w:t>1</w:t>
            </w:r>
            <w:r>
              <w:rPr>
                <w:rFonts w:hint="eastAsia"/>
                <w:color w:val="000000"/>
                <w:sz w:val="24"/>
                <w:szCs w:val="24"/>
              </w:rPr>
              <w:t>月</w:t>
            </w:r>
          </w:p>
          <w:p>
            <w:pPr>
              <w:adjustRightInd w:val="0"/>
              <w:snapToGrid w:val="0"/>
              <w:spacing w:line="440" w:lineRule="exact"/>
              <w:ind w:firstLine="480" w:firstLineChars="200"/>
              <w:jc w:val="left"/>
              <w:rPr>
                <w:color w:val="000000"/>
                <w:sz w:val="24"/>
                <w:szCs w:val="24"/>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spacing w:line="440" w:lineRule="exact"/>
              <w:ind w:firstLine="420" w:firstLineChars="200"/>
              <w:jc w:val="left"/>
              <w:rPr>
                <w:color w:val="000000"/>
                <w:sz w:val="21"/>
                <w:szCs w:val="21"/>
              </w:rPr>
            </w:pPr>
          </w:p>
          <w:p>
            <w:pPr>
              <w:adjustRightInd w:val="0"/>
              <w:snapToGrid w:val="0"/>
              <w:jc w:val="left"/>
              <w:rPr>
                <w:color w:val="000000"/>
                <w:sz w:val="21"/>
                <w:szCs w:val="21"/>
              </w:rPr>
            </w:pPr>
          </w:p>
          <w:p>
            <w:pPr>
              <w:adjustRightInd w:val="0"/>
              <w:snapToGrid w:val="0"/>
              <w:jc w:val="left"/>
              <w:rPr>
                <w:b/>
                <w:color w:val="000000"/>
              </w:rPr>
            </w:pPr>
          </w:p>
        </w:tc>
      </w:tr>
    </w:tbl>
    <w:p>
      <w:pPr>
        <w:adjustRightInd w:val="0"/>
        <w:snapToGrid w:val="0"/>
        <w:jc w:val="left"/>
        <w:rPr>
          <w:b/>
          <w:color w:val="000000"/>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3" w:name="_GoBack"/>
      <w:bookmarkEnd w:id="3"/>
    </w:p>
    <w:p>
      <w:pPr>
        <w:pStyle w:val="21"/>
        <w:adjustRightInd w:val="0"/>
        <w:snapToGrid w:val="0"/>
        <w:spacing w:before="0" w:beforeAutospacing="0" w:after="0" w:afterAutospacing="0" w:line="500" w:lineRule="exact"/>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21"/>
        <w:adjustRightInd w:val="0"/>
        <w:snapToGrid w:val="0"/>
        <w:spacing w:before="0" w:beforeAutospacing="0" w:after="0" w:afterAutospacing="0" w:line="500" w:lineRule="exact"/>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 xml:space="preserve">        建设项目污染物排放量汇总表</w:t>
      </w:r>
      <w:r>
        <w:rPr>
          <w:rFonts w:hint="eastAsia" w:ascii="Times New Roman" w:cs="Times New Roman" w:hAnsiTheme="minorEastAsia" w:eastAsiaTheme="minorEastAsia"/>
          <w:snapToGrid w:val="0"/>
          <w:sz w:val="21"/>
          <w:szCs w:val="21"/>
        </w:rPr>
        <w:t xml:space="preserve">                            </w:t>
      </w:r>
      <w:r>
        <w:rPr>
          <w:rFonts w:hint="eastAsia" w:ascii="Times New Roman" w:cs="Times New Roman" w:hAnsiTheme="minorEastAsia" w:eastAsiaTheme="minorEastAsia"/>
          <w:snapToGrid w:val="0"/>
          <w:sz w:val="28"/>
          <w:szCs w:val="28"/>
        </w:rPr>
        <w:t xml:space="preserve"> </w:t>
      </w:r>
    </w:p>
    <w:tbl>
      <w:tblPr>
        <w:tblStyle w:val="25"/>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24"/>
        <w:gridCol w:w="1740"/>
        <w:gridCol w:w="12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115"/>
              <w:spacing w:beforeLines="0" w:afterLines="0" w:line="240" w:lineRule="auto"/>
              <w:jc w:val="right"/>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项目</w:t>
            </w:r>
          </w:p>
          <w:p>
            <w:pPr>
              <w:pStyle w:val="115"/>
              <w:spacing w:beforeLines="0" w:afterLines="0" w:line="240" w:lineRule="auto"/>
              <w:jc w:val="left"/>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分类</w:t>
            </w:r>
          </w:p>
        </w:tc>
        <w:tc>
          <w:tcPr>
            <w:tcW w:w="1417" w:type="dxa"/>
            <w:tcMar>
              <w:left w:w="28" w:type="dxa"/>
              <w:right w:w="28" w:type="dxa"/>
            </w:tcMar>
            <w:vAlign w:val="center"/>
          </w:tcPr>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污染物名称</w:t>
            </w:r>
          </w:p>
        </w:tc>
        <w:tc>
          <w:tcPr>
            <w:tcW w:w="1701" w:type="dxa"/>
            <w:tcMar>
              <w:left w:w="28" w:type="dxa"/>
              <w:right w:w="28" w:type="dxa"/>
            </w:tcMar>
            <w:vAlign w:val="center"/>
          </w:tcPr>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现有工程</w:t>
            </w:r>
          </w:p>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排放量（固体废物产生量）</w:t>
            </w:r>
            <w:r>
              <w:rPr>
                <w:rFonts w:ascii="Times New Roman" w:hAnsi="Times New Roman" w:eastAsia="黑体" w:cs="Times New Roman"/>
                <w:snapToGrid w:val="0"/>
                <w:color w:val="000000"/>
                <w:spacing w:val="-6"/>
                <w:kern w:val="21"/>
                <w:szCs w:val="21"/>
              </w:rPr>
              <w:fldChar w:fldCharType="begin"/>
            </w:r>
            <w:r>
              <w:rPr>
                <w:rFonts w:ascii="Times New Roman" w:hAnsi="Times New Roman" w:eastAsia="黑体" w:cs="Times New Roman"/>
                <w:snapToGrid w:val="0"/>
                <w:color w:val="000000"/>
                <w:spacing w:val="-6"/>
                <w:kern w:val="21"/>
                <w:szCs w:val="21"/>
              </w:rPr>
              <w:instrText xml:space="preserve"> = 1 \* GB3 \* MERGEFORMAT </w:instrText>
            </w:r>
            <w:r>
              <w:rPr>
                <w:rFonts w:ascii="Times New Roman" w:hAnsi="Times New Roman" w:eastAsia="黑体" w:cs="Times New Roman"/>
                <w:snapToGrid w:val="0"/>
                <w:color w:val="000000"/>
                <w:spacing w:val="-6"/>
                <w:kern w:val="21"/>
                <w:szCs w:val="21"/>
              </w:rPr>
              <w:fldChar w:fldCharType="separate"/>
            </w:r>
            <w:r>
              <w:rPr>
                <w:rFonts w:ascii="Times New Roman" w:hAnsi="黑体" w:eastAsia="黑体" w:cs="Times New Roman"/>
                <w:kern w:val="2"/>
                <w:szCs w:val="21"/>
              </w:rPr>
              <w:t>①</w:t>
            </w:r>
            <w:r>
              <w:rPr>
                <w:rFonts w:ascii="Times New Roman" w:hAnsi="Times New Roman" w:eastAsia="黑体" w:cs="Times New Roman"/>
                <w:snapToGrid w:val="0"/>
                <w:color w:val="000000"/>
                <w:spacing w:val="-6"/>
                <w:kern w:val="21"/>
                <w:szCs w:val="21"/>
              </w:rPr>
              <w:fldChar w:fldCharType="end"/>
            </w:r>
          </w:p>
        </w:tc>
        <w:tc>
          <w:tcPr>
            <w:tcW w:w="1276" w:type="dxa"/>
            <w:tcMar>
              <w:left w:w="28" w:type="dxa"/>
              <w:right w:w="28" w:type="dxa"/>
            </w:tcMar>
            <w:vAlign w:val="center"/>
          </w:tcPr>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现有工程</w:t>
            </w:r>
          </w:p>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许可排放量</w:t>
            </w:r>
          </w:p>
          <w:p>
            <w:pPr>
              <w:pStyle w:val="115"/>
              <w:spacing w:beforeLines="0" w:afterLines="0"/>
              <w:rPr>
                <w:rFonts w:ascii="Times New Roman" w:hAnsi="Times New Roman" w:eastAsia="黑体" w:cs="Times New Roman"/>
                <w:snapToGrid w:val="0"/>
                <w:color w:val="000000"/>
                <w:spacing w:val="-6"/>
                <w:kern w:val="21"/>
                <w:szCs w:val="21"/>
              </w:rPr>
            </w:pPr>
            <w:r>
              <w:rPr>
                <w:rFonts w:ascii="Times New Roman" w:hAnsi="Times New Roman" w:eastAsia="黑体" w:cs="Times New Roman"/>
                <w:snapToGrid w:val="0"/>
                <w:color w:val="000000"/>
                <w:spacing w:val="-6"/>
                <w:kern w:val="21"/>
                <w:szCs w:val="21"/>
              </w:rPr>
              <w:fldChar w:fldCharType="begin"/>
            </w:r>
            <w:r>
              <w:rPr>
                <w:rFonts w:ascii="Times New Roman" w:hAnsi="Times New Roman" w:eastAsia="黑体" w:cs="Times New Roman"/>
                <w:snapToGrid w:val="0"/>
                <w:color w:val="000000"/>
                <w:spacing w:val="-6"/>
                <w:kern w:val="21"/>
                <w:szCs w:val="21"/>
              </w:rPr>
              <w:instrText xml:space="preserve"> = 2 \* GB3 \* MERGEFORMAT </w:instrText>
            </w:r>
            <w:r>
              <w:rPr>
                <w:rFonts w:ascii="Times New Roman" w:hAnsi="Times New Roman" w:eastAsia="黑体" w:cs="Times New Roman"/>
                <w:snapToGrid w:val="0"/>
                <w:color w:val="000000"/>
                <w:spacing w:val="-6"/>
                <w:kern w:val="21"/>
                <w:szCs w:val="21"/>
              </w:rPr>
              <w:fldChar w:fldCharType="separate"/>
            </w:r>
            <w:r>
              <w:rPr>
                <w:rFonts w:ascii="Times New Roman" w:hAnsi="黑体" w:eastAsia="黑体" w:cs="Times New Roman"/>
                <w:snapToGrid w:val="0"/>
                <w:color w:val="000000"/>
                <w:spacing w:val="-6"/>
                <w:kern w:val="21"/>
                <w:szCs w:val="21"/>
              </w:rPr>
              <w:t>②</w:t>
            </w:r>
            <w:r>
              <w:rPr>
                <w:rFonts w:ascii="Times New Roman" w:hAnsi="Times New Roman" w:eastAsia="黑体" w:cs="Times New Roman"/>
                <w:snapToGrid w:val="0"/>
                <w:color w:val="000000"/>
                <w:spacing w:val="-6"/>
                <w:kern w:val="21"/>
                <w:szCs w:val="21"/>
              </w:rPr>
              <w:fldChar w:fldCharType="end"/>
            </w:r>
          </w:p>
        </w:tc>
        <w:tc>
          <w:tcPr>
            <w:tcW w:w="1701" w:type="dxa"/>
            <w:tcMar>
              <w:left w:w="28" w:type="dxa"/>
              <w:right w:w="28" w:type="dxa"/>
            </w:tcMar>
            <w:vAlign w:val="center"/>
          </w:tcPr>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在建工程</w:t>
            </w:r>
          </w:p>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排放量（固体废物产生量）</w:t>
            </w:r>
            <w:r>
              <w:rPr>
                <w:rFonts w:ascii="Times New Roman" w:hAnsi="Times New Roman" w:eastAsia="黑体" w:cs="Times New Roman"/>
                <w:snapToGrid w:val="0"/>
                <w:color w:val="000000"/>
                <w:spacing w:val="-6"/>
                <w:kern w:val="21"/>
                <w:szCs w:val="21"/>
              </w:rPr>
              <w:fldChar w:fldCharType="begin"/>
            </w:r>
            <w:r>
              <w:rPr>
                <w:rFonts w:ascii="Times New Roman" w:hAnsi="Times New Roman" w:eastAsia="黑体" w:cs="Times New Roman"/>
                <w:snapToGrid w:val="0"/>
                <w:color w:val="000000"/>
                <w:spacing w:val="-6"/>
                <w:kern w:val="21"/>
                <w:szCs w:val="21"/>
              </w:rPr>
              <w:instrText xml:space="preserve"> = 3 \* GB3 \* MERGEFORMAT </w:instrText>
            </w:r>
            <w:r>
              <w:rPr>
                <w:rFonts w:ascii="Times New Roman" w:hAnsi="Times New Roman" w:eastAsia="黑体" w:cs="Times New Roman"/>
                <w:snapToGrid w:val="0"/>
                <w:color w:val="000000"/>
                <w:spacing w:val="-6"/>
                <w:kern w:val="21"/>
                <w:szCs w:val="21"/>
              </w:rPr>
              <w:fldChar w:fldCharType="separate"/>
            </w:r>
            <w:r>
              <w:rPr>
                <w:rFonts w:ascii="Times New Roman" w:hAnsi="黑体" w:eastAsia="黑体" w:cs="Times New Roman"/>
                <w:kern w:val="2"/>
                <w:szCs w:val="21"/>
              </w:rPr>
              <w:t>③</w:t>
            </w:r>
            <w:r>
              <w:rPr>
                <w:rFonts w:ascii="Times New Roman" w:hAnsi="Times New Roman" w:eastAsia="黑体" w:cs="Times New Roman"/>
                <w:snapToGrid w:val="0"/>
                <w:color w:val="000000"/>
                <w:spacing w:val="-6"/>
                <w:kern w:val="21"/>
                <w:szCs w:val="21"/>
              </w:rPr>
              <w:fldChar w:fldCharType="end"/>
            </w:r>
          </w:p>
        </w:tc>
        <w:tc>
          <w:tcPr>
            <w:tcW w:w="1559" w:type="dxa"/>
            <w:tcMar>
              <w:left w:w="28" w:type="dxa"/>
              <w:right w:w="28" w:type="dxa"/>
            </w:tcMar>
            <w:vAlign w:val="center"/>
          </w:tcPr>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本项目</w:t>
            </w:r>
          </w:p>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排放量（固体废物产生量）</w:t>
            </w:r>
            <w:r>
              <w:rPr>
                <w:rFonts w:ascii="Times New Roman" w:hAnsi="Times New Roman" w:eastAsia="黑体" w:cs="Times New Roman"/>
                <w:snapToGrid w:val="0"/>
                <w:color w:val="000000"/>
                <w:spacing w:val="-6"/>
                <w:kern w:val="21"/>
                <w:szCs w:val="21"/>
              </w:rPr>
              <w:fldChar w:fldCharType="begin"/>
            </w:r>
            <w:r>
              <w:rPr>
                <w:rFonts w:ascii="Times New Roman" w:hAnsi="Times New Roman" w:eastAsia="黑体" w:cs="Times New Roman"/>
                <w:snapToGrid w:val="0"/>
                <w:color w:val="000000"/>
                <w:spacing w:val="-6"/>
                <w:kern w:val="21"/>
                <w:szCs w:val="21"/>
              </w:rPr>
              <w:instrText xml:space="preserve"> = 4 \* GB3 \* MERGEFORMAT </w:instrText>
            </w:r>
            <w:r>
              <w:rPr>
                <w:rFonts w:ascii="Times New Roman" w:hAnsi="Times New Roman" w:eastAsia="黑体" w:cs="Times New Roman"/>
                <w:snapToGrid w:val="0"/>
                <w:color w:val="000000"/>
                <w:spacing w:val="-6"/>
                <w:kern w:val="21"/>
                <w:szCs w:val="21"/>
              </w:rPr>
              <w:fldChar w:fldCharType="separate"/>
            </w:r>
            <w:r>
              <w:rPr>
                <w:rFonts w:ascii="Times New Roman" w:hAnsi="黑体" w:eastAsia="黑体" w:cs="Times New Roman"/>
                <w:kern w:val="2"/>
                <w:szCs w:val="21"/>
              </w:rPr>
              <w:t>④</w:t>
            </w:r>
            <w:r>
              <w:rPr>
                <w:rFonts w:ascii="Times New Roman" w:hAnsi="Times New Roman" w:eastAsia="黑体" w:cs="Times New Roman"/>
                <w:snapToGrid w:val="0"/>
                <w:color w:val="000000"/>
                <w:spacing w:val="-6"/>
                <w:kern w:val="21"/>
                <w:szCs w:val="21"/>
              </w:rPr>
              <w:fldChar w:fldCharType="end"/>
            </w:r>
          </w:p>
        </w:tc>
        <w:tc>
          <w:tcPr>
            <w:tcW w:w="1524" w:type="dxa"/>
            <w:tcMar>
              <w:left w:w="28" w:type="dxa"/>
              <w:right w:w="28" w:type="dxa"/>
            </w:tcMar>
            <w:vAlign w:val="center"/>
          </w:tcPr>
          <w:p>
            <w:pPr>
              <w:pStyle w:val="115"/>
              <w:spacing w:beforeLines="0" w:afterLines="0" w:line="240" w:lineRule="auto"/>
              <w:rPr>
                <w:rFonts w:ascii="Times New Roman" w:hAnsi="Times New Roman" w:eastAsia="黑体" w:cs="Times New Roman"/>
                <w:snapToGrid w:val="0"/>
                <w:color w:val="000000"/>
                <w:spacing w:val="-16"/>
                <w:kern w:val="21"/>
                <w:szCs w:val="21"/>
              </w:rPr>
            </w:pPr>
            <w:r>
              <w:rPr>
                <w:rFonts w:ascii="Times New Roman" w:hAnsi="黑体" w:eastAsia="黑体" w:cs="Times New Roman"/>
                <w:snapToGrid w:val="0"/>
                <w:color w:val="000000"/>
                <w:spacing w:val="-16"/>
                <w:kern w:val="21"/>
                <w:szCs w:val="21"/>
              </w:rPr>
              <w:t>以新带老削减量</w:t>
            </w:r>
          </w:p>
          <w:p>
            <w:pPr>
              <w:pStyle w:val="115"/>
              <w:spacing w:beforeLines="0" w:afterLines="0" w:line="240" w:lineRule="auto"/>
              <w:rPr>
                <w:rFonts w:ascii="Times New Roman" w:hAnsi="Times New Roman" w:eastAsia="黑体" w:cs="Times New Roman"/>
                <w:snapToGrid w:val="0"/>
                <w:color w:val="000000"/>
                <w:spacing w:val="-16"/>
                <w:kern w:val="21"/>
                <w:szCs w:val="21"/>
              </w:rPr>
            </w:pPr>
            <w:r>
              <w:rPr>
                <w:rFonts w:ascii="Times New Roman" w:hAnsi="黑体" w:eastAsia="黑体" w:cs="Times New Roman"/>
                <w:snapToGrid w:val="0"/>
                <w:color w:val="000000"/>
                <w:spacing w:val="-16"/>
                <w:kern w:val="21"/>
                <w:szCs w:val="21"/>
              </w:rPr>
              <w:t>（新建项目不填）</w:t>
            </w:r>
            <w:r>
              <w:rPr>
                <w:rFonts w:ascii="Times New Roman" w:hAnsi="Times New Roman" w:eastAsia="黑体" w:cs="Times New Roman"/>
                <w:snapToGrid w:val="0"/>
                <w:color w:val="000000"/>
                <w:spacing w:val="-16"/>
                <w:kern w:val="21"/>
                <w:szCs w:val="21"/>
              </w:rPr>
              <w:fldChar w:fldCharType="begin"/>
            </w:r>
            <w:r>
              <w:rPr>
                <w:rFonts w:ascii="Times New Roman" w:hAnsi="Times New Roman" w:eastAsia="黑体" w:cs="Times New Roman"/>
                <w:snapToGrid w:val="0"/>
                <w:color w:val="000000"/>
                <w:spacing w:val="-16"/>
                <w:kern w:val="21"/>
                <w:szCs w:val="21"/>
              </w:rPr>
              <w:instrText xml:space="preserve"> = 5 \* GB3 \* MERGEFORMAT </w:instrText>
            </w:r>
            <w:r>
              <w:rPr>
                <w:rFonts w:ascii="Times New Roman" w:hAnsi="Times New Roman" w:eastAsia="黑体" w:cs="Times New Roman"/>
                <w:snapToGrid w:val="0"/>
                <w:color w:val="000000"/>
                <w:spacing w:val="-16"/>
                <w:kern w:val="21"/>
                <w:szCs w:val="21"/>
              </w:rPr>
              <w:fldChar w:fldCharType="separate"/>
            </w:r>
            <w:r>
              <w:rPr>
                <w:rFonts w:ascii="Times New Roman" w:hAnsi="黑体" w:eastAsia="黑体" w:cs="Times New Roman"/>
                <w:kern w:val="2"/>
                <w:szCs w:val="21"/>
              </w:rPr>
              <w:t>⑤</w:t>
            </w:r>
            <w:r>
              <w:rPr>
                <w:rFonts w:ascii="Times New Roman" w:hAnsi="Times New Roman" w:eastAsia="黑体" w:cs="Times New Roman"/>
                <w:snapToGrid w:val="0"/>
                <w:color w:val="000000"/>
                <w:spacing w:val="-16"/>
                <w:kern w:val="21"/>
                <w:szCs w:val="21"/>
              </w:rPr>
              <w:fldChar w:fldCharType="end"/>
            </w:r>
          </w:p>
        </w:tc>
        <w:tc>
          <w:tcPr>
            <w:tcW w:w="1740" w:type="dxa"/>
            <w:tcMar>
              <w:left w:w="28" w:type="dxa"/>
              <w:right w:w="28" w:type="dxa"/>
            </w:tcMar>
            <w:vAlign w:val="center"/>
          </w:tcPr>
          <w:p>
            <w:pPr>
              <w:pStyle w:val="115"/>
              <w:spacing w:beforeLines="0" w:afterLines="0" w:line="240" w:lineRule="auto"/>
              <w:rPr>
                <w:rFonts w:ascii="Times New Roman" w:hAnsi="Times New Roman" w:eastAsia="黑体" w:cs="Times New Roman"/>
                <w:snapToGrid w:val="0"/>
                <w:color w:val="000000"/>
                <w:spacing w:val="-16"/>
                <w:kern w:val="21"/>
                <w:szCs w:val="21"/>
              </w:rPr>
            </w:pPr>
            <w:r>
              <w:rPr>
                <w:rFonts w:ascii="Times New Roman" w:hAnsi="黑体" w:eastAsia="黑体" w:cs="Times New Roman"/>
                <w:snapToGrid w:val="0"/>
                <w:color w:val="000000"/>
                <w:spacing w:val="-16"/>
                <w:kern w:val="21"/>
                <w:szCs w:val="21"/>
              </w:rPr>
              <w:t>本项目建成后</w:t>
            </w:r>
          </w:p>
          <w:p>
            <w:pPr>
              <w:pStyle w:val="115"/>
              <w:spacing w:beforeLines="0" w:afterLines="0" w:line="240" w:lineRule="auto"/>
              <w:rPr>
                <w:rFonts w:ascii="Times New Roman" w:hAnsi="Times New Roman" w:eastAsia="黑体" w:cs="Times New Roman"/>
                <w:snapToGrid w:val="0"/>
                <w:color w:val="000000"/>
                <w:spacing w:val="-16"/>
                <w:kern w:val="21"/>
                <w:szCs w:val="21"/>
              </w:rPr>
            </w:pPr>
            <w:r>
              <w:rPr>
                <w:rFonts w:ascii="Times New Roman" w:hAnsi="黑体" w:eastAsia="黑体" w:cs="Times New Roman"/>
                <w:snapToGrid w:val="0"/>
                <w:color w:val="000000"/>
                <w:spacing w:val="-16"/>
                <w:kern w:val="21"/>
                <w:szCs w:val="21"/>
              </w:rPr>
              <w:t>全厂排放量（固体废物产生量）</w:t>
            </w:r>
            <w:r>
              <w:rPr>
                <w:rFonts w:ascii="Times New Roman" w:hAnsi="Times New Roman" w:eastAsia="黑体" w:cs="Times New Roman"/>
                <w:snapToGrid w:val="0"/>
                <w:color w:val="000000"/>
                <w:spacing w:val="-16"/>
                <w:kern w:val="21"/>
                <w:szCs w:val="21"/>
              </w:rPr>
              <w:fldChar w:fldCharType="begin"/>
            </w:r>
            <w:r>
              <w:rPr>
                <w:rFonts w:ascii="Times New Roman" w:hAnsi="Times New Roman" w:eastAsia="黑体" w:cs="Times New Roman"/>
                <w:snapToGrid w:val="0"/>
                <w:color w:val="000000"/>
                <w:spacing w:val="-16"/>
                <w:kern w:val="21"/>
                <w:szCs w:val="21"/>
              </w:rPr>
              <w:instrText xml:space="preserve"> = 6 \* GB3 \* MERGEFORMAT </w:instrText>
            </w:r>
            <w:r>
              <w:rPr>
                <w:rFonts w:ascii="Times New Roman" w:hAnsi="Times New Roman" w:eastAsia="黑体" w:cs="Times New Roman"/>
                <w:snapToGrid w:val="0"/>
                <w:color w:val="000000"/>
                <w:spacing w:val="-16"/>
                <w:kern w:val="21"/>
                <w:szCs w:val="21"/>
              </w:rPr>
              <w:fldChar w:fldCharType="separate"/>
            </w:r>
            <w:r>
              <w:rPr>
                <w:rFonts w:ascii="Times New Roman" w:hAnsi="黑体" w:eastAsia="黑体" w:cs="Times New Roman"/>
                <w:kern w:val="2"/>
                <w:szCs w:val="21"/>
              </w:rPr>
              <w:t>⑥</w:t>
            </w:r>
            <w:r>
              <w:rPr>
                <w:rFonts w:ascii="Times New Roman" w:hAnsi="Times New Roman" w:eastAsia="黑体" w:cs="Times New Roman"/>
                <w:snapToGrid w:val="0"/>
                <w:color w:val="000000"/>
                <w:spacing w:val="-16"/>
                <w:kern w:val="21"/>
                <w:szCs w:val="21"/>
              </w:rPr>
              <w:fldChar w:fldCharType="end"/>
            </w:r>
          </w:p>
        </w:tc>
        <w:tc>
          <w:tcPr>
            <w:tcW w:w="1282" w:type="dxa"/>
            <w:tcMar>
              <w:left w:w="28" w:type="dxa"/>
              <w:right w:w="28" w:type="dxa"/>
            </w:tcMar>
            <w:vAlign w:val="center"/>
          </w:tcPr>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黑体" w:eastAsia="黑体" w:cs="Times New Roman"/>
                <w:snapToGrid w:val="0"/>
                <w:color w:val="000000"/>
                <w:spacing w:val="-6"/>
                <w:kern w:val="21"/>
                <w:szCs w:val="21"/>
              </w:rPr>
              <w:t>变化量</w:t>
            </w:r>
          </w:p>
          <w:p>
            <w:pPr>
              <w:pStyle w:val="115"/>
              <w:spacing w:beforeLines="0" w:afterLines="0" w:line="240" w:lineRule="auto"/>
              <w:rPr>
                <w:rFonts w:ascii="Times New Roman" w:hAnsi="Times New Roman" w:eastAsia="黑体" w:cs="Times New Roman"/>
                <w:snapToGrid w:val="0"/>
                <w:color w:val="000000"/>
                <w:spacing w:val="-6"/>
                <w:kern w:val="21"/>
                <w:szCs w:val="21"/>
              </w:rPr>
            </w:pPr>
            <w:r>
              <w:rPr>
                <w:rFonts w:ascii="Times New Roman" w:hAnsi="Times New Roman" w:eastAsia="黑体" w:cs="Times New Roman"/>
                <w:snapToGrid w:val="0"/>
                <w:color w:val="000000"/>
                <w:spacing w:val="-6"/>
                <w:kern w:val="21"/>
                <w:szCs w:val="21"/>
              </w:rPr>
              <w:fldChar w:fldCharType="begin"/>
            </w:r>
            <w:r>
              <w:rPr>
                <w:rFonts w:ascii="Times New Roman" w:hAnsi="Times New Roman" w:eastAsia="黑体" w:cs="Times New Roman"/>
                <w:snapToGrid w:val="0"/>
                <w:color w:val="000000"/>
                <w:spacing w:val="-6"/>
                <w:kern w:val="21"/>
                <w:szCs w:val="21"/>
              </w:rPr>
              <w:instrText xml:space="preserve"> = 7 \* GB3 \* MERGEFORMAT </w:instrText>
            </w:r>
            <w:r>
              <w:rPr>
                <w:rFonts w:ascii="Times New Roman" w:hAnsi="Times New Roman" w:eastAsia="黑体" w:cs="Times New Roman"/>
                <w:snapToGrid w:val="0"/>
                <w:color w:val="000000"/>
                <w:spacing w:val="-6"/>
                <w:kern w:val="21"/>
                <w:szCs w:val="21"/>
              </w:rPr>
              <w:fldChar w:fldCharType="separate"/>
            </w:r>
            <w:r>
              <w:rPr>
                <w:rFonts w:ascii="Times New Roman" w:hAnsi="黑体" w:eastAsia="黑体" w:cs="Times New Roman"/>
                <w:kern w:val="2"/>
                <w:szCs w:val="21"/>
              </w:rPr>
              <w:t>⑦</w:t>
            </w:r>
            <w:r>
              <w:rPr>
                <w:rFonts w:ascii="Times New Roman" w:hAnsi="Times New Roman" w:eastAsia="黑体" w:cs="Times New Roman"/>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115"/>
              <w:spacing w:beforeLines="0" w:afterLines="0" w:line="240" w:lineRule="auto"/>
              <w:rPr>
                <w:rFonts w:ascii="Times New Roman" w:hAnsi="Times New Roman" w:cs="Times New Roman"/>
                <w:snapToGrid w:val="0"/>
                <w:color w:val="000000"/>
                <w:kern w:val="21"/>
                <w:szCs w:val="21"/>
              </w:rPr>
            </w:pPr>
            <w:r>
              <w:rPr>
                <w:rFonts w:ascii="Times New Roman" w:hAnsi="宋体" w:cs="Times New Roman"/>
                <w:snapToGrid w:val="0"/>
                <w:color w:val="000000"/>
                <w:kern w:val="21"/>
                <w:szCs w:val="21"/>
              </w:rPr>
              <w:t>废气</w:t>
            </w:r>
          </w:p>
        </w:tc>
        <w:tc>
          <w:tcPr>
            <w:tcW w:w="1417" w:type="dxa"/>
            <w:vAlign w:val="center"/>
          </w:tcPr>
          <w:p>
            <w:pPr>
              <w:pStyle w:val="117"/>
              <w:spacing w:before="93" w:after="93"/>
              <w:rPr>
                <w:rFonts w:hint="default" w:ascii="Times New Roman" w:hAnsi="Times New Roman" w:cs="Times New Roman" w:eastAsiaTheme="minorEastAsia"/>
                <w:lang w:val="en-US" w:eastAsia="zh-CN"/>
              </w:rPr>
            </w:pPr>
            <w:r>
              <w:rPr>
                <w:rFonts w:hint="eastAsia" w:ascii="Times New Roman" w:cs="Times New Roman"/>
                <w:lang w:val="en-US" w:eastAsia="zh-CN"/>
              </w:rPr>
              <w:t>非甲烷总烃</w:t>
            </w:r>
          </w:p>
        </w:tc>
        <w:tc>
          <w:tcPr>
            <w:tcW w:w="1701" w:type="dxa"/>
            <w:vAlign w:val="center"/>
          </w:tcPr>
          <w:p>
            <w:pPr>
              <w:jc w:val="center"/>
              <w:rPr>
                <w:kern w:val="24"/>
                <w:sz w:val="21"/>
                <w:szCs w:val="21"/>
              </w:rPr>
            </w:pPr>
            <w:r>
              <w:rPr>
                <w:rFonts w:hint="eastAsia"/>
                <w:kern w:val="24"/>
                <w:sz w:val="21"/>
                <w:szCs w:val="21"/>
              </w:rPr>
              <w:t>/</w:t>
            </w:r>
          </w:p>
        </w:tc>
        <w:tc>
          <w:tcPr>
            <w:tcW w:w="1276" w:type="dxa"/>
            <w:vAlign w:val="center"/>
          </w:tcPr>
          <w:p>
            <w:pPr>
              <w:pStyle w:val="115"/>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701" w:type="dxa"/>
            <w:vAlign w:val="center"/>
          </w:tcPr>
          <w:p>
            <w:pPr>
              <w:pStyle w:val="115"/>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559" w:type="dxa"/>
            <w:vAlign w:val="center"/>
          </w:tcPr>
          <w:p>
            <w:pPr>
              <w:jc w:val="center"/>
              <w:rPr>
                <w:rFonts w:hint="default" w:ascii="Times New Roman" w:hAnsi="Times New Roman" w:eastAsia="宋体" w:cs="Times New Roman"/>
                <w:color w:val="000000"/>
                <w:sz w:val="21"/>
                <w:szCs w:val="21"/>
                <w:lang w:val="en-US" w:eastAsia="zh-CN"/>
              </w:rPr>
            </w:pPr>
            <w:r>
              <w:rPr>
                <w:rFonts w:hint="default" w:ascii="Times New Roman" w:hAnsi="Times New Roman" w:cs="Times New Roman"/>
                <w:color w:val="000000"/>
                <w:sz w:val="21"/>
                <w:szCs w:val="21"/>
              </w:rPr>
              <w:t>0.0</w:t>
            </w:r>
            <w:r>
              <w:rPr>
                <w:rFonts w:hint="eastAsia" w:cs="Times New Roman"/>
                <w:color w:val="000000"/>
                <w:sz w:val="21"/>
                <w:szCs w:val="21"/>
                <w:lang w:val="en-US" w:eastAsia="zh-CN"/>
              </w:rPr>
              <w:t>29</w:t>
            </w:r>
            <w:r>
              <w:rPr>
                <w:rFonts w:hint="default" w:ascii="Times New Roman" w:hAnsi="Times New Roman" w:cs="Times New Roman"/>
                <w:color w:val="000000"/>
                <w:sz w:val="21"/>
                <w:szCs w:val="21"/>
                <w:lang w:val="en-US" w:eastAsia="zh-CN"/>
              </w:rPr>
              <w:t>t/a</w:t>
            </w:r>
          </w:p>
        </w:tc>
        <w:tc>
          <w:tcPr>
            <w:tcW w:w="1524" w:type="dxa"/>
            <w:vAlign w:val="center"/>
          </w:tcPr>
          <w:p>
            <w:pPr>
              <w:pStyle w:val="117"/>
              <w:spacing w:before="93" w:after="93"/>
              <w:rPr>
                <w:rFonts w:hint="default" w:ascii="Times New Roman" w:hAnsi="Times New Roman" w:cs="Times New Roman"/>
                <w:color w:val="auto"/>
              </w:rPr>
            </w:pPr>
            <w:r>
              <w:rPr>
                <w:rFonts w:hint="default" w:ascii="Times New Roman" w:hAnsi="Times New Roman" w:cs="Times New Roman"/>
                <w:color w:val="auto"/>
              </w:rPr>
              <w:t>/</w:t>
            </w:r>
          </w:p>
        </w:tc>
        <w:tc>
          <w:tcPr>
            <w:tcW w:w="1740" w:type="dxa"/>
            <w:vAlign w:val="center"/>
          </w:tcPr>
          <w:p>
            <w:pPr>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cs="Times New Roman"/>
                <w:color w:val="000000"/>
                <w:sz w:val="21"/>
                <w:szCs w:val="21"/>
              </w:rPr>
              <w:t>0.0</w:t>
            </w:r>
            <w:r>
              <w:rPr>
                <w:rFonts w:hint="eastAsia" w:cs="Times New Roman"/>
                <w:color w:val="000000"/>
                <w:sz w:val="21"/>
                <w:szCs w:val="21"/>
                <w:lang w:val="en-US" w:eastAsia="zh-CN"/>
              </w:rPr>
              <w:t>29</w:t>
            </w:r>
            <w:r>
              <w:rPr>
                <w:rFonts w:hint="default" w:ascii="Times New Roman" w:hAnsi="Times New Roman" w:cs="Times New Roman"/>
                <w:color w:val="000000"/>
                <w:sz w:val="21"/>
                <w:szCs w:val="21"/>
                <w:lang w:val="en-US" w:eastAsia="zh-CN"/>
              </w:rPr>
              <w:t>t/a</w:t>
            </w:r>
          </w:p>
        </w:tc>
        <w:tc>
          <w:tcPr>
            <w:tcW w:w="1282" w:type="dxa"/>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w:t>
            </w:r>
            <w:r>
              <w:rPr>
                <w:rFonts w:hint="default" w:ascii="Times New Roman" w:hAnsi="Times New Roman" w:cs="Times New Roman"/>
                <w:color w:val="000000"/>
                <w:sz w:val="21"/>
                <w:szCs w:val="21"/>
              </w:rPr>
              <w:t>0.0</w:t>
            </w:r>
            <w:r>
              <w:rPr>
                <w:rFonts w:hint="eastAsia" w:cs="Times New Roman"/>
                <w:color w:val="000000"/>
                <w:sz w:val="21"/>
                <w:szCs w:val="21"/>
                <w:lang w:val="en-US" w:eastAsia="zh-CN"/>
              </w:rPr>
              <w:t>29</w:t>
            </w:r>
            <w:r>
              <w:rPr>
                <w:rFonts w:hint="default" w:ascii="Times New Roman" w:hAnsi="Times New Roman" w:cs="Times New Roman"/>
                <w:color w:val="00000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15"/>
              <w:spacing w:beforeLines="0" w:afterLines="0" w:line="240" w:lineRule="auto"/>
              <w:rPr>
                <w:rFonts w:ascii="Times New Roman" w:hAnsi="宋体" w:cs="Times New Roman"/>
                <w:snapToGrid w:val="0"/>
                <w:color w:val="000000"/>
                <w:kern w:val="21"/>
                <w:szCs w:val="21"/>
              </w:rPr>
            </w:pPr>
          </w:p>
        </w:tc>
        <w:tc>
          <w:tcPr>
            <w:tcW w:w="1417" w:type="dxa"/>
            <w:vAlign w:val="center"/>
          </w:tcPr>
          <w:p>
            <w:pPr>
              <w:pStyle w:val="117"/>
              <w:spacing w:before="93" w:after="93"/>
              <w:rPr>
                <w:rFonts w:hint="default" w:ascii="Times New Roman" w:cs="Times New Roman"/>
                <w:lang w:val="en-US" w:eastAsia="zh-CN"/>
              </w:rPr>
            </w:pPr>
            <w:r>
              <w:rPr>
                <w:rFonts w:hint="eastAsia" w:ascii="Times New Roman" w:cs="Times New Roman"/>
                <w:lang w:val="en-US" w:eastAsia="zh-CN"/>
              </w:rPr>
              <w:t>氯化氢</w:t>
            </w:r>
          </w:p>
        </w:tc>
        <w:tc>
          <w:tcPr>
            <w:tcW w:w="1701" w:type="dxa"/>
            <w:vAlign w:val="center"/>
          </w:tcPr>
          <w:p>
            <w:pPr>
              <w:jc w:val="center"/>
              <w:rPr>
                <w:rFonts w:hint="eastAsia" w:ascii="Times New Roman" w:hAnsi="Times New Roman" w:eastAsia="宋体" w:cs="Times New Roman"/>
                <w:kern w:val="24"/>
                <w:sz w:val="21"/>
                <w:szCs w:val="21"/>
                <w:lang w:val="en-US" w:eastAsia="zh-CN" w:bidi="ar-SA"/>
              </w:rPr>
            </w:pPr>
            <w:r>
              <w:rPr>
                <w:rFonts w:hint="eastAsia"/>
                <w:kern w:val="24"/>
                <w:sz w:val="21"/>
                <w:szCs w:val="21"/>
              </w:rPr>
              <w:t>/</w:t>
            </w:r>
          </w:p>
        </w:tc>
        <w:tc>
          <w:tcPr>
            <w:tcW w:w="1276" w:type="dxa"/>
            <w:vAlign w:val="center"/>
          </w:tcPr>
          <w:p>
            <w:pPr>
              <w:pStyle w:val="115"/>
              <w:spacing w:beforeLines="0" w:afterLines="0" w:line="240" w:lineRule="auto"/>
              <w:rPr>
                <w:rFonts w:ascii="Times New Roman" w:hAnsi="Times New Roman" w:cs="Times New Roman" w:eastAsiaTheme="minorEastAsia"/>
                <w:snapToGrid w:val="0"/>
                <w:color w:val="000000"/>
                <w:kern w:val="21"/>
                <w:sz w:val="21"/>
                <w:szCs w:val="21"/>
                <w:lang w:val="en-US" w:eastAsia="zh-CN" w:bidi="ar-SA"/>
              </w:rPr>
            </w:pPr>
            <w:r>
              <w:rPr>
                <w:rFonts w:ascii="Times New Roman" w:hAnsi="Times New Roman" w:cs="Times New Roman"/>
                <w:snapToGrid w:val="0"/>
                <w:color w:val="000000"/>
                <w:kern w:val="21"/>
                <w:szCs w:val="21"/>
              </w:rPr>
              <w:t>/</w:t>
            </w:r>
          </w:p>
        </w:tc>
        <w:tc>
          <w:tcPr>
            <w:tcW w:w="1701" w:type="dxa"/>
            <w:vAlign w:val="center"/>
          </w:tcPr>
          <w:p>
            <w:pPr>
              <w:pStyle w:val="115"/>
              <w:spacing w:beforeLines="0" w:afterLines="0" w:line="240" w:lineRule="auto"/>
              <w:rPr>
                <w:rFonts w:ascii="Times New Roman" w:hAnsi="Times New Roman" w:cs="Times New Roman" w:eastAsiaTheme="minorEastAsia"/>
                <w:snapToGrid w:val="0"/>
                <w:color w:val="000000"/>
                <w:kern w:val="21"/>
                <w:sz w:val="21"/>
                <w:szCs w:val="21"/>
                <w:lang w:val="en-US" w:eastAsia="zh-CN" w:bidi="ar-SA"/>
              </w:rPr>
            </w:pPr>
            <w:r>
              <w:rPr>
                <w:rFonts w:ascii="Times New Roman" w:hAnsi="Times New Roman" w:cs="Times New Roman"/>
                <w:snapToGrid w:val="0"/>
                <w:color w:val="000000"/>
                <w:kern w:val="21"/>
                <w:szCs w:val="21"/>
              </w:rPr>
              <w:t>/</w:t>
            </w:r>
          </w:p>
        </w:tc>
        <w:tc>
          <w:tcPr>
            <w:tcW w:w="1559" w:type="dxa"/>
            <w:vAlign w:val="center"/>
          </w:tcPr>
          <w:p>
            <w:pPr>
              <w:jc w:val="center"/>
              <w:rPr>
                <w:rFonts w:hint="default" w:ascii="Times New Roman" w:hAnsi="Times New Roman" w:eastAsia="宋体" w:cs="Times New Roman"/>
                <w:color w:val="000000"/>
                <w:sz w:val="21"/>
                <w:szCs w:val="21"/>
                <w:lang w:val="en-US" w:eastAsia="zh-CN"/>
              </w:rPr>
            </w:pPr>
            <w:r>
              <w:rPr>
                <w:rFonts w:hint="eastAsia" w:cs="Times New Roman"/>
                <w:color w:val="000000"/>
                <w:sz w:val="21"/>
                <w:szCs w:val="21"/>
                <w:lang w:val="en-US" w:eastAsia="zh-CN"/>
              </w:rPr>
              <w:t>0.012t/a</w:t>
            </w:r>
          </w:p>
        </w:tc>
        <w:tc>
          <w:tcPr>
            <w:tcW w:w="1524" w:type="dxa"/>
            <w:vAlign w:val="center"/>
          </w:tcPr>
          <w:p>
            <w:pPr>
              <w:pStyle w:val="117"/>
              <w:spacing w:before="93" w:after="93"/>
              <w:rPr>
                <w:rFonts w:hint="default" w:ascii="Times New Roman" w:hAnsi="Times New Roman" w:cs="Times New Roman"/>
                <w:color w:val="auto"/>
              </w:rPr>
            </w:pPr>
            <w:r>
              <w:rPr>
                <w:rFonts w:hint="default" w:ascii="Times New Roman" w:hAnsi="Times New Roman" w:cs="Times New Roman"/>
                <w:color w:val="auto"/>
              </w:rPr>
              <w:t>/</w:t>
            </w:r>
          </w:p>
        </w:tc>
        <w:tc>
          <w:tcPr>
            <w:tcW w:w="1740" w:type="dxa"/>
            <w:vAlign w:val="center"/>
          </w:tcPr>
          <w:p>
            <w:pPr>
              <w:jc w:val="center"/>
              <w:rPr>
                <w:rFonts w:hint="default"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0.012t/a</w:t>
            </w:r>
          </w:p>
        </w:tc>
        <w:tc>
          <w:tcPr>
            <w:tcW w:w="1282" w:type="dxa"/>
            <w:vAlign w:val="center"/>
          </w:tcPr>
          <w:p>
            <w:pPr>
              <w:jc w:val="center"/>
              <w:rPr>
                <w:rFonts w:hint="eastAsia" w:ascii="Times New Roman" w:hAnsi="Times New Roman" w:eastAsia="宋体" w:cs="Times New Roman"/>
                <w:color w:val="000000"/>
                <w:kern w:val="2"/>
                <w:sz w:val="21"/>
                <w:szCs w:val="21"/>
                <w:lang w:val="en-US" w:eastAsia="zh-CN" w:bidi="ar-SA"/>
              </w:rPr>
            </w:pPr>
            <w:r>
              <w:rPr>
                <w:rFonts w:hint="eastAsia" w:cs="Times New Roman"/>
                <w:color w:val="000000"/>
                <w:sz w:val="21"/>
                <w:szCs w:val="21"/>
                <w:lang w:val="en-US" w:eastAsia="zh-CN"/>
              </w:rPr>
              <w:t>+0.012t/a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115"/>
              <w:spacing w:beforeLines="0" w:afterLines="0" w:line="240" w:lineRule="auto"/>
              <w:rPr>
                <w:rFonts w:ascii="Times New Roman" w:hAnsi="Times New Roman" w:cs="Times New Roman"/>
                <w:snapToGrid w:val="0"/>
                <w:color w:val="000000"/>
                <w:kern w:val="21"/>
                <w:szCs w:val="21"/>
              </w:rPr>
            </w:pPr>
            <w:r>
              <w:rPr>
                <w:rFonts w:ascii="Times New Roman" w:hAnsi="宋体" w:cs="Times New Roman"/>
                <w:snapToGrid w:val="0"/>
                <w:color w:val="000000"/>
                <w:kern w:val="21"/>
                <w:szCs w:val="21"/>
              </w:rPr>
              <w:t>废水</w:t>
            </w:r>
          </w:p>
        </w:tc>
        <w:tc>
          <w:tcPr>
            <w:tcW w:w="1417" w:type="dxa"/>
            <w:vAlign w:val="center"/>
          </w:tcPr>
          <w:p>
            <w:pPr>
              <w:pStyle w:val="117"/>
              <w:spacing w:before="93" w:after="93"/>
              <w:rPr>
                <w:rFonts w:ascii="Times New Roman" w:hAnsi="Times New Roman" w:cs="Times New Roman"/>
                <w:color w:val="auto"/>
              </w:rPr>
            </w:pPr>
            <w:r>
              <w:rPr>
                <w:rFonts w:ascii="Times New Roman" w:hAnsi="Times New Roman" w:cs="Times New Roman"/>
              </w:rPr>
              <w:t>COD</w:t>
            </w:r>
          </w:p>
        </w:tc>
        <w:tc>
          <w:tcPr>
            <w:tcW w:w="1701" w:type="dxa"/>
            <w:vAlign w:val="center"/>
          </w:tcPr>
          <w:p>
            <w:pPr>
              <w:pStyle w:val="115"/>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276" w:type="dxa"/>
            <w:vAlign w:val="center"/>
          </w:tcPr>
          <w:p>
            <w:pPr>
              <w:pStyle w:val="115"/>
              <w:spacing w:beforeLines="0" w:afterLines="0" w:line="240" w:lineRule="auto"/>
              <w:rPr>
                <w:rFonts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rPr>
              <w:t>/</w:t>
            </w:r>
          </w:p>
        </w:tc>
        <w:tc>
          <w:tcPr>
            <w:tcW w:w="1701" w:type="dxa"/>
            <w:vAlign w:val="center"/>
          </w:tcPr>
          <w:p>
            <w:pPr>
              <w:jc w:val="center"/>
              <w:rPr>
                <w:sz w:val="21"/>
                <w:szCs w:val="21"/>
              </w:rPr>
            </w:pPr>
            <w:r>
              <w:rPr>
                <w:snapToGrid w:val="0"/>
                <w:color w:val="000000"/>
                <w:kern w:val="21"/>
                <w:sz w:val="21"/>
                <w:szCs w:val="21"/>
              </w:rPr>
              <w:t>/</w:t>
            </w:r>
          </w:p>
        </w:tc>
        <w:tc>
          <w:tcPr>
            <w:tcW w:w="1559"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snapToGrid w:val="0"/>
                <w:color w:val="000000"/>
                <w:kern w:val="21"/>
                <w:szCs w:val="21"/>
              </w:rPr>
              <w:t>0.001</w:t>
            </w:r>
            <w:r>
              <w:rPr>
                <w:rFonts w:hint="default" w:ascii="Times New Roman" w:hAnsi="Times New Roman" w:cs="Times New Roman"/>
                <w:snapToGrid w:val="0"/>
                <w:color w:val="000000"/>
                <w:kern w:val="21"/>
                <w:szCs w:val="21"/>
                <w:lang w:val="en-US" w:eastAsia="zh-CN"/>
              </w:rPr>
              <w:t>4</w:t>
            </w:r>
            <w:r>
              <w:rPr>
                <w:rFonts w:hint="default" w:ascii="Times New Roman" w:hAnsi="Times New Roman" w:cs="Times New Roman"/>
                <w:color w:val="000000"/>
                <w:sz w:val="21"/>
                <w:szCs w:val="21"/>
                <w:lang w:val="en-US" w:eastAsia="zh-CN"/>
              </w:rPr>
              <w:t>t/a</w:t>
            </w:r>
          </w:p>
        </w:tc>
        <w:tc>
          <w:tcPr>
            <w:tcW w:w="1524" w:type="dxa"/>
            <w:vAlign w:val="center"/>
          </w:tcPr>
          <w:p>
            <w:pPr>
              <w:pStyle w:val="115"/>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w:t>
            </w:r>
          </w:p>
        </w:tc>
        <w:tc>
          <w:tcPr>
            <w:tcW w:w="1740"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rPr>
              <w:t>0.001</w:t>
            </w:r>
            <w:r>
              <w:rPr>
                <w:rFonts w:hint="default" w:ascii="Times New Roman" w:hAnsi="Times New Roman" w:cs="Times New Roman"/>
                <w:snapToGrid w:val="0"/>
                <w:color w:val="000000"/>
                <w:kern w:val="21"/>
                <w:szCs w:val="21"/>
                <w:lang w:val="en-US" w:eastAsia="zh-CN"/>
              </w:rPr>
              <w:t>4</w:t>
            </w:r>
            <w:r>
              <w:rPr>
                <w:rFonts w:hint="default" w:ascii="Times New Roman" w:hAnsi="Times New Roman" w:cs="Times New Roman"/>
                <w:color w:val="000000"/>
                <w:sz w:val="21"/>
                <w:szCs w:val="21"/>
                <w:lang w:val="en-US" w:eastAsia="zh-CN"/>
              </w:rPr>
              <w:t>t/a</w:t>
            </w:r>
          </w:p>
        </w:tc>
        <w:tc>
          <w:tcPr>
            <w:tcW w:w="1282"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w:t>
            </w:r>
            <w:r>
              <w:rPr>
                <w:rFonts w:hint="default" w:ascii="Times New Roman" w:hAnsi="Times New Roman" w:cs="Times New Roman"/>
                <w:snapToGrid w:val="0"/>
                <w:color w:val="000000"/>
                <w:kern w:val="21"/>
                <w:szCs w:val="21"/>
              </w:rPr>
              <w:t>0.001</w:t>
            </w:r>
            <w:r>
              <w:rPr>
                <w:rFonts w:hint="default" w:ascii="Times New Roman" w:hAnsi="Times New Roman" w:cs="Times New Roman"/>
                <w:snapToGrid w:val="0"/>
                <w:color w:val="000000"/>
                <w:kern w:val="21"/>
                <w:szCs w:val="21"/>
                <w:lang w:val="en-US" w:eastAsia="zh-CN"/>
              </w:rPr>
              <w:t>4</w:t>
            </w:r>
            <w:r>
              <w:rPr>
                <w:rFonts w:hint="default" w:ascii="Times New Roman" w:hAnsi="Times New Roman" w:cs="Times New Roman"/>
                <w:color w:val="00000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15"/>
              <w:spacing w:beforeLines="0" w:afterLines="0" w:line="240" w:lineRule="auto"/>
              <w:rPr>
                <w:rFonts w:ascii="Times New Roman" w:hAnsi="Times New Roman" w:cs="Times New Roman"/>
                <w:snapToGrid w:val="0"/>
                <w:color w:val="000000"/>
                <w:kern w:val="21"/>
                <w:szCs w:val="21"/>
              </w:rPr>
            </w:pPr>
          </w:p>
        </w:tc>
        <w:tc>
          <w:tcPr>
            <w:tcW w:w="1417" w:type="dxa"/>
            <w:vAlign w:val="center"/>
          </w:tcPr>
          <w:p>
            <w:pPr>
              <w:pStyle w:val="117"/>
              <w:spacing w:before="93" w:after="93"/>
              <w:rPr>
                <w:rFonts w:ascii="Times New Roman" w:hAnsi="Times New Roman" w:cs="Times New Roman"/>
              </w:rPr>
            </w:pPr>
            <w:r>
              <w:rPr>
                <w:rFonts w:ascii="Times New Roman" w:cs="Times New Roman"/>
              </w:rPr>
              <w:t>氨氮</w:t>
            </w:r>
          </w:p>
        </w:tc>
        <w:tc>
          <w:tcPr>
            <w:tcW w:w="1701" w:type="dxa"/>
            <w:vAlign w:val="center"/>
          </w:tcPr>
          <w:p>
            <w:pPr>
              <w:jc w:val="center"/>
              <w:rPr>
                <w:sz w:val="21"/>
                <w:szCs w:val="21"/>
              </w:rPr>
            </w:pPr>
            <w:r>
              <w:rPr>
                <w:snapToGrid w:val="0"/>
                <w:color w:val="000000"/>
                <w:kern w:val="21"/>
                <w:sz w:val="21"/>
                <w:szCs w:val="21"/>
              </w:rPr>
              <w:t>/</w:t>
            </w:r>
          </w:p>
        </w:tc>
        <w:tc>
          <w:tcPr>
            <w:tcW w:w="1276" w:type="dxa"/>
            <w:vAlign w:val="center"/>
          </w:tcPr>
          <w:p>
            <w:pPr>
              <w:pStyle w:val="115"/>
              <w:spacing w:beforeLines="0" w:afterLines="0" w:line="240" w:lineRule="auto"/>
              <w:rPr>
                <w:rFonts w:ascii="Times New Roman" w:hAnsi="Times New Roman" w:cs="Times New Roman"/>
                <w:snapToGrid w:val="0"/>
                <w:color w:val="000000"/>
                <w:kern w:val="21"/>
                <w:szCs w:val="21"/>
              </w:rPr>
            </w:pPr>
            <w:r>
              <w:rPr>
                <w:rFonts w:hint="eastAsia" w:ascii="Times New Roman" w:hAnsi="Times New Roman" w:cs="Times New Roman"/>
                <w:snapToGrid w:val="0"/>
                <w:color w:val="000000"/>
                <w:kern w:val="21"/>
                <w:szCs w:val="21"/>
              </w:rPr>
              <w:t>/</w:t>
            </w:r>
          </w:p>
        </w:tc>
        <w:tc>
          <w:tcPr>
            <w:tcW w:w="1701" w:type="dxa"/>
            <w:vAlign w:val="center"/>
          </w:tcPr>
          <w:p>
            <w:pPr>
              <w:jc w:val="center"/>
              <w:rPr>
                <w:sz w:val="21"/>
                <w:szCs w:val="21"/>
              </w:rPr>
            </w:pPr>
            <w:r>
              <w:rPr>
                <w:snapToGrid w:val="0"/>
                <w:color w:val="000000"/>
                <w:kern w:val="21"/>
                <w:sz w:val="21"/>
                <w:szCs w:val="21"/>
              </w:rPr>
              <w:t>/</w:t>
            </w:r>
          </w:p>
        </w:tc>
        <w:tc>
          <w:tcPr>
            <w:tcW w:w="1559" w:type="dxa"/>
            <w:vAlign w:val="center"/>
          </w:tcPr>
          <w:p>
            <w:pPr>
              <w:pStyle w:val="115"/>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0.0001</w:t>
            </w:r>
            <w:r>
              <w:rPr>
                <w:rFonts w:hint="default" w:ascii="Times New Roman" w:hAnsi="Times New Roman" w:cs="Times New Roman"/>
                <w:color w:val="000000"/>
                <w:sz w:val="21"/>
                <w:szCs w:val="21"/>
                <w:lang w:val="en-US" w:eastAsia="zh-CN"/>
              </w:rPr>
              <w:t>t/a</w:t>
            </w:r>
          </w:p>
        </w:tc>
        <w:tc>
          <w:tcPr>
            <w:tcW w:w="1524" w:type="dxa"/>
            <w:vAlign w:val="center"/>
          </w:tcPr>
          <w:p>
            <w:pPr>
              <w:pStyle w:val="115"/>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w:t>
            </w:r>
          </w:p>
        </w:tc>
        <w:tc>
          <w:tcPr>
            <w:tcW w:w="1740"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rPr>
              <w:t>0.0001</w:t>
            </w:r>
            <w:r>
              <w:rPr>
                <w:rFonts w:hint="default" w:ascii="Times New Roman" w:hAnsi="Times New Roman" w:cs="Times New Roman"/>
                <w:color w:val="000000"/>
                <w:sz w:val="21"/>
                <w:szCs w:val="21"/>
                <w:lang w:val="en-US" w:eastAsia="zh-CN"/>
              </w:rPr>
              <w:t>t/a</w:t>
            </w:r>
          </w:p>
        </w:tc>
        <w:tc>
          <w:tcPr>
            <w:tcW w:w="1282"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w:t>
            </w:r>
            <w:r>
              <w:rPr>
                <w:rFonts w:hint="default" w:ascii="Times New Roman" w:hAnsi="Times New Roman" w:cs="Times New Roman"/>
                <w:snapToGrid w:val="0"/>
                <w:color w:val="000000"/>
                <w:kern w:val="21"/>
                <w:szCs w:val="21"/>
              </w:rPr>
              <w:t>0.0001</w:t>
            </w:r>
            <w:r>
              <w:rPr>
                <w:rFonts w:hint="default" w:ascii="Times New Roman" w:hAnsi="Times New Roman" w:cs="Times New Roman"/>
                <w:color w:val="00000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15"/>
              <w:spacing w:beforeLines="0" w:afterLines="0" w:line="240" w:lineRule="auto"/>
              <w:rPr>
                <w:rFonts w:ascii="Times New Roman" w:hAnsi="Times New Roman" w:cs="Times New Roman"/>
                <w:snapToGrid w:val="0"/>
                <w:color w:val="000000"/>
                <w:kern w:val="21"/>
                <w:szCs w:val="21"/>
              </w:rPr>
            </w:pPr>
          </w:p>
        </w:tc>
        <w:tc>
          <w:tcPr>
            <w:tcW w:w="1417" w:type="dxa"/>
            <w:vAlign w:val="center"/>
          </w:tcPr>
          <w:p>
            <w:pPr>
              <w:pStyle w:val="117"/>
              <w:spacing w:before="93" w:after="93"/>
              <w:rPr>
                <w:rFonts w:ascii="Times New Roman" w:hAnsi="Times New Roman" w:cs="Times New Roman"/>
              </w:rPr>
            </w:pPr>
            <w:r>
              <w:rPr>
                <w:rFonts w:ascii="Times New Roman" w:cs="Times New Roman"/>
              </w:rPr>
              <w:t>总磷</w:t>
            </w:r>
          </w:p>
        </w:tc>
        <w:tc>
          <w:tcPr>
            <w:tcW w:w="1701" w:type="dxa"/>
            <w:vAlign w:val="center"/>
          </w:tcPr>
          <w:p>
            <w:pPr>
              <w:pStyle w:val="115"/>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276" w:type="dxa"/>
            <w:vAlign w:val="center"/>
          </w:tcPr>
          <w:p>
            <w:pPr>
              <w:jc w:val="center"/>
              <w:rPr>
                <w:sz w:val="21"/>
                <w:szCs w:val="21"/>
              </w:rPr>
            </w:pPr>
            <w:r>
              <w:rPr>
                <w:snapToGrid w:val="0"/>
                <w:color w:val="000000"/>
                <w:kern w:val="21"/>
                <w:sz w:val="21"/>
                <w:szCs w:val="21"/>
              </w:rPr>
              <w:t>/</w:t>
            </w:r>
          </w:p>
        </w:tc>
        <w:tc>
          <w:tcPr>
            <w:tcW w:w="1701" w:type="dxa"/>
            <w:vAlign w:val="center"/>
          </w:tcPr>
          <w:p>
            <w:pPr>
              <w:jc w:val="center"/>
              <w:rPr>
                <w:sz w:val="21"/>
                <w:szCs w:val="21"/>
              </w:rPr>
            </w:pPr>
            <w:r>
              <w:rPr>
                <w:snapToGrid w:val="0"/>
                <w:color w:val="000000"/>
                <w:kern w:val="21"/>
                <w:sz w:val="21"/>
                <w:szCs w:val="21"/>
              </w:rPr>
              <w:t>/</w:t>
            </w:r>
          </w:p>
        </w:tc>
        <w:tc>
          <w:tcPr>
            <w:tcW w:w="1559"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snapToGrid w:val="0"/>
                <w:color w:val="000000"/>
                <w:kern w:val="21"/>
                <w:szCs w:val="21"/>
              </w:rPr>
              <w:t>0.0000</w:t>
            </w:r>
            <w:r>
              <w:rPr>
                <w:rFonts w:hint="default" w:ascii="Times New Roman" w:hAnsi="Times New Roman" w:cs="Times New Roman"/>
                <w:snapToGrid w:val="0"/>
                <w:color w:val="000000"/>
                <w:kern w:val="21"/>
                <w:szCs w:val="21"/>
                <w:lang w:val="en-US" w:eastAsia="zh-CN"/>
              </w:rPr>
              <w:t>2</w:t>
            </w:r>
            <w:r>
              <w:rPr>
                <w:rFonts w:hint="default" w:ascii="Times New Roman" w:hAnsi="Times New Roman" w:cs="Times New Roman"/>
                <w:color w:val="000000"/>
                <w:sz w:val="21"/>
                <w:szCs w:val="21"/>
                <w:lang w:val="en-US" w:eastAsia="zh-CN"/>
              </w:rPr>
              <w:t>t/a</w:t>
            </w:r>
          </w:p>
        </w:tc>
        <w:tc>
          <w:tcPr>
            <w:tcW w:w="1524" w:type="dxa"/>
            <w:vAlign w:val="center"/>
          </w:tcPr>
          <w:p>
            <w:pPr>
              <w:pStyle w:val="115"/>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w:t>
            </w:r>
          </w:p>
        </w:tc>
        <w:tc>
          <w:tcPr>
            <w:tcW w:w="1740"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rPr>
              <w:t>0.0000</w:t>
            </w:r>
            <w:r>
              <w:rPr>
                <w:rFonts w:hint="default" w:ascii="Times New Roman" w:hAnsi="Times New Roman" w:cs="Times New Roman"/>
                <w:snapToGrid w:val="0"/>
                <w:color w:val="000000"/>
                <w:kern w:val="21"/>
                <w:szCs w:val="21"/>
                <w:lang w:val="en-US" w:eastAsia="zh-CN"/>
              </w:rPr>
              <w:t>2</w:t>
            </w:r>
            <w:r>
              <w:rPr>
                <w:rFonts w:hint="default" w:ascii="Times New Roman" w:hAnsi="Times New Roman" w:cs="Times New Roman"/>
                <w:color w:val="000000"/>
                <w:sz w:val="21"/>
                <w:szCs w:val="21"/>
                <w:lang w:val="en-US" w:eastAsia="zh-CN"/>
              </w:rPr>
              <w:t>t/a</w:t>
            </w:r>
          </w:p>
        </w:tc>
        <w:tc>
          <w:tcPr>
            <w:tcW w:w="1282"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w:t>
            </w:r>
            <w:r>
              <w:rPr>
                <w:rFonts w:hint="default" w:ascii="Times New Roman" w:hAnsi="Times New Roman" w:cs="Times New Roman"/>
                <w:snapToGrid w:val="0"/>
                <w:color w:val="000000"/>
                <w:kern w:val="21"/>
                <w:szCs w:val="21"/>
              </w:rPr>
              <w:t>0.0000</w:t>
            </w:r>
            <w:r>
              <w:rPr>
                <w:rFonts w:hint="default" w:ascii="Times New Roman" w:hAnsi="Times New Roman" w:cs="Times New Roman"/>
                <w:snapToGrid w:val="0"/>
                <w:color w:val="000000"/>
                <w:kern w:val="21"/>
                <w:szCs w:val="21"/>
                <w:lang w:val="en-US" w:eastAsia="zh-CN"/>
              </w:rPr>
              <w:t>2</w:t>
            </w:r>
            <w:r>
              <w:rPr>
                <w:rFonts w:hint="default" w:ascii="Times New Roman" w:hAnsi="Times New Roman" w:cs="Times New Roman"/>
                <w:color w:val="00000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15"/>
              <w:spacing w:beforeLines="0" w:afterLines="0" w:line="240" w:lineRule="auto"/>
              <w:rPr>
                <w:rFonts w:ascii="Times New Roman" w:hAnsi="Times New Roman" w:cs="Times New Roman"/>
                <w:snapToGrid w:val="0"/>
                <w:color w:val="000000"/>
                <w:kern w:val="21"/>
                <w:szCs w:val="21"/>
              </w:rPr>
            </w:pPr>
          </w:p>
        </w:tc>
        <w:tc>
          <w:tcPr>
            <w:tcW w:w="1417" w:type="dxa"/>
            <w:vAlign w:val="center"/>
          </w:tcPr>
          <w:p>
            <w:pPr>
              <w:pStyle w:val="117"/>
              <w:spacing w:before="93" w:after="93"/>
              <w:rPr>
                <w:rFonts w:ascii="Times New Roman" w:hAnsi="Times New Roman" w:cs="Times New Roman"/>
              </w:rPr>
            </w:pPr>
            <w:r>
              <w:rPr>
                <w:rFonts w:ascii="Times New Roman" w:cs="Times New Roman"/>
              </w:rPr>
              <w:t>总氮</w:t>
            </w:r>
          </w:p>
        </w:tc>
        <w:tc>
          <w:tcPr>
            <w:tcW w:w="1701" w:type="dxa"/>
            <w:vAlign w:val="center"/>
          </w:tcPr>
          <w:p>
            <w:pPr>
              <w:jc w:val="center"/>
              <w:rPr>
                <w:sz w:val="21"/>
                <w:szCs w:val="21"/>
              </w:rPr>
            </w:pPr>
            <w:r>
              <w:rPr>
                <w:snapToGrid w:val="0"/>
                <w:color w:val="000000"/>
                <w:kern w:val="21"/>
                <w:sz w:val="21"/>
                <w:szCs w:val="21"/>
              </w:rPr>
              <w:t>/</w:t>
            </w:r>
          </w:p>
        </w:tc>
        <w:tc>
          <w:tcPr>
            <w:tcW w:w="1276" w:type="dxa"/>
            <w:vAlign w:val="center"/>
          </w:tcPr>
          <w:p>
            <w:pPr>
              <w:jc w:val="center"/>
              <w:rPr>
                <w:sz w:val="21"/>
                <w:szCs w:val="21"/>
              </w:rPr>
            </w:pPr>
            <w:r>
              <w:rPr>
                <w:snapToGrid w:val="0"/>
                <w:color w:val="000000"/>
                <w:kern w:val="21"/>
                <w:sz w:val="21"/>
                <w:szCs w:val="21"/>
              </w:rPr>
              <w:t>/</w:t>
            </w:r>
          </w:p>
        </w:tc>
        <w:tc>
          <w:tcPr>
            <w:tcW w:w="1701" w:type="dxa"/>
            <w:vAlign w:val="center"/>
          </w:tcPr>
          <w:p>
            <w:pPr>
              <w:jc w:val="center"/>
              <w:rPr>
                <w:sz w:val="21"/>
                <w:szCs w:val="21"/>
              </w:rPr>
            </w:pPr>
            <w:r>
              <w:rPr>
                <w:snapToGrid w:val="0"/>
                <w:color w:val="000000"/>
                <w:kern w:val="21"/>
                <w:sz w:val="21"/>
                <w:szCs w:val="21"/>
              </w:rPr>
              <w:t>/</w:t>
            </w:r>
          </w:p>
        </w:tc>
        <w:tc>
          <w:tcPr>
            <w:tcW w:w="1559"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Cs w:val="21"/>
                <w:lang w:val="en-US" w:eastAsia="zh-CN"/>
              </w:rPr>
            </w:pPr>
            <w:r>
              <w:rPr>
                <w:rFonts w:hint="default" w:ascii="Times New Roman" w:hAnsi="Times New Roman" w:cs="Times New Roman"/>
                <w:snapToGrid w:val="0"/>
                <w:color w:val="000000"/>
                <w:kern w:val="21"/>
                <w:szCs w:val="21"/>
              </w:rPr>
              <w:t>0.000</w:t>
            </w:r>
            <w:r>
              <w:rPr>
                <w:rFonts w:hint="default" w:ascii="Times New Roman" w:hAnsi="Times New Roman" w:cs="Times New Roman"/>
                <w:snapToGrid w:val="0"/>
                <w:color w:val="000000"/>
                <w:kern w:val="21"/>
                <w:szCs w:val="21"/>
                <w:lang w:val="en-US" w:eastAsia="zh-CN"/>
              </w:rPr>
              <w:t>5</w:t>
            </w:r>
            <w:r>
              <w:rPr>
                <w:rFonts w:hint="default" w:ascii="Times New Roman" w:hAnsi="Times New Roman" w:cs="Times New Roman"/>
                <w:color w:val="000000"/>
                <w:sz w:val="21"/>
                <w:szCs w:val="21"/>
                <w:lang w:val="en-US" w:eastAsia="zh-CN"/>
              </w:rPr>
              <w:t>t/a</w:t>
            </w:r>
          </w:p>
        </w:tc>
        <w:tc>
          <w:tcPr>
            <w:tcW w:w="1524" w:type="dxa"/>
            <w:vAlign w:val="center"/>
          </w:tcPr>
          <w:p>
            <w:pPr>
              <w:pStyle w:val="115"/>
              <w:spacing w:beforeLines="0" w:afterLines="0" w:line="240" w:lineRule="auto"/>
              <w:rPr>
                <w:rFonts w:hint="default" w:ascii="Times New Roman" w:hAnsi="Times New Roman" w:cs="Times New Roman"/>
                <w:snapToGrid w:val="0"/>
                <w:color w:val="000000"/>
                <w:kern w:val="21"/>
                <w:szCs w:val="21"/>
              </w:rPr>
            </w:pPr>
            <w:r>
              <w:rPr>
                <w:rFonts w:hint="default" w:ascii="Times New Roman" w:hAnsi="Times New Roman" w:cs="Times New Roman"/>
                <w:snapToGrid w:val="0"/>
                <w:color w:val="000000"/>
                <w:kern w:val="21"/>
                <w:szCs w:val="21"/>
              </w:rPr>
              <w:t>/</w:t>
            </w:r>
          </w:p>
        </w:tc>
        <w:tc>
          <w:tcPr>
            <w:tcW w:w="1740"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rPr>
              <w:t>0.000</w:t>
            </w:r>
            <w:r>
              <w:rPr>
                <w:rFonts w:hint="default" w:ascii="Times New Roman" w:hAnsi="Times New Roman" w:cs="Times New Roman"/>
                <w:snapToGrid w:val="0"/>
                <w:color w:val="000000"/>
                <w:kern w:val="21"/>
                <w:szCs w:val="21"/>
                <w:lang w:val="en-US" w:eastAsia="zh-CN"/>
              </w:rPr>
              <w:t>5</w:t>
            </w:r>
            <w:r>
              <w:rPr>
                <w:rFonts w:hint="default" w:ascii="Times New Roman" w:hAnsi="Times New Roman" w:cs="Times New Roman"/>
                <w:color w:val="000000"/>
                <w:sz w:val="21"/>
                <w:szCs w:val="21"/>
                <w:lang w:val="en-US" w:eastAsia="zh-CN"/>
              </w:rPr>
              <w:t>t/a</w:t>
            </w:r>
          </w:p>
        </w:tc>
        <w:tc>
          <w:tcPr>
            <w:tcW w:w="1282"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eastAsia" w:ascii="Times New Roman" w:hAnsi="Times New Roman" w:cs="Times New Roman"/>
                <w:snapToGrid w:val="0"/>
                <w:color w:val="000000"/>
                <w:kern w:val="21"/>
                <w:szCs w:val="21"/>
                <w:lang w:val="en-US" w:eastAsia="zh-CN"/>
              </w:rPr>
              <w:t>+</w:t>
            </w:r>
            <w:r>
              <w:rPr>
                <w:rFonts w:hint="default" w:ascii="Times New Roman" w:hAnsi="Times New Roman" w:cs="Times New Roman"/>
                <w:snapToGrid w:val="0"/>
                <w:color w:val="000000"/>
                <w:kern w:val="21"/>
                <w:szCs w:val="21"/>
              </w:rPr>
              <w:t>0.000</w:t>
            </w:r>
            <w:r>
              <w:rPr>
                <w:rFonts w:hint="default" w:ascii="Times New Roman" w:hAnsi="Times New Roman" w:cs="Times New Roman"/>
                <w:snapToGrid w:val="0"/>
                <w:color w:val="000000"/>
                <w:kern w:val="21"/>
                <w:szCs w:val="21"/>
                <w:lang w:val="en-US" w:eastAsia="zh-CN"/>
              </w:rPr>
              <w:t>5</w:t>
            </w:r>
            <w:r>
              <w:rPr>
                <w:rFonts w:hint="default" w:ascii="Times New Roman" w:hAnsi="Times New Roman" w:cs="Times New Roman"/>
                <w:color w:val="00000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115"/>
              <w:spacing w:beforeLines="0" w:afterLines="0" w:line="240" w:lineRule="auto"/>
              <w:rPr>
                <w:rFonts w:ascii="Times New Roman" w:hAnsi="Times New Roman" w:cs="Times New Roman"/>
                <w:snapToGrid w:val="0"/>
                <w:color w:val="000000"/>
                <w:kern w:val="21"/>
                <w:szCs w:val="21"/>
              </w:rPr>
            </w:pPr>
            <w:r>
              <w:rPr>
                <w:rFonts w:ascii="Times New Roman" w:hAnsi="宋体" w:cs="Times New Roman"/>
                <w:snapToGrid w:val="0"/>
                <w:color w:val="000000"/>
                <w:kern w:val="21"/>
                <w:szCs w:val="21"/>
              </w:rPr>
              <w:t>一般工业</w:t>
            </w:r>
          </w:p>
          <w:p>
            <w:pPr>
              <w:pStyle w:val="115"/>
              <w:spacing w:beforeLines="0" w:afterLines="0" w:line="240" w:lineRule="auto"/>
              <w:rPr>
                <w:rFonts w:ascii="Times New Roman" w:hAnsi="Times New Roman" w:cs="Times New Roman"/>
                <w:snapToGrid w:val="0"/>
                <w:color w:val="000000"/>
                <w:kern w:val="21"/>
                <w:szCs w:val="21"/>
              </w:rPr>
            </w:pPr>
            <w:r>
              <w:rPr>
                <w:rFonts w:ascii="Times New Roman" w:hAnsi="宋体" w:cs="Times New Roman"/>
                <w:snapToGrid w:val="0"/>
                <w:color w:val="000000"/>
                <w:kern w:val="21"/>
                <w:szCs w:val="21"/>
              </w:rPr>
              <w:t>固体废物</w:t>
            </w:r>
          </w:p>
        </w:tc>
        <w:tc>
          <w:tcPr>
            <w:tcW w:w="1417" w:type="dxa"/>
            <w:vAlign w:val="center"/>
          </w:tcPr>
          <w:p>
            <w:pPr>
              <w:pStyle w:val="115"/>
              <w:spacing w:beforeLines="0" w:afterLines="0" w:line="240" w:lineRule="auto"/>
              <w:rPr>
                <w:rFonts w:hint="eastAsia" w:ascii="Times New Roman" w:hAnsi="Times New Roman" w:cs="Times New Roman" w:eastAsiaTheme="minorEastAsia"/>
                <w:snapToGrid w:val="0"/>
                <w:color w:val="000000"/>
                <w:kern w:val="21"/>
                <w:szCs w:val="21"/>
                <w:lang w:val="en-US" w:eastAsia="zh-CN"/>
              </w:rPr>
            </w:pPr>
            <w:r>
              <w:rPr>
                <w:rFonts w:hint="eastAsia" w:ascii="Times New Roman" w:hAnsi="Times New Roman" w:cs="Times New Roman"/>
                <w:snapToGrid w:val="0"/>
                <w:color w:val="000000"/>
                <w:kern w:val="21"/>
                <w:szCs w:val="21"/>
                <w:lang w:val="en-US" w:eastAsia="zh-CN"/>
              </w:rPr>
              <w:t>/</w:t>
            </w:r>
          </w:p>
        </w:tc>
        <w:tc>
          <w:tcPr>
            <w:tcW w:w="1701" w:type="dxa"/>
            <w:vAlign w:val="center"/>
          </w:tcPr>
          <w:p>
            <w:pPr>
              <w:pStyle w:val="115"/>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276" w:type="dxa"/>
            <w:vAlign w:val="center"/>
          </w:tcPr>
          <w:p>
            <w:pPr>
              <w:jc w:val="center"/>
              <w:rPr>
                <w:sz w:val="21"/>
                <w:szCs w:val="21"/>
              </w:rPr>
            </w:pPr>
            <w:r>
              <w:rPr>
                <w:snapToGrid w:val="0"/>
                <w:color w:val="000000"/>
                <w:kern w:val="21"/>
                <w:sz w:val="21"/>
                <w:szCs w:val="21"/>
              </w:rPr>
              <w:t>/</w:t>
            </w:r>
          </w:p>
        </w:tc>
        <w:tc>
          <w:tcPr>
            <w:tcW w:w="1701" w:type="dxa"/>
            <w:vAlign w:val="center"/>
          </w:tcPr>
          <w:p>
            <w:pPr>
              <w:jc w:val="center"/>
              <w:rPr>
                <w:sz w:val="21"/>
                <w:szCs w:val="21"/>
              </w:rPr>
            </w:pPr>
            <w:r>
              <w:rPr>
                <w:snapToGrid w:val="0"/>
                <w:color w:val="000000"/>
                <w:kern w:val="21"/>
                <w:sz w:val="21"/>
                <w:szCs w:val="21"/>
              </w:rPr>
              <w:t>/</w:t>
            </w:r>
          </w:p>
        </w:tc>
        <w:tc>
          <w:tcPr>
            <w:tcW w:w="1559"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c>
          <w:tcPr>
            <w:tcW w:w="1524"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rPr>
              <w:t>/</w:t>
            </w:r>
          </w:p>
        </w:tc>
        <w:tc>
          <w:tcPr>
            <w:tcW w:w="1740"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c>
          <w:tcPr>
            <w:tcW w:w="1282"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15"/>
              <w:spacing w:beforeLines="0" w:afterLines="0" w:line="240" w:lineRule="auto"/>
              <w:rPr>
                <w:rFonts w:ascii="Times New Roman" w:hAnsi="宋体" w:cs="Times New Roman"/>
                <w:snapToGrid w:val="0"/>
                <w:color w:val="000000"/>
                <w:kern w:val="21"/>
                <w:szCs w:val="21"/>
              </w:rPr>
            </w:pPr>
          </w:p>
        </w:tc>
        <w:tc>
          <w:tcPr>
            <w:tcW w:w="1417" w:type="dxa"/>
            <w:vAlign w:val="center"/>
          </w:tcPr>
          <w:p>
            <w:pPr>
              <w:pStyle w:val="115"/>
              <w:spacing w:beforeLines="0" w:afterLines="0" w:line="240" w:lineRule="auto"/>
              <w:rPr>
                <w:rFonts w:hint="eastAsia" w:ascii="Times New Roman" w:hAnsi="宋体" w:cs="Times New Roman" w:eastAsiaTheme="minorEastAsia"/>
                <w:snapToGrid w:val="0"/>
                <w:color w:val="000000"/>
                <w:kern w:val="21"/>
                <w:szCs w:val="21"/>
                <w:lang w:val="en-US" w:eastAsia="zh-CN"/>
              </w:rPr>
            </w:pPr>
            <w:r>
              <w:rPr>
                <w:rFonts w:hint="eastAsia" w:ascii="Times New Roman" w:hAnsi="宋体" w:cs="Times New Roman"/>
                <w:snapToGrid w:val="0"/>
                <w:color w:val="000000"/>
                <w:kern w:val="21"/>
                <w:szCs w:val="21"/>
                <w:lang w:val="en-US" w:eastAsia="zh-CN"/>
              </w:rPr>
              <w:t>/</w:t>
            </w:r>
          </w:p>
        </w:tc>
        <w:tc>
          <w:tcPr>
            <w:tcW w:w="1701" w:type="dxa"/>
            <w:vAlign w:val="center"/>
          </w:tcPr>
          <w:p>
            <w:pPr>
              <w:pStyle w:val="115"/>
              <w:spacing w:beforeLines="0" w:afterLines="0" w:line="240" w:lineRule="auto"/>
              <w:rPr>
                <w:rFonts w:ascii="Times New Roman" w:hAnsi="Times New Roman" w:cs="Times New Roman"/>
                <w:snapToGrid w:val="0"/>
                <w:color w:val="000000"/>
                <w:kern w:val="21"/>
                <w:szCs w:val="21"/>
              </w:rPr>
            </w:pPr>
            <w:r>
              <w:rPr>
                <w:rFonts w:ascii="Times New Roman" w:hAnsi="Times New Roman" w:cs="Times New Roman"/>
                <w:snapToGrid w:val="0"/>
                <w:color w:val="000000"/>
                <w:kern w:val="21"/>
                <w:szCs w:val="21"/>
              </w:rPr>
              <w:t>/</w:t>
            </w:r>
          </w:p>
        </w:tc>
        <w:tc>
          <w:tcPr>
            <w:tcW w:w="1276" w:type="dxa"/>
            <w:vAlign w:val="center"/>
          </w:tcPr>
          <w:p>
            <w:pPr>
              <w:jc w:val="center"/>
            </w:pPr>
            <w:r>
              <w:rPr>
                <w:rFonts w:hint="eastAsia"/>
                <w:color w:val="000000"/>
                <w:kern w:val="24"/>
                <w:sz w:val="21"/>
                <w:szCs w:val="21"/>
              </w:rPr>
              <w:t>/</w:t>
            </w:r>
          </w:p>
        </w:tc>
        <w:tc>
          <w:tcPr>
            <w:tcW w:w="1701" w:type="dxa"/>
            <w:vAlign w:val="center"/>
          </w:tcPr>
          <w:p>
            <w:pPr>
              <w:jc w:val="center"/>
              <w:rPr>
                <w:sz w:val="21"/>
                <w:szCs w:val="21"/>
              </w:rPr>
            </w:pPr>
            <w:r>
              <w:rPr>
                <w:snapToGrid w:val="0"/>
                <w:color w:val="000000"/>
                <w:kern w:val="21"/>
                <w:sz w:val="21"/>
                <w:szCs w:val="21"/>
              </w:rPr>
              <w:t>/</w:t>
            </w:r>
          </w:p>
        </w:tc>
        <w:tc>
          <w:tcPr>
            <w:tcW w:w="1559"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c>
          <w:tcPr>
            <w:tcW w:w="1524"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rPr>
              <w:t>/</w:t>
            </w:r>
          </w:p>
        </w:tc>
        <w:tc>
          <w:tcPr>
            <w:tcW w:w="1740"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c>
          <w:tcPr>
            <w:tcW w:w="1282"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115"/>
              <w:spacing w:beforeLines="0" w:afterLines="0" w:line="240" w:lineRule="auto"/>
              <w:rPr>
                <w:rFonts w:ascii="Times New Roman" w:hAnsi="宋体" w:cs="Times New Roman"/>
                <w:snapToGrid w:val="0"/>
                <w:color w:val="000000"/>
                <w:kern w:val="21"/>
                <w:szCs w:val="21"/>
              </w:rPr>
            </w:pPr>
            <w:r>
              <w:rPr>
                <w:rFonts w:hint="eastAsia" w:ascii="Times New Roman" w:hAnsi="宋体" w:cs="Times New Roman"/>
                <w:snapToGrid w:val="0"/>
                <w:color w:val="000000"/>
                <w:kern w:val="21"/>
                <w:szCs w:val="21"/>
              </w:rPr>
              <w:t>危险废物</w:t>
            </w:r>
          </w:p>
        </w:tc>
        <w:tc>
          <w:tcPr>
            <w:tcW w:w="1417" w:type="dxa"/>
            <w:vAlign w:val="center"/>
          </w:tcPr>
          <w:p>
            <w:pPr>
              <w:pStyle w:val="115"/>
              <w:spacing w:beforeLines="0" w:afterLines="0" w:line="240" w:lineRule="auto"/>
              <w:rPr>
                <w:rFonts w:hint="default" w:ascii="Times New Roman" w:hAnsi="宋体" w:cs="Times New Roman" w:eastAsiaTheme="minorEastAsia"/>
                <w:snapToGrid w:val="0"/>
                <w:color w:val="000000"/>
                <w:kern w:val="21"/>
                <w:szCs w:val="21"/>
                <w:lang w:val="en-US" w:eastAsia="zh-CN"/>
              </w:rPr>
            </w:pPr>
            <w:r>
              <w:rPr>
                <w:rFonts w:hint="eastAsia" w:ascii="Times New Roman" w:hAnsi="宋体" w:cs="Times New Roman"/>
                <w:snapToGrid w:val="0"/>
                <w:color w:val="000000"/>
                <w:kern w:val="21"/>
                <w:szCs w:val="21"/>
                <w:lang w:val="en-US" w:eastAsia="zh-CN"/>
              </w:rPr>
              <w:t>废包装袋/桶</w:t>
            </w:r>
          </w:p>
        </w:tc>
        <w:tc>
          <w:tcPr>
            <w:tcW w:w="1701" w:type="dxa"/>
            <w:vAlign w:val="center"/>
          </w:tcPr>
          <w:p>
            <w:pPr>
              <w:jc w:val="center"/>
              <w:rPr>
                <w:sz w:val="21"/>
                <w:szCs w:val="21"/>
              </w:rPr>
            </w:pPr>
            <w:r>
              <w:rPr>
                <w:snapToGrid w:val="0"/>
                <w:color w:val="000000"/>
                <w:kern w:val="21"/>
                <w:sz w:val="21"/>
                <w:szCs w:val="21"/>
              </w:rPr>
              <w:t>/</w:t>
            </w:r>
          </w:p>
        </w:tc>
        <w:tc>
          <w:tcPr>
            <w:tcW w:w="1276" w:type="dxa"/>
            <w:vAlign w:val="center"/>
          </w:tcPr>
          <w:p>
            <w:pPr>
              <w:jc w:val="center"/>
            </w:pPr>
            <w:r>
              <w:rPr>
                <w:rFonts w:hint="eastAsia"/>
                <w:color w:val="000000"/>
                <w:kern w:val="24"/>
                <w:sz w:val="21"/>
                <w:szCs w:val="21"/>
              </w:rPr>
              <w:t>/</w:t>
            </w:r>
          </w:p>
        </w:tc>
        <w:tc>
          <w:tcPr>
            <w:tcW w:w="1701" w:type="dxa"/>
            <w:vAlign w:val="center"/>
          </w:tcPr>
          <w:p>
            <w:pPr>
              <w:jc w:val="center"/>
              <w:rPr>
                <w:sz w:val="21"/>
                <w:szCs w:val="21"/>
              </w:rPr>
            </w:pPr>
            <w:r>
              <w:rPr>
                <w:snapToGrid w:val="0"/>
                <w:color w:val="000000"/>
                <w:kern w:val="21"/>
                <w:sz w:val="21"/>
                <w:szCs w:val="21"/>
              </w:rPr>
              <w:t>/</w:t>
            </w:r>
          </w:p>
        </w:tc>
        <w:tc>
          <w:tcPr>
            <w:tcW w:w="1559" w:type="dxa"/>
            <w:vAlign w:val="center"/>
          </w:tcPr>
          <w:p>
            <w:pPr>
              <w:jc w:val="center"/>
              <w:rPr>
                <w:rFonts w:hint="default" w:ascii="Times New Roman" w:hAnsi="Times New Roman" w:cs="Times New Roman"/>
              </w:rPr>
            </w:pPr>
            <w:r>
              <w:rPr>
                <w:rFonts w:hint="default" w:ascii="Times New Roman" w:hAnsi="Times New Roman" w:cs="Times New Roman"/>
                <w:color w:val="000000"/>
                <w:kern w:val="24"/>
                <w:sz w:val="21"/>
                <w:szCs w:val="21"/>
              </w:rPr>
              <w:t>0.</w:t>
            </w:r>
            <w:r>
              <w:rPr>
                <w:rFonts w:hint="eastAsia" w:ascii="Times New Roman" w:hAnsi="Times New Roman" w:cs="Times New Roman"/>
                <w:color w:val="000000"/>
                <w:kern w:val="24"/>
                <w:sz w:val="21"/>
                <w:szCs w:val="21"/>
                <w:lang w:val="en-US" w:eastAsia="zh-CN"/>
              </w:rPr>
              <w:t>5</w:t>
            </w:r>
            <w:r>
              <w:rPr>
                <w:rFonts w:hint="default" w:ascii="Times New Roman" w:hAnsi="Times New Roman" w:cs="Times New Roman"/>
                <w:color w:val="000000"/>
                <w:sz w:val="21"/>
                <w:szCs w:val="21"/>
                <w:lang w:val="en-US" w:eastAsia="zh-CN"/>
              </w:rPr>
              <w:t>t/a</w:t>
            </w:r>
          </w:p>
        </w:tc>
        <w:tc>
          <w:tcPr>
            <w:tcW w:w="1524"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rPr>
              <w:t>/</w:t>
            </w:r>
          </w:p>
        </w:tc>
        <w:tc>
          <w:tcPr>
            <w:tcW w:w="1740" w:type="dxa"/>
            <w:vAlign w:val="center"/>
          </w:tcPr>
          <w:p>
            <w:pPr>
              <w:jc w:val="center"/>
              <w:rPr>
                <w:rFonts w:hint="default" w:ascii="Times New Roman" w:hAnsi="Times New Roman" w:eastAsia="宋体" w:cs="Times New Roman"/>
                <w:kern w:val="2"/>
                <w:sz w:val="28"/>
                <w:szCs w:val="28"/>
                <w:lang w:val="en-US" w:eastAsia="zh-CN" w:bidi="ar-SA"/>
              </w:rPr>
            </w:pPr>
            <w:r>
              <w:rPr>
                <w:rFonts w:hint="default" w:ascii="Times New Roman" w:hAnsi="Times New Roman" w:cs="Times New Roman"/>
                <w:color w:val="000000"/>
                <w:kern w:val="24"/>
                <w:sz w:val="21"/>
                <w:szCs w:val="21"/>
              </w:rPr>
              <w:t>0.</w:t>
            </w:r>
            <w:r>
              <w:rPr>
                <w:rFonts w:hint="eastAsia" w:ascii="Times New Roman" w:hAnsi="Times New Roman" w:cs="Times New Roman"/>
                <w:color w:val="000000"/>
                <w:kern w:val="24"/>
                <w:sz w:val="21"/>
                <w:szCs w:val="21"/>
                <w:lang w:val="en-US" w:eastAsia="zh-CN"/>
              </w:rPr>
              <w:t>5</w:t>
            </w:r>
            <w:r>
              <w:rPr>
                <w:rFonts w:hint="default" w:ascii="Times New Roman" w:hAnsi="Times New Roman" w:cs="Times New Roman"/>
                <w:color w:val="000000"/>
                <w:sz w:val="21"/>
                <w:szCs w:val="21"/>
                <w:lang w:val="en-US" w:eastAsia="zh-CN"/>
              </w:rPr>
              <w:t>t/a</w:t>
            </w:r>
          </w:p>
        </w:tc>
        <w:tc>
          <w:tcPr>
            <w:tcW w:w="1282" w:type="dxa"/>
            <w:vAlign w:val="center"/>
          </w:tcPr>
          <w:p>
            <w:pPr>
              <w:jc w:val="center"/>
              <w:rPr>
                <w:rFonts w:hint="default" w:ascii="Times New Roman" w:hAnsi="Times New Roman" w:eastAsia="宋体" w:cs="Times New Roman"/>
                <w:kern w:val="2"/>
                <w:sz w:val="28"/>
                <w:szCs w:val="28"/>
                <w:lang w:val="en-US" w:eastAsia="zh-CN" w:bidi="ar-SA"/>
              </w:rPr>
            </w:pPr>
            <w:r>
              <w:rPr>
                <w:rFonts w:hint="eastAsia" w:ascii="Times New Roman" w:hAnsi="Times New Roman" w:cs="Times New Roman"/>
                <w:color w:val="000000"/>
                <w:kern w:val="24"/>
                <w:sz w:val="21"/>
                <w:szCs w:val="21"/>
                <w:lang w:val="en-US" w:eastAsia="zh-CN"/>
              </w:rPr>
              <w:t>+</w:t>
            </w:r>
            <w:r>
              <w:rPr>
                <w:rFonts w:hint="default" w:ascii="Times New Roman" w:hAnsi="Times New Roman" w:cs="Times New Roman"/>
                <w:color w:val="000000"/>
                <w:kern w:val="24"/>
                <w:sz w:val="21"/>
                <w:szCs w:val="21"/>
              </w:rPr>
              <w:t>0.</w:t>
            </w:r>
            <w:r>
              <w:rPr>
                <w:rFonts w:hint="eastAsia" w:ascii="Times New Roman" w:hAnsi="Times New Roman" w:cs="Times New Roman"/>
                <w:color w:val="000000"/>
                <w:kern w:val="24"/>
                <w:sz w:val="21"/>
                <w:szCs w:val="21"/>
                <w:lang w:val="en-US" w:eastAsia="zh-CN"/>
              </w:rPr>
              <w:t>5</w:t>
            </w:r>
            <w:r>
              <w:rPr>
                <w:rFonts w:hint="default" w:ascii="Times New Roman" w:hAnsi="Times New Roman" w:cs="Times New Roman"/>
                <w:color w:val="00000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15"/>
              <w:spacing w:beforeLines="0" w:afterLines="0" w:line="240" w:lineRule="auto"/>
              <w:rPr>
                <w:rFonts w:hint="eastAsia" w:ascii="Times New Roman" w:hAnsi="宋体" w:cs="Times New Roman"/>
                <w:snapToGrid w:val="0"/>
                <w:color w:val="000000"/>
                <w:kern w:val="21"/>
                <w:szCs w:val="21"/>
              </w:rPr>
            </w:pPr>
          </w:p>
        </w:tc>
        <w:tc>
          <w:tcPr>
            <w:tcW w:w="1417" w:type="dxa"/>
            <w:vAlign w:val="center"/>
          </w:tcPr>
          <w:p>
            <w:pPr>
              <w:pStyle w:val="115"/>
              <w:spacing w:beforeLines="0" w:afterLines="0" w:line="240" w:lineRule="auto"/>
              <w:rPr>
                <w:rFonts w:hint="default" w:ascii="Times New Roman" w:hAnsi="宋体" w:cs="Times New Roman"/>
                <w:snapToGrid w:val="0"/>
                <w:color w:val="000000"/>
                <w:kern w:val="21"/>
                <w:szCs w:val="21"/>
                <w:lang w:val="en-US" w:eastAsia="zh-CN"/>
              </w:rPr>
            </w:pPr>
            <w:r>
              <w:rPr>
                <w:rFonts w:hint="eastAsia" w:ascii="Times New Roman" w:hAnsi="宋体" w:cs="Times New Roman"/>
                <w:snapToGrid w:val="0"/>
                <w:color w:val="000000"/>
                <w:kern w:val="21"/>
                <w:szCs w:val="21"/>
                <w:lang w:val="en-US" w:eastAsia="zh-CN"/>
              </w:rPr>
              <w:t>喷淋液</w:t>
            </w:r>
          </w:p>
        </w:tc>
        <w:tc>
          <w:tcPr>
            <w:tcW w:w="1701" w:type="dxa"/>
            <w:vAlign w:val="center"/>
          </w:tcPr>
          <w:p>
            <w:pPr>
              <w:jc w:val="center"/>
              <w:rPr>
                <w:rFonts w:ascii="Times New Roman" w:hAnsi="Times New Roman" w:eastAsia="宋体" w:cs="Times New Roman"/>
                <w:kern w:val="2"/>
                <w:sz w:val="21"/>
                <w:szCs w:val="21"/>
                <w:lang w:val="en-US" w:eastAsia="zh-CN" w:bidi="ar-SA"/>
              </w:rPr>
            </w:pPr>
            <w:r>
              <w:rPr>
                <w:snapToGrid w:val="0"/>
                <w:color w:val="000000"/>
                <w:kern w:val="21"/>
                <w:sz w:val="21"/>
                <w:szCs w:val="21"/>
              </w:rPr>
              <w:t>/</w:t>
            </w:r>
          </w:p>
        </w:tc>
        <w:tc>
          <w:tcPr>
            <w:tcW w:w="1276" w:type="dxa"/>
            <w:vAlign w:val="center"/>
          </w:tcPr>
          <w:p>
            <w:pPr>
              <w:jc w:val="center"/>
              <w:rPr>
                <w:rFonts w:hint="eastAsia" w:ascii="Times New Roman" w:hAnsi="Times New Roman" w:eastAsia="宋体" w:cs="Times New Roman"/>
                <w:kern w:val="2"/>
                <w:sz w:val="28"/>
                <w:szCs w:val="28"/>
                <w:lang w:val="en-US" w:eastAsia="zh-CN" w:bidi="ar-SA"/>
              </w:rPr>
            </w:pPr>
            <w:r>
              <w:rPr>
                <w:rFonts w:hint="eastAsia"/>
                <w:color w:val="000000"/>
                <w:kern w:val="24"/>
                <w:sz w:val="21"/>
                <w:szCs w:val="21"/>
              </w:rPr>
              <w:t>/</w:t>
            </w:r>
          </w:p>
        </w:tc>
        <w:tc>
          <w:tcPr>
            <w:tcW w:w="1701" w:type="dxa"/>
            <w:vAlign w:val="center"/>
          </w:tcPr>
          <w:p>
            <w:pPr>
              <w:jc w:val="center"/>
              <w:rPr>
                <w:rFonts w:ascii="Times New Roman" w:hAnsi="Times New Roman" w:eastAsia="宋体" w:cs="Times New Roman"/>
                <w:kern w:val="2"/>
                <w:sz w:val="21"/>
                <w:szCs w:val="21"/>
                <w:lang w:val="en-US" w:eastAsia="zh-CN" w:bidi="ar-SA"/>
              </w:rPr>
            </w:pPr>
            <w:r>
              <w:rPr>
                <w:snapToGrid w:val="0"/>
                <w:color w:val="000000"/>
                <w:kern w:val="21"/>
                <w:sz w:val="21"/>
                <w:szCs w:val="21"/>
              </w:rPr>
              <w:t>/</w:t>
            </w:r>
          </w:p>
        </w:tc>
        <w:tc>
          <w:tcPr>
            <w:tcW w:w="1559" w:type="dxa"/>
            <w:vAlign w:val="center"/>
          </w:tcPr>
          <w:p>
            <w:pPr>
              <w:jc w:val="center"/>
              <w:rPr>
                <w:rFonts w:hint="default" w:ascii="Times New Roman" w:hAnsi="Times New Roman" w:eastAsia="宋体" w:cs="Times New Roman"/>
                <w:kern w:val="2"/>
                <w:sz w:val="28"/>
                <w:szCs w:val="28"/>
                <w:lang w:val="en-US" w:eastAsia="zh-CN" w:bidi="ar-SA"/>
              </w:rPr>
            </w:pPr>
            <w:r>
              <w:rPr>
                <w:rFonts w:hint="eastAsia" w:cs="Times New Roman"/>
                <w:color w:val="000000"/>
                <w:sz w:val="21"/>
                <w:szCs w:val="21"/>
                <w:lang w:val="en-US" w:eastAsia="zh-CN"/>
              </w:rPr>
              <w:t>12</w:t>
            </w:r>
            <w:r>
              <w:rPr>
                <w:rFonts w:hint="default" w:ascii="Times New Roman" w:hAnsi="Times New Roman" w:cs="Times New Roman"/>
                <w:color w:val="000000"/>
                <w:sz w:val="21"/>
                <w:szCs w:val="21"/>
                <w:lang w:val="en-US" w:eastAsia="zh-CN"/>
              </w:rPr>
              <w:t>t/a</w:t>
            </w:r>
          </w:p>
        </w:tc>
        <w:tc>
          <w:tcPr>
            <w:tcW w:w="1524"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rPr>
              <w:t>/</w:t>
            </w:r>
          </w:p>
        </w:tc>
        <w:tc>
          <w:tcPr>
            <w:tcW w:w="1740" w:type="dxa"/>
            <w:vAlign w:val="center"/>
          </w:tcPr>
          <w:p>
            <w:pPr>
              <w:jc w:val="center"/>
              <w:rPr>
                <w:rFonts w:hint="default" w:ascii="Times New Roman" w:hAnsi="Times New Roman" w:eastAsia="宋体" w:cs="Times New Roman"/>
                <w:kern w:val="2"/>
                <w:sz w:val="28"/>
                <w:szCs w:val="28"/>
                <w:lang w:val="en-US" w:eastAsia="zh-CN" w:bidi="ar-SA"/>
              </w:rPr>
            </w:pPr>
            <w:r>
              <w:rPr>
                <w:rFonts w:hint="eastAsia" w:cs="Times New Roman"/>
                <w:color w:val="000000"/>
                <w:sz w:val="21"/>
                <w:szCs w:val="21"/>
                <w:lang w:val="en-US" w:eastAsia="zh-CN"/>
              </w:rPr>
              <w:t>12</w:t>
            </w:r>
            <w:r>
              <w:rPr>
                <w:rFonts w:hint="default" w:ascii="Times New Roman" w:hAnsi="Times New Roman" w:cs="Times New Roman"/>
                <w:color w:val="000000"/>
                <w:sz w:val="21"/>
                <w:szCs w:val="21"/>
                <w:lang w:val="en-US" w:eastAsia="zh-CN"/>
              </w:rPr>
              <w:t>t/a</w:t>
            </w:r>
          </w:p>
        </w:tc>
        <w:tc>
          <w:tcPr>
            <w:tcW w:w="1282" w:type="dxa"/>
            <w:vAlign w:val="center"/>
          </w:tcPr>
          <w:p>
            <w:pPr>
              <w:jc w:val="center"/>
              <w:rPr>
                <w:rFonts w:hint="eastAsia" w:ascii="Times New Roman" w:hAnsi="Times New Roman" w:eastAsia="宋体" w:cs="Times New Roman"/>
                <w:kern w:val="2"/>
                <w:sz w:val="28"/>
                <w:szCs w:val="28"/>
                <w:lang w:val="en-US" w:eastAsia="zh-CN" w:bidi="ar-SA"/>
              </w:rPr>
            </w:pPr>
            <w:r>
              <w:rPr>
                <w:rFonts w:hint="eastAsia" w:ascii="Times New Roman" w:hAnsi="Times New Roman" w:cs="Times New Roman"/>
                <w:color w:val="000000"/>
                <w:kern w:val="24"/>
                <w:sz w:val="21"/>
                <w:szCs w:val="21"/>
                <w:lang w:val="en-US" w:eastAsia="zh-CN"/>
              </w:rPr>
              <w:t>+</w:t>
            </w:r>
            <w:r>
              <w:rPr>
                <w:rFonts w:hint="eastAsia" w:cs="Times New Roman"/>
                <w:color w:val="000000"/>
                <w:kern w:val="24"/>
                <w:sz w:val="21"/>
                <w:szCs w:val="21"/>
                <w:lang w:val="en-US" w:eastAsia="zh-CN"/>
              </w:rPr>
              <w:t>12</w:t>
            </w:r>
            <w:r>
              <w:rPr>
                <w:rFonts w:hint="default" w:ascii="Times New Roman" w:hAnsi="Times New Roman" w:cs="Times New Roman"/>
                <w:color w:val="000000"/>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115"/>
              <w:spacing w:beforeLines="0" w:afterLines="0" w:line="240" w:lineRule="auto"/>
              <w:rPr>
                <w:rFonts w:hint="eastAsia" w:ascii="Times New Roman" w:hAnsi="宋体" w:cs="Times New Roman"/>
                <w:snapToGrid w:val="0"/>
                <w:color w:val="000000"/>
                <w:kern w:val="21"/>
                <w:szCs w:val="21"/>
              </w:rPr>
            </w:pPr>
          </w:p>
        </w:tc>
        <w:tc>
          <w:tcPr>
            <w:tcW w:w="1417" w:type="dxa"/>
            <w:vAlign w:val="center"/>
          </w:tcPr>
          <w:p>
            <w:pPr>
              <w:pStyle w:val="115"/>
              <w:spacing w:beforeLines="0" w:afterLines="0" w:line="240" w:lineRule="auto"/>
              <w:rPr>
                <w:rFonts w:hint="eastAsia" w:ascii="Times New Roman" w:hAnsi="宋体" w:cs="Times New Roman"/>
                <w:snapToGrid w:val="0"/>
                <w:color w:val="000000"/>
                <w:kern w:val="21"/>
                <w:szCs w:val="21"/>
              </w:rPr>
            </w:pPr>
            <w:r>
              <w:rPr>
                <w:rFonts w:hint="eastAsia" w:ascii="Times New Roman" w:hAnsi="宋体" w:cs="Times New Roman"/>
                <w:snapToGrid w:val="0"/>
                <w:color w:val="000000"/>
                <w:kern w:val="21"/>
                <w:szCs w:val="21"/>
              </w:rPr>
              <w:t>废活性炭</w:t>
            </w:r>
          </w:p>
        </w:tc>
        <w:tc>
          <w:tcPr>
            <w:tcW w:w="1701" w:type="dxa"/>
            <w:vAlign w:val="center"/>
          </w:tcPr>
          <w:p>
            <w:pPr>
              <w:jc w:val="center"/>
              <w:rPr>
                <w:rFonts w:ascii="Times New Roman" w:hAnsi="Times New Roman" w:eastAsia="宋体" w:cs="Times New Roman"/>
                <w:kern w:val="2"/>
                <w:sz w:val="21"/>
                <w:szCs w:val="21"/>
                <w:lang w:val="en-US" w:eastAsia="zh-CN" w:bidi="ar-SA"/>
              </w:rPr>
            </w:pPr>
            <w:r>
              <w:rPr>
                <w:snapToGrid w:val="0"/>
                <w:color w:val="000000"/>
                <w:kern w:val="21"/>
                <w:sz w:val="21"/>
                <w:szCs w:val="21"/>
              </w:rPr>
              <w:t>/</w:t>
            </w:r>
          </w:p>
        </w:tc>
        <w:tc>
          <w:tcPr>
            <w:tcW w:w="1276" w:type="dxa"/>
            <w:vAlign w:val="center"/>
          </w:tcPr>
          <w:p>
            <w:pPr>
              <w:jc w:val="center"/>
              <w:rPr>
                <w:rFonts w:hint="eastAsia" w:ascii="Times New Roman" w:hAnsi="Times New Roman" w:eastAsia="宋体" w:cs="Times New Roman"/>
                <w:kern w:val="2"/>
                <w:sz w:val="28"/>
                <w:szCs w:val="28"/>
                <w:lang w:val="en-US" w:eastAsia="zh-CN" w:bidi="ar-SA"/>
              </w:rPr>
            </w:pPr>
            <w:r>
              <w:rPr>
                <w:rFonts w:hint="eastAsia"/>
                <w:color w:val="000000"/>
                <w:kern w:val="24"/>
                <w:sz w:val="21"/>
                <w:szCs w:val="21"/>
              </w:rPr>
              <w:t>/</w:t>
            </w:r>
          </w:p>
        </w:tc>
        <w:tc>
          <w:tcPr>
            <w:tcW w:w="1701" w:type="dxa"/>
            <w:vAlign w:val="center"/>
          </w:tcPr>
          <w:p>
            <w:pPr>
              <w:jc w:val="center"/>
              <w:rPr>
                <w:rFonts w:ascii="Times New Roman" w:hAnsi="Times New Roman" w:eastAsia="宋体" w:cs="Times New Roman"/>
                <w:kern w:val="2"/>
                <w:sz w:val="21"/>
                <w:szCs w:val="21"/>
                <w:lang w:val="en-US" w:eastAsia="zh-CN" w:bidi="ar-SA"/>
              </w:rPr>
            </w:pPr>
            <w:r>
              <w:rPr>
                <w:snapToGrid w:val="0"/>
                <w:color w:val="000000"/>
                <w:kern w:val="21"/>
                <w:sz w:val="21"/>
                <w:szCs w:val="21"/>
              </w:rPr>
              <w:t>/</w:t>
            </w:r>
          </w:p>
        </w:tc>
        <w:tc>
          <w:tcPr>
            <w:tcW w:w="1559" w:type="dxa"/>
            <w:vAlign w:val="center"/>
          </w:tcPr>
          <w:p>
            <w:pPr>
              <w:jc w:val="center"/>
              <w:rPr>
                <w:rFonts w:hint="default" w:ascii="Times New Roman" w:hAnsi="Times New Roman" w:eastAsia="宋体" w:cs="Times New Roman"/>
                <w:color w:val="000000"/>
                <w:kern w:val="24"/>
                <w:sz w:val="21"/>
                <w:szCs w:val="21"/>
                <w:lang w:val="en-US" w:eastAsia="zh-CN"/>
              </w:rPr>
            </w:pPr>
            <w:r>
              <w:rPr>
                <w:rFonts w:hint="eastAsia" w:cs="Times New Roman"/>
                <w:color w:val="000000"/>
                <w:sz w:val="21"/>
                <w:szCs w:val="21"/>
                <w:lang w:val="en-US" w:eastAsia="zh-CN"/>
              </w:rPr>
              <w:t>2.3</w:t>
            </w:r>
            <w:r>
              <w:rPr>
                <w:rFonts w:hint="default" w:ascii="Times New Roman" w:hAnsi="Times New Roman" w:cs="Times New Roman"/>
                <w:color w:val="000000"/>
                <w:sz w:val="21"/>
                <w:szCs w:val="21"/>
                <w:lang w:val="en-US" w:eastAsia="zh-CN"/>
              </w:rPr>
              <w:t>t/a</w:t>
            </w:r>
          </w:p>
        </w:tc>
        <w:tc>
          <w:tcPr>
            <w:tcW w:w="1524" w:type="dxa"/>
            <w:vAlign w:val="center"/>
          </w:tcPr>
          <w:p>
            <w:pPr>
              <w:pStyle w:val="115"/>
              <w:spacing w:beforeLines="0" w:afterLines="0" w:line="240" w:lineRule="auto"/>
              <w:rPr>
                <w:rFonts w:hint="default" w:ascii="Times New Roman" w:hAnsi="Times New Roman" w:cs="Times New Roman" w:eastAsiaTheme="minorEastAsia"/>
                <w:snapToGrid w:val="0"/>
                <w:color w:val="000000"/>
                <w:kern w:val="21"/>
                <w:sz w:val="21"/>
                <w:szCs w:val="21"/>
                <w:lang w:val="en-US" w:eastAsia="zh-CN" w:bidi="ar-SA"/>
              </w:rPr>
            </w:pPr>
            <w:r>
              <w:rPr>
                <w:rFonts w:hint="default" w:ascii="Times New Roman" w:hAnsi="Times New Roman" w:cs="Times New Roman"/>
                <w:snapToGrid w:val="0"/>
                <w:color w:val="000000"/>
                <w:kern w:val="21"/>
                <w:szCs w:val="21"/>
              </w:rPr>
              <w:t>/</w:t>
            </w:r>
          </w:p>
        </w:tc>
        <w:tc>
          <w:tcPr>
            <w:tcW w:w="1740" w:type="dxa"/>
            <w:vAlign w:val="center"/>
          </w:tcPr>
          <w:p>
            <w:pPr>
              <w:jc w:val="center"/>
              <w:rPr>
                <w:rFonts w:hint="default" w:ascii="Times New Roman" w:hAnsi="Times New Roman" w:eastAsia="宋体" w:cs="Times New Roman"/>
                <w:color w:val="000000"/>
                <w:kern w:val="24"/>
                <w:sz w:val="21"/>
                <w:szCs w:val="21"/>
                <w:lang w:val="en-US" w:eastAsia="zh-CN" w:bidi="ar-SA"/>
              </w:rPr>
            </w:pPr>
            <w:r>
              <w:rPr>
                <w:rFonts w:hint="eastAsia" w:cs="Times New Roman"/>
                <w:color w:val="000000"/>
                <w:sz w:val="21"/>
                <w:szCs w:val="21"/>
                <w:lang w:val="en-US" w:eastAsia="zh-CN"/>
              </w:rPr>
              <w:t>2.3</w:t>
            </w:r>
            <w:r>
              <w:rPr>
                <w:rFonts w:hint="default" w:ascii="Times New Roman" w:hAnsi="Times New Roman" w:cs="Times New Roman"/>
                <w:color w:val="000000"/>
                <w:sz w:val="21"/>
                <w:szCs w:val="21"/>
                <w:lang w:val="en-US" w:eastAsia="zh-CN"/>
              </w:rPr>
              <w:t>t/a</w:t>
            </w:r>
          </w:p>
        </w:tc>
        <w:tc>
          <w:tcPr>
            <w:tcW w:w="1282" w:type="dxa"/>
            <w:vAlign w:val="center"/>
          </w:tcPr>
          <w:p>
            <w:pPr>
              <w:jc w:val="center"/>
              <w:rPr>
                <w:rFonts w:hint="default" w:ascii="Times New Roman" w:hAnsi="Times New Roman" w:eastAsia="宋体" w:cs="Times New Roman"/>
                <w:color w:val="000000"/>
                <w:kern w:val="24"/>
                <w:sz w:val="21"/>
                <w:szCs w:val="21"/>
                <w:lang w:val="en-US" w:eastAsia="zh-CN" w:bidi="ar-SA"/>
              </w:rPr>
            </w:pPr>
            <w:r>
              <w:rPr>
                <w:rFonts w:hint="eastAsia" w:ascii="Times New Roman" w:hAnsi="Times New Roman" w:cs="Times New Roman"/>
                <w:color w:val="000000"/>
                <w:kern w:val="24"/>
                <w:sz w:val="21"/>
                <w:szCs w:val="21"/>
                <w:lang w:val="en-US" w:eastAsia="zh-CN"/>
              </w:rPr>
              <w:t>+</w:t>
            </w:r>
            <w:r>
              <w:rPr>
                <w:rFonts w:hint="eastAsia" w:cs="Times New Roman"/>
                <w:color w:val="000000"/>
                <w:kern w:val="24"/>
                <w:sz w:val="21"/>
                <w:szCs w:val="21"/>
                <w:lang w:val="en-US" w:eastAsia="zh-CN"/>
              </w:rPr>
              <w:t>2.3</w:t>
            </w:r>
            <w:r>
              <w:rPr>
                <w:rFonts w:hint="default" w:ascii="Times New Roman" w:hAnsi="Times New Roman" w:cs="Times New Roman"/>
                <w:color w:val="000000"/>
                <w:sz w:val="21"/>
                <w:szCs w:val="21"/>
                <w:lang w:val="en-US" w:eastAsia="zh-CN"/>
              </w:rPr>
              <w:t>t/a</w:t>
            </w:r>
          </w:p>
        </w:tc>
      </w:tr>
    </w:tbl>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r>
        <w:drawing>
          <wp:anchor distT="0" distB="0" distL="114300" distR="114300" simplePos="0" relativeHeight="251664384" behindDoc="1" locked="0" layoutInCell="1" allowOverlap="1">
            <wp:simplePos x="0" y="0"/>
            <wp:positionH relativeFrom="column">
              <wp:posOffset>768350</wp:posOffset>
            </wp:positionH>
            <wp:positionV relativeFrom="paragraph">
              <wp:posOffset>-208280</wp:posOffset>
            </wp:positionV>
            <wp:extent cx="7381875" cy="5572760"/>
            <wp:effectExtent l="0" t="0" r="9525" b="8890"/>
            <wp:wrapNone/>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7381875" cy="5572760"/>
                    </a:xfrm>
                    <a:prstGeom prst="rect">
                      <a:avLst/>
                    </a:prstGeom>
                    <a:noFill/>
                    <a:ln>
                      <a:noFill/>
                    </a:ln>
                  </pic:spPr>
                </pic:pic>
              </a:graphicData>
            </a:graphic>
          </wp:anchor>
        </w:drawing>
      </w: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r>
        <w:drawing>
          <wp:anchor distT="0" distB="0" distL="114300" distR="114300" simplePos="0" relativeHeight="251664384" behindDoc="1" locked="0" layoutInCell="1" allowOverlap="1">
            <wp:simplePos x="0" y="0"/>
            <wp:positionH relativeFrom="column">
              <wp:posOffset>715645</wp:posOffset>
            </wp:positionH>
            <wp:positionV relativeFrom="paragraph">
              <wp:posOffset>-227965</wp:posOffset>
            </wp:positionV>
            <wp:extent cx="7330440" cy="5455285"/>
            <wp:effectExtent l="0" t="0" r="3810" b="12065"/>
            <wp:wrapNone/>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a:stretch>
                      <a:fillRect/>
                    </a:stretch>
                  </pic:blipFill>
                  <pic:spPr>
                    <a:xfrm>
                      <a:off x="0" y="0"/>
                      <a:ext cx="7330440" cy="5455285"/>
                    </a:xfrm>
                    <a:prstGeom prst="rect">
                      <a:avLst/>
                    </a:prstGeom>
                    <a:noFill/>
                    <a:ln>
                      <a:noFill/>
                    </a:ln>
                  </pic:spPr>
                </pic:pic>
              </a:graphicData>
            </a:graphic>
          </wp:anchor>
        </w:drawing>
      </w: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r>
        <w:drawing>
          <wp:anchor distT="0" distB="0" distL="114300" distR="114300" simplePos="0" relativeHeight="251665408" behindDoc="0" locked="0" layoutInCell="1" allowOverlap="1">
            <wp:simplePos x="0" y="0"/>
            <wp:positionH relativeFrom="column">
              <wp:posOffset>650240</wp:posOffset>
            </wp:positionH>
            <wp:positionV relativeFrom="paragraph">
              <wp:posOffset>48260</wp:posOffset>
            </wp:positionV>
            <wp:extent cx="7561580" cy="5466080"/>
            <wp:effectExtent l="0" t="0" r="1270" b="1270"/>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1"/>
                    <a:stretch>
                      <a:fillRect/>
                    </a:stretch>
                  </pic:blipFill>
                  <pic:spPr>
                    <a:xfrm>
                      <a:off x="0" y="0"/>
                      <a:ext cx="7561580" cy="5466080"/>
                    </a:xfrm>
                    <a:prstGeom prst="rect">
                      <a:avLst/>
                    </a:prstGeom>
                    <a:noFill/>
                    <a:ln>
                      <a:noFill/>
                    </a:ln>
                  </pic:spPr>
                </pic:pic>
              </a:graphicData>
            </a:graphic>
          </wp:anchor>
        </w:drawing>
      </w: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r>
        <w:drawing>
          <wp:anchor distT="0" distB="0" distL="114300" distR="114300" simplePos="0" relativeHeight="251666432" behindDoc="1" locked="0" layoutInCell="1" allowOverlap="1">
            <wp:simplePos x="0" y="0"/>
            <wp:positionH relativeFrom="column">
              <wp:posOffset>233680</wp:posOffset>
            </wp:positionH>
            <wp:positionV relativeFrom="paragraph">
              <wp:posOffset>-132715</wp:posOffset>
            </wp:positionV>
            <wp:extent cx="8180070" cy="5061585"/>
            <wp:effectExtent l="0" t="0" r="11430" b="5715"/>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2"/>
                    <a:stretch>
                      <a:fillRect/>
                    </a:stretch>
                  </pic:blipFill>
                  <pic:spPr>
                    <a:xfrm>
                      <a:off x="0" y="0"/>
                      <a:ext cx="8180070" cy="5061585"/>
                    </a:xfrm>
                    <a:prstGeom prst="rect">
                      <a:avLst/>
                    </a:prstGeom>
                    <a:noFill/>
                    <a:ln>
                      <a:noFill/>
                    </a:ln>
                  </pic:spPr>
                </pic:pic>
              </a:graphicData>
            </a:graphic>
          </wp:anchor>
        </w:drawing>
      </w: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pPr>
    </w:p>
    <w:p>
      <w:pPr>
        <w:jc w:val="center"/>
        <w:rPr>
          <w:rFonts w:hint="eastAsia"/>
          <w:color w:val="000000"/>
          <w:lang w:eastAsia="zh-CN"/>
        </w:rPr>
        <w:sectPr>
          <w:footerReference r:id="rId4" w:type="default"/>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81" w:charSpace="0"/>
        </w:sectPr>
      </w:pPr>
    </w:p>
    <w:p>
      <w:pPr>
        <w:pStyle w:val="2"/>
        <w:numPr>
          <w:ilvl w:val="0"/>
          <w:numId w:val="0"/>
        </w:numPr>
        <w:ind w:leftChars="0"/>
        <w:jc w:val="both"/>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81" w:charSpace="0"/>
        </w:sectPr>
      </w:pPr>
      <w:r>
        <w:drawing>
          <wp:inline distT="0" distB="0" distL="114300" distR="114300">
            <wp:extent cx="5604510" cy="8577580"/>
            <wp:effectExtent l="0" t="0" r="15240" b="139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604510" cy="8577580"/>
                    </a:xfrm>
                    <a:prstGeom prst="rect">
                      <a:avLst/>
                    </a:prstGeom>
                    <a:noFill/>
                    <a:ln>
                      <a:noFill/>
                    </a:ln>
                  </pic:spPr>
                </pic:pic>
              </a:graphicData>
            </a:graphic>
          </wp:inline>
        </w:drawing>
      </w:r>
    </w:p>
    <w:p>
      <w:pPr>
        <w:pStyle w:val="2"/>
        <w:numPr>
          <w:ilvl w:val="0"/>
          <w:numId w:val="0"/>
        </w:numPr>
        <w:ind w:leftChars="0"/>
        <w:jc w:val="both"/>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81" w:charSpace="0"/>
        </w:sectPr>
      </w:pPr>
      <w:r>
        <w:drawing>
          <wp:inline distT="0" distB="0" distL="114300" distR="114300">
            <wp:extent cx="5784215" cy="9094470"/>
            <wp:effectExtent l="0" t="0" r="6985" b="1143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5784215" cy="9094470"/>
                    </a:xfrm>
                    <a:prstGeom prst="rect">
                      <a:avLst/>
                    </a:prstGeom>
                    <a:noFill/>
                    <a:ln>
                      <a:noFill/>
                    </a:ln>
                  </pic:spPr>
                </pic:pic>
              </a:graphicData>
            </a:graphic>
          </wp:inline>
        </w:drawing>
      </w:r>
    </w:p>
    <w:p>
      <w:p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81" w:charSpace="0"/>
        </w:sectPr>
      </w:pPr>
      <w:r>
        <w:drawing>
          <wp:inline distT="0" distB="0" distL="114300" distR="114300">
            <wp:extent cx="8983345" cy="5757545"/>
            <wp:effectExtent l="0" t="0" r="8255" b="14605"/>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5"/>
                    <a:stretch>
                      <a:fillRect/>
                    </a:stretch>
                  </pic:blipFill>
                  <pic:spPr>
                    <a:xfrm>
                      <a:off x="0" y="0"/>
                      <a:ext cx="8983345" cy="5757545"/>
                    </a:xfrm>
                    <a:prstGeom prst="rect">
                      <a:avLst/>
                    </a:prstGeom>
                    <a:noFill/>
                    <a:ln>
                      <a:noFill/>
                    </a:ln>
                  </pic:spPr>
                </pic:pic>
              </a:graphicData>
            </a:graphic>
          </wp:inline>
        </w:drawing>
      </w:r>
    </w:p>
    <w:p>
      <w:pPr>
        <w:pStyle w:val="2"/>
        <w:numPr>
          <w:ilvl w:val="0"/>
          <w:numId w:val="0"/>
        </w:numPr>
        <w:ind w:leftChars="0"/>
        <w:jc w:val="both"/>
        <w:rPr>
          <w:rFonts w:hint="eastAsia"/>
          <w:lang w:eastAsia="zh-CN"/>
        </w:rPr>
      </w:pPr>
      <w:r>
        <w:drawing>
          <wp:anchor distT="0" distB="0" distL="114300" distR="114300" simplePos="0" relativeHeight="251667456" behindDoc="0" locked="0" layoutInCell="1" allowOverlap="1">
            <wp:simplePos x="0" y="0"/>
            <wp:positionH relativeFrom="column">
              <wp:posOffset>-1139825</wp:posOffset>
            </wp:positionH>
            <wp:positionV relativeFrom="paragraph">
              <wp:posOffset>-922020</wp:posOffset>
            </wp:positionV>
            <wp:extent cx="7521575" cy="10680700"/>
            <wp:effectExtent l="0" t="0" r="3175" b="6350"/>
            <wp:wrapNone/>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6"/>
                    <a:stretch>
                      <a:fillRect/>
                    </a:stretch>
                  </pic:blipFill>
                  <pic:spPr>
                    <a:xfrm>
                      <a:off x="0" y="0"/>
                      <a:ext cx="7521575" cy="10680700"/>
                    </a:xfrm>
                    <a:prstGeom prst="rect">
                      <a:avLst/>
                    </a:prstGeom>
                    <a:noFill/>
                    <a:ln>
                      <a:noFill/>
                    </a:ln>
                  </pic:spPr>
                </pic:pic>
              </a:graphicData>
            </a:graphic>
          </wp:anchor>
        </w:drawing>
      </w: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r>
        <w:rPr>
          <w:rFonts w:hint="eastAsia" w:eastAsia="宋体"/>
          <w:lang w:eastAsia="zh-CN"/>
        </w:rPr>
        <w:drawing>
          <wp:anchor distT="0" distB="0" distL="114300" distR="114300" simplePos="0" relativeHeight="251668480" behindDoc="1" locked="0" layoutInCell="1" allowOverlap="1">
            <wp:simplePos x="0" y="0"/>
            <wp:positionH relativeFrom="column">
              <wp:posOffset>-1105535</wp:posOffset>
            </wp:positionH>
            <wp:positionV relativeFrom="paragraph">
              <wp:posOffset>-842010</wp:posOffset>
            </wp:positionV>
            <wp:extent cx="7554595" cy="10678795"/>
            <wp:effectExtent l="0" t="0" r="8255" b="8255"/>
            <wp:wrapNone/>
            <wp:docPr id="21" name="图片 6"/>
            <wp:cNvGraphicFramePr/>
            <a:graphic xmlns:a="http://schemas.openxmlformats.org/drawingml/2006/main">
              <a:graphicData uri="http://schemas.openxmlformats.org/drawingml/2006/picture">
                <pic:pic xmlns:pic="http://schemas.openxmlformats.org/drawingml/2006/picture">
                  <pic:nvPicPr>
                    <pic:cNvPr id="21" name="图片 6"/>
                    <pic:cNvPicPr/>
                  </pic:nvPicPr>
                  <pic:blipFill>
                    <a:blip r:embed="rId27"/>
                    <a:stretch>
                      <a:fillRect/>
                    </a:stretch>
                  </pic:blipFill>
                  <pic:spPr>
                    <a:xfrm rot="10800000">
                      <a:off x="0" y="0"/>
                      <a:ext cx="7554595" cy="10678795"/>
                    </a:xfrm>
                    <a:prstGeom prst="rect">
                      <a:avLst/>
                    </a:prstGeom>
                    <a:noFill/>
                    <a:ln>
                      <a:noFill/>
                    </a:ln>
                  </pic:spPr>
                </pic:pic>
              </a:graphicData>
            </a:graphic>
          </wp:anchor>
        </w:drawing>
      </w: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r>
        <w:rPr>
          <w:rFonts w:hint="eastAsia" w:eastAsia="宋体"/>
          <w:lang w:eastAsia="zh-CN"/>
        </w:rPr>
        <w:drawing>
          <wp:anchor distT="0" distB="0" distL="114300" distR="114300" simplePos="0" relativeHeight="251669504" behindDoc="1" locked="0" layoutInCell="1" allowOverlap="1">
            <wp:simplePos x="0" y="0"/>
            <wp:positionH relativeFrom="column">
              <wp:posOffset>-1083945</wp:posOffset>
            </wp:positionH>
            <wp:positionV relativeFrom="paragraph">
              <wp:posOffset>-931545</wp:posOffset>
            </wp:positionV>
            <wp:extent cx="7419975" cy="10677525"/>
            <wp:effectExtent l="0" t="0" r="9525" b="9525"/>
            <wp:wrapNone/>
            <wp:docPr id="22"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descr="图片1"/>
                    <pic:cNvPicPr>
                      <a:picLocks noChangeAspect="1"/>
                    </pic:cNvPicPr>
                  </pic:nvPicPr>
                  <pic:blipFill>
                    <a:blip r:embed="rId28"/>
                    <a:stretch>
                      <a:fillRect/>
                    </a:stretch>
                  </pic:blipFill>
                  <pic:spPr>
                    <a:xfrm>
                      <a:off x="0" y="0"/>
                      <a:ext cx="7419975" cy="10677525"/>
                    </a:xfrm>
                    <a:prstGeom prst="rect">
                      <a:avLst/>
                    </a:prstGeom>
                    <a:noFill/>
                    <a:ln>
                      <a:noFill/>
                    </a:ln>
                  </pic:spPr>
                </pic:pic>
              </a:graphicData>
            </a:graphic>
          </wp:anchor>
        </w:drawing>
      </w: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r>
        <w:drawing>
          <wp:anchor distT="0" distB="0" distL="114300" distR="114300" simplePos="0" relativeHeight="251670528" behindDoc="1" locked="0" layoutInCell="1" allowOverlap="1">
            <wp:simplePos x="0" y="0"/>
            <wp:positionH relativeFrom="column">
              <wp:posOffset>-1125855</wp:posOffset>
            </wp:positionH>
            <wp:positionV relativeFrom="paragraph">
              <wp:posOffset>-946785</wp:posOffset>
            </wp:positionV>
            <wp:extent cx="7524750" cy="10629900"/>
            <wp:effectExtent l="0" t="0" r="0" b="0"/>
            <wp:wrapNone/>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9"/>
                    <a:stretch>
                      <a:fillRect/>
                    </a:stretch>
                  </pic:blipFill>
                  <pic:spPr>
                    <a:xfrm rot="10800000">
                      <a:off x="0" y="0"/>
                      <a:ext cx="7524750" cy="10629900"/>
                    </a:xfrm>
                    <a:prstGeom prst="rect">
                      <a:avLst/>
                    </a:prstGeom>
                    <a:noFill/>
                    <a:ln>
                      <a:noFill/>
                    </a:ln>
                  </pic:spPr>
                </pic:pic>
              </a:graphicData>
            </a:graphic>
          </wp:anchor>
        </w:drawing>
      </w: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r>
        <w:rPr>
          <w:rFonts w:hint="eastAsia" w:eastAsia="宋体"/>
          <w:lang w:eastAsia="zh-CN"/>
        </w:rPr>
        <w:drawing>
          <wp:anchor distT="0" distB="0" distL="114300" distR="114300" simplePos="0" relativeHeight="251671552" behindDoc="1" locked="0" layoutInCell="1" allowOverlap="1">
            <wp:simplePos x="0" y="0"/>
            <wp:positionH relativeFrom="column">
              <wp:posOffset>-1037590</wp:posOffset>
            </wp:positionH>
            <wp:positionV relativeFrom="paragraph">
              <wp:posOffset>-939165</wp:posOffset>
            </wp:positionV>
            <wp:extent cx="7470775" cy="10272395"/>
            <wp:effectExtent l="0" t="0" r="15875" b="14605"/>
            <wp:wrapNone/>
            <wp:docPr id="24" name="图片 9" descr="威斯特环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威斯特环保"/>
                    <pic:cNvPicPr>
                      <a:picLocks noChangeAspect="1"/>
                    </pic:cNvPicPr>
                  </pic:nvPicPr>
                  <pic:blipFill>
                    <a:blip r:embed="rId30"/>
                    <a:stretch>
                      <a:fillRect/>
                    </a:stretch>
                  </pic:blipFill>
                  <pic:spPr>
                    <a:xfrm>
                      <a:off x="0" y="0"/>
                      <a:ext cx="7470775" cy="10272395"/>
                    </a:xfrm>
                    <a:prstGeom prst="rect">
                      <a:avLst/>
                    </a:prstGeom>
                    <a:noFill/>
                    <a:ln>
                      <a:noFill/>
                    </a:ln>
                  </pic:spPr>
                </pic:pic>
              </a:graphicData>
            </a:graphic>
          </wp:anchor>
        </w:drawing>
      </w: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r>
        <w:drawing>
          <wp:anchor distT="0" distB="0" distL="114300" distR="114300" simplePos="0" relativeHeight="251672576" behindDoc="1" locked="0" layoutInCell="1" allowOverlap="1">
            <wp:simplePos x="0" y="0"/>
            <wp:positionH relativeFrom="column">
              <wp:posOffset>-1083310</wp:posOffset>
            </wp:positionH>
            <wp:positionV relativeFrom="paragraph">
              <wp:posOffset>-763905</wp:posOffset>
            </wp:positionV>
            <wp:extent cx="7550785" cy="10382250"/>
            <wp:effectExtent l="0" t="0" r="12065" b="0"/>
            <wp:wrapNone/>
            <wp:docPr id="25" name="图片 10" descr="法人身份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法人身份证"/>
                    <pic:cNvPicPr>
                      <a:picLocks noChangeAspect="1"/>
                    </pic:cNvPicPr>
                  </pic:nvPicPr>
                  <pic:blipFill>
                    <a:blip r:embed="rId31"/>
                    <a:stretch>
                      <a:fillRect/>
                    </a:stretch>
                  </pic:blipFill>
                  <pic:spPr>
                    <a:xfrm>
                      <a:off x="0" y="0"/>
                      <a:ext cx="7550785" cy="10382250"/>
                    </a:xfrm>
                    <a:prstGeom prst="rect">
                      <a:avLst/>
                    </a:prstGeom>
                    <a:noFill/>
                    <a:ln>
                      <a:noFill/>
                    </a:ln>
                  </pic:spPr>
                </pic:pic>
              </a:graphicData>
            </a:graphic>
          </wp:anchor>
        </w:drawing>
      </w: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p>
      <w:pPr>
        <w:pStyle w:val="2"/>
        <w:numPr>
          <w:ilvl w:val="0"/>
          <w:numId w:val="0"/>
        </w:numPr>
        <w:ind w:leftChars="0"/>
        <w:jc w:val="both"/>
        <w:rPr>
          <w:rFonts w:hint="eastAsia"/>
          <w:lang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Plotter">
    <w:altName w:val="Tahoma"/>
    <w:panose1 w:val="00000000000000000000"/>
    <w:charset w:val="00"/>
    <w:family w:val="auto"/>
    <w:pitch w:val="default"/>
    <w:sig w:usb0="00000000" w:usb1="00000000" w:usb2="81609000" w:usb3="00000000" w:csb0="8163D74C" w:csb1="BFF7D17E"/>
  </w:font>
  <w:font w:name="Tahoma">
    <w:panose1 w:val="020B0604030504040204"/>
    <w:charset w:val="00"/>
    <w:family w:val="auto"/>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E23E1B"/>
    <w:multiLevelType w:val="singleLevel"/>
    <w:tmpl w:val="89E23E1B"/>
    <w:lvl w:ilvl="0" w:tentative="0">
      <w:start w:val="2"/>
      <w:numFmt w:val="decimal"/>
      <w:suff w:val="nothing"/>
      <w:lvlText w:val="%1、"/>
      <w:lvlJc w:val="left"/>
    </w:lvl>
  </w:abstractNum>
  <w:abstractNum w:abstractNumId="1">
    <w:nsid w:val="EA9A0778"/>
    <w:multiLevelType w:val="singleLevel"/>
    <w:tmpl w:val="EA9A0778"/>
    <w:lvl w:ilvl="0" w:tentative="0">
      <w:start w:val="7"/>
      <w:numFmt w:val="decimal"/>
      <w:suff w:val="nothing"/>
      <w:lvlText w:val="%1、"/>
      <w:lvlJc w:val="left"/>
    </w:lvl>
  </w:abstractNum>
  <w:abstractNum w:abstractNumId="2">
    <w:nsid w:val="00000004"/>
    <w:multiLevelType w:val="multilevel"/>
    <w:tmpl w:val="00000004"/>
    <w:lvl w:ilvl="0" w:tentative="0">
      <w:start w:val="9"/>
      <w:numFmt w:val="decimal"/>
      <w:pStyle w:val="2"/>
      <w:lvlText w:val="第%1章"/>
      <w:lvlJc w:val="left"/>
      <w:pPr>
        <w:tabs>
          <w:tab w:val="left" w:pos="1230"/>
        </w:tabs>
        <w:ind w:left="1230" w:hanging="1230"/>
      </w:pPr>
      <w:rPr>
        <w:rFonts w:hint="eastAsia"/>
      </w:rPr>
    </w:lvl>
    <w:lvl w:ilvl="1" w:tentative="0">
      <w:start w:val="1"/>
      <w:numFmt w:val="japaneseCounting"/>
      <w:lvlText w:val="%2、"/>
      <w:lvlJc w:val="left"/>
      <w:pPr>
        <w:tabs>
          <w:tab w:val="left" w:pos="1140"/>
        </w:tabs>
        <w:ind w:left="1140" w:hanging="7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0E7A298"/>
    <w:multiLevelType w:val="singleLevel"/>
    <w:tmpl w:val="40E7A298"/>
    <w:lvl w:ilvl="0" w:tentative="0">
      <w:start w:val="1"/>
      <w:numFmt w:val="chineseCounting"/>
      <w:suff w:val="nothing"/>
      <w:lvlText w:val="（%1）"/>
      <w:lvlJc w:val="left"/>
      <w:rPr>
        <w:rFonts w:hint="eastAsia"/>
      </w:rPr>
    </w:lvl>
  </w:abstractNum>
  <w:abstractNum w:abstractNumId="4">
    <w:nsid w:val="6E294331"/>
    <w:multiLevelType w:val="multilevel"/>
    <w:tmpl w:val="6E294331"/>
    <w:lvl w:ilvl="0" w:tentative="0">
      <w:start w:val="1"/>
      <w:numFmt w:val="decimal"/>
      <w:pStyle w:val="121"/>
      <w:suff w:val="nothing"/>
      <w:lvlText w:val="表%1  "/>
      <w:lvlJc w:val="center"/>
      <w:pPr>
        <w:tabs>
          <w:tab w:val="left" w:pos="0"/>
        </w:tabs>
      </w:pPr>
      <w:rPr>
        <w:rFonts w:hint="default" w:ascii="Times New Roman" w:hAnsi="Times New Roman" w:eastAsia="宋体" w:cs="宋体"/>
        <w:sz w:val="24"/>
        <w:szCs w:val="24"/>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hideSpellingErrors/>
  <w:documentProtection w:enforcement="0"/>
  <w:defaultTabStop w:val="420"/>
  <w:drawingGridHorizontalSpacing w:val="140"/>
  <w:drawingGridVerticalSpacing w:val="381"/>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9B9"/>
    <w:rsid w:val="0000040A"/>
    <w:rsid w:val="00002D92"/>
    <w:rsid w:val="00003280"/>
    <w:rsid w:val="00003E76"/>
    <w:rsid w:val="00004499"/>
    <w:rsid w:val="00005DEE"/>
    <w:rsid w:val="00006197"/>
    <w:rsid w:val="00010D6A"/>
    <w:rsid w:val="00012FDF"/>
    <w:rsid w:val="00013337"/>
    <w:rsid w:val="000133C8"/>
    <w:rsid w:val="000144DB"/>
    <w:rsid w:val="00015DE2"/>
    <w:rsid w:val="0001669A"/>
    <w:rsid w:val="0002056F"/>
    <w:rsid w:val="000212E2"/>
    <w:rsid w:val="00021778"/>
    <w:rsid w:val="00021909"/>
    <w:rsid w:val="000235A6"/>
    <w:rsid w:val="00027526"/>
    <w:rsid w:val="00032793"/>
    <w:rsid w:val="000353B4"/>
    <w:rsid w:val="000359A3"/>
    <w:rsid w:val="00037729"/>
    <w:rsid w:val="00043099"/>
    <w:rsid w:val="000434E0"/>
    <w:rsid w:val="00045883"/>
    <w:rsid w:val="000458BD"/>
    <w:rsid w:val="00046B26"/>
    <w:rsid w:val="00047718"/>
    <w:rsid w:val="00052205"/>
    <w:rsid w:val="000524F5"/>
    <w:rsid w:val="000539FF"/>
    <w:rsid w:val="00053F89"/>
    <w:rsid w:val="000543E7"/>
    <w:rsid w:val="00054DC0"/>
    <w:rsid w:val="00054FE7"/>
    <w:rsid w:val="00055271"/>
    <w:rsid w:val="0005553F"/>
    <w:rsid w:val="000570BC"/>
    <w:rsid w:val="0005789F"/>
    <w:rsid w:val="00057A1A"/>
    <w:rsid w:val="00057FA9"/>
    <w:rsid w:val="00060011"/>
    <w:rsid w:val="00060A10"/>
    <w:rsid w:val="00065C97"/>
    <w:rsid w:val="000661AA"/>
    <w:rsid w:val="00067280"/>
    <w:rsid w:val="00071B3F"/>
    <w:rsid w:val="00072AE3"/>
    <w:rsid w:val="00072D1F"/>
    <w:rsid w:val="00074717"/>
    <w:rsid w:val="000758F7"/>
    <w:rsid w:val="000764DC"/>
    <w:rsid w:val="00076A16"/>
    <w:rsid w:val="000818C2"/>
    <w:rsid w:val="00082EE7"/>
    <w:rsid w:val="00083F00"/>
    <w:rsid w:val="00084E30"/>
    <w:rsid w:val="00085D60"/>
    <w:rsid w:val="0008628C"/>
    <w:rsid w:val="000872BD"/>
    <w:rsid w:val="0009048D"/>
    <w:rsid w:val="0009082E"/>
    <w:rsid w:val="00091475"/>
    <w:rsid w:val="00091CC1"/>
    <w:rsid w:val="0009480F"/>
    <w:rsid w:val="00094A3E"/>
    <w:rsid w:val="00094C97"/>
    <w:rsid w:val="00095418"/>
    <w:rsid w:val="000A04B7"/>
    <w:rsid w:val="000A4AF7"/>
    <w:rsid w:val="000A51A7"/>
    <w:rsid w:val="000A55ED"/>
    <w:rsid w:val="000A678F"/>
    <w:rsid w:val="000A6A9F"/>
    <w:rsid w:val="000A7318"/>
    <w:rsid w:val="000B0CA8"/>
    <w:rsid w:val="000B0D2A"/>
    <w:rsid w:val="000B309D"/>
    <w:rsid w:val="000B4E92"/>
    <w:rsid w:val="000B50BE"/>
    <w:rsid w:val="000B50D1"/>
    <w:rsid w:val="000B584A"/>
    <w:rsid w:val="000B59FF"/>
    <w:rsid w:val="000B5E28"/>
    <w:rsid w:val="000C0718"/>
    <w:rsid w:val="000C0932"/>
    <w:rsid w:val="000C09F4"/>
    <w:rsid w:val="000C0AF7"/>
    <w:rsid w:val="000C0D41"/>
    <w:rsid w:val="000C18C6"/>
    <w:rsid w:val="000C3C3E"/>
    <w:rsid w:val="000C4270"/>
    <w:rsid w:val="000C504C"/>
    <w:rsid w:val="000C5B45"/>
    <w:rsid w:val="000C6B75"/>
    <w:rsid w:val="000D009A"/>
    <w:rsid w:val="000D04B6"/>
    <w:rsid w:val="000D1293"/>
    <w:rsid w:val="000D5848"/>
    <w:rsid w:val="000D725A"/>
    <w:rsid w:val="000D7ABE"/>
    <w:rsid w:val="000E269F"/>
    <w:rsid w:val="000E286D"/>
    <w:rsid w:val="000E335D"/>
    <w:rsid w:val="000E3F81"/>
    <w:rsid w:val="000E5242"/>
    <w:rsid w:val="000E5C56"/>
    <w:rsid w:val="000E686F"/>
    <w:rsid w:val="000F0450"/>
    <w:rsid w:val="000F0966"/>
    <w:rsid w:val="000F2746"/>
    <w:rsid w:val="000F2791"/>
    <w:rsid w:val="000F3849"/>
    <w:rsid w:val="000F3BF3"/>
    <w:rsid w:val="000F5503"/>
    <w:rsid w:val="000F7300"/>
    <w:rsid w:val="000F7CCF"/>
    <w:rsid w:val="00100281"/>
    <w:rsid w:val="00100E44"/>
    <w:rsid w:val="0010121C"/>
    <w:rsid w:val="00101366"/>
    <w:rsid w:val="0010337D"/>
    <w:rsid w:val="00105E3B"/>
    <w:rsid w:val="00106392"/>
    <w:rsid w:val="00107347"/>
    <w:rsid w:val="00107CF3"/>
    <w:rsid w:val="00114B42"/>
    <w:rsid w:val="00114FCD"/>
    <w:rsid w:val="00115D7C"/>
    <w:rsid w:val="0011674F"/>
    <w:rsid w:val="0011792C"/>
    <w:rsid w:val="00121688"/>
    <w:rsid w:val="00124DFD"/>
    <w:rsid w:val="00125B67"/>
    <w:rsid w:val="00126055"/>
    <w:rsid w:val="00126D67"/>
    <w:rsid w:val="00127164"/>
    <w:rsid w:val="001310CA"/>
    <w:rsid w:val="0013135A"/>
    <w:rsid w:val="0013212D"/>
    <w:rsid w:val="00132935"/>
    <w:rsid w:val="001333B9"/>
    <w:rsid w:val="00133A67"/>
    <w:rsid w:val="00133B96"/>
    <w:rsid w:val="00136891"/>
    <w:rsid w:val="00136AB1"/>
    <w:rsid w:val="001415CE"/>
    <w:rsid w:val="00141F87"/>
    <w:rsid w:val="00142585"/>
    <w:rsid w:val="00145FAB"/>
    <w:rsid w:val="0014639E"/>
    <w:rsid w:val="00147AF9"/>
    <w:rsid w:val="00150AA4"/>
    <w:rsid w:val="001513B1"/>
    <w:rsid w:val="0015140E"/>
    <w:rsid w:val="00151FB4"/>
    <w:rsid w:val="00152299"/>
    <w:rsid w:val="00152629"/>
    <w:rsid w:val="001526F8"/>
    <w:rsid w:val="00152AA9"/>
    <w:rsid w:val="001530AF"/>
    <w:rsid w:val="00155BC7"/>
    <w:rsid w:val="00155C33"/>
    <w:rsid w:val="00160F6C"/>
    <w:rsid w:val="00161129"/>
    <w:rsid w:val="00162A93"/>
    <w:rsid w:val="001639AA"/>
    <w:rsid w:val="0016498C"/>
    <w:rsid w:val="00164FF7"/>
    <w:rsid w:val="00166903"/>
    <w:rsid w:val="00170C65"/>
    <w:rsid w:val="00170C8C"/>
    <w:rsid w:val="00170E19"/>
    <w:rsid w:val="0017308E"/>
    <w:rsid w:val="00173E85"/>
    <w:rsid w:val="001740DE"/>
    <w:rsid w:val="00175C77"/>
    <w:rsid w:val="00180EAC"/>
    <w:rsid w:val="00181F2C"/>
    <w:rsid w:val="0018286C"/>
    <w:rsid w:val="00183042"/>
    <w:rsid w:val="00186FD6"/>
    <w:rsid w:val="001873F7"/>
    <w:rsid w:val="00187D65"/>
    <w:rsid w:val="00190E3E"/>
    <w:rsid w:val="00190F30"/>
    <w:rsid w:val="0019195B"/>
    <w:rsid w:val="00191D3B"/>
    <w:rsid w:val="001932A4"/>
    <w:rsid w:val="00193C79"/>
    <w:rsid w:val="00194639"/>
    <w:rsid w:val="001A0FAE"/>
    <w:rsid w:val="001A1A13"/>
    <w:rsid w:val="001A205E"/>
    <w:rsid w:val="001A279F"/>
    <w:rsid w:val="001A2F77"/>
    <w:rsid w:val="001A53E7"/>
    <w:rsid w:val="001A6897"/>
    <w:rsid w:val="001B008D"/>
    <w:rsid w:val="001B0185"/>
    <w:rsid w:val="001B354A"/>
    <w:rsid w:val="001B4E64"/>
    <w:rsid w:val="001B5C3F"/>
    <w:rsid w:val="001B638B"/>
    <w:rsid w:val="001B74D6"/>
    <w:rsid w:val="001B75CB"/>
    <w:rsid w:val="001B7D37"/>
    <w:rsid w:val="001C0183"/>
    <w:rsid w:val="001C0DB9"/>
    <w:rsid w:val="001C0F41"/>
    <w:rsid w:val="001C29FA"/>
    <w:rsid w:val="001C7C71"/>
    <w:rsid w:val="001C7D8C"/>
    <w:rsid w:val="001D0591"/>
    <w:rsid w:val="001D3157"/>
    <w:rsid w:val="001D34D6"/>
    <w:rsid w:val="001D4C41"/>
    <w:rsid w:val="001D50F1"/>
    <w:rsid w:val="001D55C7"/>
    <w:rsid w:val="001D605F"/>
    <w:rsid w:val="001D6BCA"/>
    <w:rsid w:val="001D74CA"/>
    <w:rsid w:val="001E1747"/>
    <w:rsid w:val="001E20E9"/>
    <w:rsid w:val="001E27AB"/>
    <w:rsid w:val="001E345D"/>
    <w:rsid w:val="001E5536"/>
    <w:rsid w:val="001E6BF8"/>
    <w:rsid w:val="001E6DCC"/>
    <w:rsid w:val="001F0178"/>
    <w:rsid w:val="001F1CAE"/>
    <w:rsid w:val="001F323F"/>
    <w:rsid w:val="001F35B4"/>
    <w:rsid w:val="001F5A4F"/>
    <w:rsid w:val="001F5AA1"/>
    <w:rsid w:val="001F66F6"/>
    <w:rsid w:val="001F7F9C"/>
    <w:rsid w:val="00200A75"/>
    <w:rsid w:val="0020253A"/>
    <w:rsid w:val="002031CC"/>
    <w:rsid w:val="002036B9"/>
    <w:rsid w:val="00203B4E"/>
    <w:rsid w:val="0020486F"/>
    <w:rsid w:val="00204D9F"/>
    <w:rsid w:val="00206111"/>
    <w:rsid w:val="002112BC"/>
    <w:rsid w:val="00211FB5"/>
    <w:rsid w:val="00217E68"/>
    <w:rsid w:val="00220FC5"/>
    <w:rsid w:val="0022171B"/>
    <w:rsid w:val="00221BB4"/>
    <w:rsid w:val="00222C13"/>
    <w:rsid w:val="00225280"/>
    <w:rsid w:val="002252B6"/>
    <w:rsid w:val="002254C4"/>
    <w:rsid w:val="00225A20"/>
    <w:rsid w:val="00227CF6"/>
    <w:rsid w:val="002306D4"/>
    <w:rsid w:val="002327A4"/>
    <w:rsid w:val="00234DD1"/>
    <w:rsid w:val="002351B8"/>
    <w:rsid w:val="00237A53"/>
    <w:rsid w:val="00237FB8"/>
    <w:rsid w:val="00240A3E"/>
    <w:rsid w:val="002414F5"/>
    <w:rsid w:val="00241EBB"/>
    <w:rsid w:val="00242855"/>
    <w:rsid w:val="00243405"/>
    <w:rsid w:val="00245EDF"/>
    <w:rsid w:val="0024640D"/>
    <w:rsid w:val="0024778B"/>
    <w:rsid w:val="00247DC0"/>
    <w:rsid w:val="00250A3F"/>
    <w:rsid w:val="00250CBC"/>
    <w:rsid w:val="00252B54"/>
    <w:rsid w:val="002538B6"/>
    <w:rsid w:val="00255CA6"/>
    <w:rsid w:val="0025640F"/>
    <w:rsid w:val="002578F7"/>
    <w:rsid w:val="00257A27"/>
    <w:rsid w:val="00261ED4"/>
    <w:rsid w:val="0026473A"/>
    <w:rsid w:val="0026479B"/>
    <w:rsid w:val="00266E89"/>
    <w:rsid w:val="00267C82"/>
    <w:rsid w:val="00270409"/>
    <w:rsid w:val="00272374"/>
    <w:rsid w:val="0027399C"/>
    <w:rsid w:val="00275579"/>
    <w:rsid w:val="00277009"/>
    <w:rsid w:val="0027706C"/>
    <w:rsid w:val="002806DB"/>
    <w:rsid w:val="002815FD"/>
    <w:rsid w:val="00281842"/>
    <w:rsid w:val="00285DD1"/>
    <w:rsid w:val="002909AC"/>
    <w:rsid w:val="00290DF5"/>
    <w:rsid w:val="002915E9"/>
    <w:rsid w:val="00295B51"/>
    <w:rsid w:val="002971F1"/>
    <w:rsid w:val="00297584"/>
    <w:rsid w:val="00297F41"/>
    <w:rsid w:val="002A0217"/>
    <w:rsid w:val="002A0A09"/>
    <w:rsid w:val="002A10A2"/>
    <w:rsid w:val="002A23D0"/>
    <w:rsid w:val="002A24C7"/>
    <w:rsid w:val="002A254C"/>
    <w:rsid w:val="002A257D"/>
    <w:rsid w:val="002A4DD6"/>
    <w:rsid w:val="002A4DF6"/>
    <w:rsid w:val="002B0915"/>
    <w:rsid w:val="002B0F1F"/>
    <w:rsid w:val="002B2D27"/>
    <w:rsid w:val="002B2DD7"/>
    <w:rsid w:val="002B592D"/>
    <w:rsid w:val="002B5B5A"/>
    <w:rsid w:val="002B70CE"/>
    <w:rsid w:val="002B7B82"/>
    <w:rsid w:val="002C0398"/>
    <w:rsid w:val="002C07FE"/>
    <w:rsid w:val="002C0B35"/>
    <w:rsid w:val="002C0CC5"/>
    <w:rsid w:val="002C0FB6"/>
    <w:rsid w:val="002C3269"/>
    <w:rsid w:val="002C4732"/>
    <w:rsid w:val="002C6404"/>
    <w:rsid w:val="002C676F"/>
    <w:rsid w:val="002C6B9C"/>
    <w:rsid w:val="002C7C11"/>
    <w:rsid w:val="002D074D"/>
    <w:rsid w:val="002D0754"/>
    <w:rsid w:val="002D0A34"/>
    <w:rsid w:val="002D2F55"/>
    <w:rsid w:val="002D33C6"/>
    <w:rsid w:val="002D358F"/>
    <w:rsid w:val="002D5C30"/>
    <w:rsid w:val="002E07FC"/>
    <w:rsid w:val="002E1CF7"/>
    <w:rsid w:val="002E3177"/>
    <w:rsid w:val="002E3993"/>
    <w:rsid w:val="002E3DA8"/>
    <w:rsid w:val="002E4683"/>
    <w:rsid w:val="002E4EF7"/>
    <w:rsid w:val="002E577A"/>
    <w:rsid w:val="002E7880"/>
    <w:rsid w:val="002E7D5E"/>
    <w:rsid w:val="002F02F2"/>
    <w:rsid w:val="002F0CF4"/>
    <w:rsid w:val="002F33AE"/>
    <w:rsid w:val="002F50E1"/>
    <w:rsid w:val="0030224A"/>
    <w:rsid w:val="00305715"/>
    <w:rsid w:val="00306002"/>
    <w:rsid w:val="00306FF1"/>
    <w:rsid w:val="003074E8"/>
    <w:rsid w:val="003105FF"/>
    <w:rsid w:val="00313E73"/>
    <w:rsid w:val="00315785"/>
    <w:rsid w:val="00316450"/>
    <w:rsid w:val="00316E0F"/>
    <w:rsid w:val="00316F1F"/>
    <w:rsid w:val="00317BAA"/>
    <w:rsid w:val="00317CB7"/>
    <w:rsid w:val="003201F1"/>
    <w:rsid w:val="003205CE"/>
    <w:rsid w:val="003236E2"/>
    <w:rsid w:val="003240CC"/>
    <w:rsid w:val="00327282"/>
    <w:rsid w:val="00327690"/>
    <w:rsid w:val="00327A5C"/>
    <w:rsid w:val="00330D6B"/>
    <w:rsid w:val="00332C2B"/>
    <w:rsid w:val="0033516A"/>
    <w:rsid w:val="003353B1"/>
    <w:rsid w:val="00340CA2"/>
    <w:rsid w:val="00340EFC"/>
    <w:rsid w:val="00343BB5"/>
    <w:rsid w:val="00346052"/>
    <w:rsid w:val="0034661D"/>
    <w:rsid w:val="00347817"/>
    <w:rsid w:val="00347E25"/>
    <w:rsid w:val="00350808"/>
    <w:rsid w:val="003513D6"/>
    <w:rsid w:val="00355C96"/>
    <w:rsid w:val="0035635C"/>
    <w:rsid w:val="003567AD"/>
    <w:rsid w:val="00356F52"/>
    <w:rsid w:val="00357351"/>
    <w:rsid w:val="0035746D"/>
    <w:rsid w:val="00357EF1"/>
    <w:rsid w:val="003625DC"/>
    <w:rsid w:val="00364070"/>
    <w:rsid w:val="003640B6"/>
    <w:rsid w:val="00365517"/>
    <w:rsid w:val="003658B3"/>
    <w:rsid w:val="0036751C"/>
    <w:rsid w:val="003712C2"/>
    <w:rsid w:val="00373DF1"/>
    <w:rsid w:val="003740E9"/>
    <w:rsid w:val="0037460F"/>
    <w:rsid w:val="00375536"/>
    <w:rsid w:val="00377421"/>
    <w:rsid w:val="00382287"/>
    <w:rsid w:val="00383E5D"/>
    <w:rsid w:val="00385227"/>
    <w:rsid w:val="00385A44"/>
    <w:rsid w:val="0038663F"/>
    <w:rsid w:val="00386BA5"/>
    <w:rsid w:val="00387164"/>
    <w:rsid w:val="00392AD6"/>
    <w:rsid w:val="003939D0"/>
    <w:rsid w:val="003940F4"/>
    <w:rsid w:val="0039478A"/>
    <w:rsid w:val="003952E8"/>
    <w:rsid w:val="0039533A"/>
    <w:rsid w:val="00395486"/>
    <w:rsid w:val="003954A4"/>
    <w:rsid w:val="003960CA"/>
    <w:rsid w:val="0039684F"/>
    <w:rsid w:val="00397029"/>
    <w:rsid w:val="00397078"/>
    <w:rsid w:val="003A229B"/>
    <w:rsid w:val="003A2590"/>
    <w:rsid w:val="003A2922"/>
    <w:rsid w:val="003A2A1C"/>
    <w:rsid w:val="003A4AE1"/>
    <w:rsid w:val="003A5FCC"/>
    <w:rsid w:val="003A6BE3"/>
    <w:rsid w:val="003A76BD"/>
    <w:rsid w:val="003B17F3"/>
    <w:rsid w:val="003B1FA9"/>
    <w:rsid w:val="003B215A"/>
    <w:rsid w:val="003B22D8"/>
    <w:rsid w:val="003B30D6"/>
    <w:rsid w:val="003B4273"/>
    <w:rsid w:val="003B42B8"/>
    <w:rsid w:val="003C0DB8"/>
    <w:rsid w:val="003C1FCC"/>
    <w:rsid w:val="003C2381"/>
    <w:rsid w:val="003C286C"/>
    <w:rsid w:val="003C2B44"/>
    <w:rsid w:val="003C2F30"/>
    <w:rsid w:val="003C4A9B"/>
    <w:rsid w:val="003D0F71"/>
    <w:rsid w:val="003D10AF"/>
    <w:rsid w:val="003D1AB3"/>
    <w:rsid w:val="003D1CFF"/>
    <w:rsid w:val="003D43F1"/>
    <w:rsid w:val="003D4D3F"/>
    <w:rsid w:val="003D4D87"/>
    <w:rsid w:val="003D52C5"/>
    <w:rsid w:val="003D530E"/>
    <w:rsid w:val="003D7519"/>
    <w:rsid w:val="003E24E4"/>
    <w:rsid w:val="003E313E"/>
    <w:rsid w:val="003E38E2"/>
    <w:rsid w:val="003E4626"/>
    <w:rsid w:val="003E55BA"/>
    <w:rsid w:val="003E6156"/>
    <w:rsid w:val="003E6436"/>
    <w:rsid w:val="003F1630"/>
    <w:rsid w:val="003F2274"/>
    <w:rsid w:val="003F33FD"/>
    <w:rsid w:val="003F34C3"/>
    <w:rsid w:val="003F49EA"/>
    <w:rsid w:val="003F7E3C"/>
    <w:rsid w:val="004002FF"/>
    <w:rsid w:val="0040197B"/>
    <w:rsid w:val="00403673"/>
    <w:rsid w:val="0040371F"/>
    <w:rsid w:val="00403B9F"/>
    <w:rsid w:val="004052E7"/>
    <w:rsid w:val="00411011"/>
    <w:rsid w:val="0041136C"/>
    <w:rsid w:val="00411B4B"/>
    <w:rsid w:val="00412C61"/>
    <w:rsid w:val="00413BD6"/>
    <w:rsid w:val="00416FC0"/>
    <w:rsid w:val="00417121"/>
    <w:rsid w:val="004173FD"/>
    <w:rsid w:val="00417E39"/>
    <w:rsid w:val="004235A2"/>
    <w:rsid w:val="00423F91"/>
    <w:rsid w:val="00424A5B"/>
    <w:rsid w:val="004258FF"/>
    <w:rsid w:val="00425C38"/>
    <w:rsid w:val="00426B16"/>
    <w:rsid w:val="00430338"/>
    <w:rsid w:val="0043047C"/>
    <w:rsid w:val="00430CEA"/>
    <w:rsid w:val="004333BC"/>
    <w:rsid w:val="00433539"/>
    <w:rsid w:val="00434217"/>
    <w:rsid w:val="00435630"/>
    <w:rsid w:val="004357A9"/>
    <w:rsid w:val="0043662A"/>
    <w:rsid w:val="00437422"/>
    <w:rsid w:val="00437575"/>
    <w:rsid w:val="0044230F"/>
    <w:rsid w:val="004446E0"/>
    <w:rsid w:val="004453B8"/>
    <w:rsid w:val="0044543A"/>
    <w:rsid w:val="004461CF"/>
    <w:rsid w:val="00446A76"/>
    <w:rsid w:val="0045076F"/>
    <w:rsid w:val="00451EF6"/>
    <w:rsid w:val="004558C1"/>
    <w:rsid w:val="00456637"/>
    <w:rsid w:val="004611C2"/>
    <w:rsid w:val="00462263"/>
    <w:rsid w:val="004633B7"/>
    <w:rsid w:val="00467BBA"/>
    <w:rsid w:val="0047033A"/>
    <w:rsid w:val="00472300"/>
    <w:rsid w:val="004752B6"/>
    <w:rsid w:val="00476426"/>
    <w:rsid w:val="004766C6"/>
    <w:rsid w:val="004771EE"/>
    <w:rsid w:val="004804CA"/>
    <w:rsid w:val="0048077C"/>
    <w:rsid w:val="00480CFB"/>
    <w:rsid w:val="00481173"/>
    <w:rsid w:val="0048138F"/>
    <w:rsid w:val="004826B1"/>
    <w:rsid w:val="00483E27"/>
    <w:rsid w:val="00483FB1"/>
    <w:rsid w:val="00484014"/>
    <w:rsid w:val="0048485D"/>
    <w:rsid w:val="0048538C"/>
    <w:rsid w:val="00485936"/>
    <w:rsid w:val="00487D87"/>
    <w:rsid w:val="0049069C"/>
    <w:rsid w:val="00494BE9"/>
    <w:rsid w:val="0049694C"/>
    <w:rsid w:val="00497005"/>
    <w:rsid w:val="00497BFE"/>
    <w:rsid w:val="004A07A7"/>
    <w:rsid w:val="004A0C5D"/>
    <w:rsid w:val="004A12B8"/>
    <w:rsid w:val="004A16AE"/>
    <w:rsid w:val="004B0B7D"/>
    <w:rsid w:val="004B2862"/>
    <w:rsid w:val="004B49B0"/>
    <w:rsid w:val="004B4BF6"/>
    <w:rsid w:val="004B5C19"/>
    <w:rsid w:val="004B5CBF"/>
    <w:rsid w:val="004B67CE"/>
    <w:rsid w:val="004B7F69"/>
    <w:rsid w:val="004C0058"/>
    <w:rsid w:val="004C0BB8"/>
    <w:rsid w:val="004C116F"/>
    <w:rsid w:val="004C3193"/>
    <w:rsid w:val="004C42AA"/>
    <w:rsid w:val="004C5326"/>
    <w:rsid w:val="004C5E6D"/>
    <w:rsid w:val="004C6ED5"/>
    <w:rsid w:val="004C74FF"/>
    <w:rsid w:val="004D0D7C"/>
    <w:rsid w:val="004D1D16"/>
    <w:rsid w:val="004D21FA"/>
    <w:rsid w:val="004D378E"/>
    <w:rsid w:val="004D39F5"/>
    <w:rsid w:val="004D45D6"/>
    <w:rsid w:val="004D5893"/>
    <w:rsid w:val="004D61F2"/>
    <w:rsid w:val="004D6E74"/>
    <w:rsid w:val="004D77E3"/>
    <w:rsid w:val="004E010D"/>
    <w:rsid w:val="004E0C66"/>
    <w:rsid w:val="004E1152"/>
    <w:rsid w:val="004E1F86"/>
    <w:rsid w:val="004E20D6"/>
    <w:rsid w:val="004E2FB9"/>
    <w:rsid w:val="004E41C2"/>
    <w:rsid w:val="004E4702"/>
    <w:rsid w:val="004E4F96"/>
    <w:rsid w:val="004E515C"/>
    <w:rsid w:val="004E5AE5"/>
    <w:rsid w:val="004E5B9A"/>
    <w:rsid w:val="004F0595"/>
    <w:rsid w:val="004F08D4"/>
    <w:rsid w:val="004F393F"/>
    <w:rsid w:val="004F49A2"/>
    <w:rsid w:val="004F66D4"/>
    <w:rsid w:val="004F7751"/>
    <w:rsid w:val="004F797E"/>
    <w:rsid w:val="005015F6"/>
    <w:rsid w:val="00504895"/>
    <w:rsid w:val="00505A26"/>
    <w:rsid w:val="00507CA3"/>
    <w:rsid w:val="005101BD"/>
    <w:rsid w:val="00511452"/>
    <w:rsid w:val="0051367F"/>
    <w:rsid w:val="00513BFB"/>
    <w:rsid w:val="0051451E"/>
    <w:rsid w:val="00521356"/>
    <w:rsid w:val="005258EB"/>
    <w:rsid w:val="005276EC"/>
    <w:rsid w:val="00531C0E"/>
    <w:rsid w:val="00534CF4"/>
    <w:rsid w:val="00535380"/>
    <w:rsid w:val="00537CD1"/>
    <w:rsid w:val="005410D0"/>
    <w:rsid w:val="00542509"/>
    <w:rsid w:val="00542818"/>
    <w:rsid w:val="00543AE0"/>
    <w:rsid w:val="00544345"/>
    <w:rsid w:val="00544D01"/>
    <w:rsid w:val="0054681C"/>
    <w:rsid w:val="00547EDB"/>
    <w:rsid w:val="00550214"/>
    <w:rsid w:val="00551B80"/>
    <w:rsid w:val="00551F37"/>
    <w:rsid w:val="00554588"/>
    <w:rsid w:val="00554EE0"/>
    <w:rsid w:val="005646AA"/>
    <w:rsid w:val="005700CA"/>
    <w:rsid w:val="005719AE"/>
    <w:rsid w:val="00574634"/>
    <w:rsid w:val="00574A30"/>
    <w:rsid w:val="00575A8E"/>
    <w:rsid w:val="00575E8E"/>
    <w:rsid w:val="00576145"/>
    <w:rsid w:val="00576297"/>
    <w:rsid w:val="00577155"/>
    <w:rsid w:val="00577E04"/>
    <w:rsid w:val="005808D1"/>
    <w:rsid w:val="00580C29"/>
    <w:rsid w:val="005814A4"/>
    <w:rsid w:val="00584416"/>
    <w:rsid w:val="00586D76"/>
    <w:rsid w:val="0058762B"/>
    <w:rsid w:val="00593DC7"/>
    <w:rsid w:val="005944B6"/>
    <w:rsid w:val="0059521A"/>
    <w:rsid w:val="005A0B2F"/>
    <w:rsid w:val="005A2BB0"/>
    <w:rsid w:val="005A39FF"/>
    <w:rsid w:val="005A6A8F"/>
    <w:rsid w:val="005B0AC5"/>
    <w:rsid w:val="005B2B16"/>
    <w:rsid w:val="005B31E0"/>
    <w:rsid w:val="005B330E"/>
    <w:rsid w:val="005B5194"/>
    <w:rsid w:val="005B5935"/>
    <w:rsid w:val="005C1250"/>
    <w:rsid w:val="005C1781"/>
    <w:rsid w:val="005C181A"/>
    <w:rsid w:val="005C2DCA"/>
    <w:rsid w:val="005C3FD0"/>
    <w:rsid w:val="005C510A"/>
    <w:rsid w:val="005C5371"/>
    <w:rsid w:val="005C68D9"/>
    <w:rsid w:val="005D1428"/>
    <w:rsid w:val="005D17FF"/>
    <w:rsid w:val="005D3148"/>
    <w:rsid w:val="005D36E3"/>
    <w:rsid w:val="005D3C7B"/>
    <w:rsid w:val="005D70A5"/>
    <w:rsid w:val="005D7361"/>
    <w:rsid w:val="005E0923"/>
    <w:rsid w:val="005E4470"/>
    <w:rsid w:val="005E7125"/>
    <w:rsid w:val="005F0ED1"/>
    <w:rsid w:val="005F1AEB"/>
    <w:rsid w:val="005F27E5"/>
    <w:rsid w:val="005F2836"/>
    <w:rsid w:val="005F28E3"/>
    <w:rsid w:val="005F4EC9"/>
    <w:rsid w:val="005F57C8"/>
    <w:rsid w:val="005F6270"/>
    <w:rsid w:val="005F6B17"/>
    <w:rsid w:val="0060010A"/>
    <w:rsid w:val="00601F74"/>
    <w:rsid w:val="00602721"/>
    <w:rsid w:val="00602F08"/>
    <w:rsid w:val="0061268E"/>
    <w:rsid w:val="006144A5"/>
    <w:rsid w:val="00615836"/>
    <w:rsid w:val="00615C74"/>
    <w:rsid w:val="00616C10"/>
    <w:rsid w:val="00620204"/>
    <w:rsid w:val="006220D6"/>
    <w:rsid w:val="006237BA"/>
    <w:rsid w:val="00623925"/>
    <w:rsid w:val="00623D19"/>
    <w:rsid w:val="00626126"/>
    <w:rsid w:val="00626388"/>
    <w:rsid w:val="0062711E"/>
    <w:rsid w:val="006274F3"/>
    <w:rsid w:val="00631187"/>
    <w:rsid w:val="006316E4"/>
    <w:rsid w:val="00631E5A"/>
    <w:rsid w:val="006328BB"/>
    <w:rsid w:val="00632942"/>
    <w:rsid w:val="00632CBB"/>
    <w:rsid w:val="006334D1"/>
    <w:rsid w:val="0063506D"/>
    <w:rsid w:val="00635707"/>
    <w:rsid w:val="00636C1D"/>
    <w:rsid w:val="00637F48"/>
    <w:rsid w:val="00640F97"/>
    <w:rsid w:val="0064119A"/>
    <w:rsid w:val="00643171"/>
    <w:rsid w:val="00644242"/>
    <w:rsid w:val="00645DB5"/>
    <w:rsid w:val="006462DC"/>
    <w:rsid w:val="006465E9"/>
    <w:rsid w:val="006468DB"/>
    <w:rsid w:val="006475E2"/>
    <w:rsid w:val="006513C2"/>
    <w:rsid w:val="00653019"/>
    <w:rsid w:val="006535D0"/>
    <w:rsid w:val="00653D5F"/>
    <w:rsid w:val="00653DA4"/>
    <w:rsid w:val="00653F2C"/>
    <w:rsid w:val="00654281"/>
    <w:rsid w:val="006550D7"/>
    <w:rsid w:val="00655FBE"/>
    <w:rsid w:val="006562EC"/>
    <w:rsid w:val="0065631A"/>
    <w:rsid w:val="00656A7B"/>
    <w:rsid w:val="006574DA"/>
    <w:rsid w:val="00661532"/>
    <w:rsid w:val="00662F41"/>
    <w:rsid w:val="0066751E"/>
    <w:rsid w:val="006713DC"/>
    <w:rsid w:val="006730A0"/>
    <w:rsid w:val="00674E5D"/>
    <w:rsid w:val="006758CF"/>
    <w:rsid w:val="006763CB"/>
    <w:rsid w:val="00680241"/>
    <w:rsid w:val="006812CA"/>
    <w:rsid w:val="00681BBB"/>
    <w:rsid w:val="0068393F"/>
    <w:rsid w:val="006841A7"/>
    <w:rsid w:val="00684A93"/>
    <w:rsid w:val="00684C9C"/>
    <w:rsid w:val="0068589D"/>
    <w:rsid w:val="00685DE4"/>
    <w:rsid w:val="006876BF"/>
    <w:rsid w:val="00691370"/>
    <w:rsid w:val="00692308"/>
    <w:rsid w:val="00692952"/>
    <w:rsid w:val="0069342A"/>
    <w:rsid w:val="0069411E"/>
    <w:rsid w:val="006956A3"/>
    <w:rsid w:val="00695C8C"/>
    <w:rsid w:val="00696222"/>
    <w:rsid w:val="006964D7"/>
    <w:rsid w:val="006A21B3"/>
    <w:rsid w:val="006A4E62"/>
    <w:rsid w:val="006A71E2"/>
    <w:rsid w:val="006B09E4"/>
    <w:rsid w:val="006B2208"/>
    <w:rsid w:val="006B23FF"/>
    <w:rsid w:val="006B2E50"/>
    <w:rsid w:val="006B2EE2"/>
    <w:rsid w:val="006B59F8"/>
    <w:rsid w:val="006B6AE7"/>
    <w:rsid w:val="006C004D"/>
    <w:rsid w:val="006C2075"/>
    <w:rsid w:val="006C2AE9"/>
    <w:rsid w:val="006C446F"/>
    <w:rsid w:val="006C4DDF"/>
    <w:rsid w:val="006C5234"/>
    <w:rsid w:val="006C5773"/>
    <w:rsid w:val="006C672A"/>
    <w:rsid w:val="006C725E"/>
    <w:rsid w:val="006C7AFD"/>
    <w:rsid w:val="006D025A"/>
    <w:rsid w:val="006D0F29"/>
    <w:rsid w:val="006D1C98"/>
    <w:rsid w:val="006D2B53"/>
    <w:rsid w:val="006D44A7"/>
    <w:rsid w:val="006D4521"/>
    <w:rsid w:val="006D473B"/>
    <w:rsid w:val="006D51E7"/>
    <w:rsid w:val="006D5C62"/>
    <w:rsid w:val="006D670C"/>
    <w:rsid w:val="006D78BE"/>
    <w:rsid w:val="006D791B"/>
    <w:rsid w:val="006E3F28"/>
    <w:rsid w:val="006E3F8E"/>
    <w:rsid w:val="006E50D0"/>
    <w:rsid w:val="006E5346"/>
    <w:rsid w:val="006E5EDD"/>
    <w:rsid w:val="006E6318"/>
    <w:rsid w:val="006E6B55"/>
    <w:rsid w:val="006F34D0"/>
    <w:rsid w:val="006F3FDA"/>
    <w:rsid w:val="006F447B"/>
    <w:rsid w:val="006F4F75"/>
    <w:rsid w:val="006F7712"/>
    <w:rsid w:val="007008E6"/>
    <w:rsid w:val="007009C0"/>
    <w:rsid w:val="00700C56"/>
    <w:rsid w:val="00702598"/>
    <w:rsid w:val="0070440C"/>
    <w:rsid w:val="00704ACA"/>
    <w:rsid w:val="00704C09"/>
    <w:rsid w:val="0070554E"/>
    <w:rsid w:val="00705841"/>
    <w:rsid w:val="007058A2"/>
    <w:rsid w:val="00705D73"/>
    <w:rsid w:val="00706EB2"/>
    <w:rsid w:val="00706F97"/>
    <w:rsid w:val="00706FC8"/>
    <w:rsid w:val="007079ED"/>
    <w:rsid w:val="00711F77"/>
    <w:rsid w:val="00712576"/>
    <w:rsid w:val="00713B03"/>
    <w:rsid w:val="0072332B"/>
    <w:rsid w:val="00723BBB"/>
    <w:rsid w:val="00723CB0"/>
    <w:rsid w:val="00724409"/>
    <w:rsid w:val="007246D7"/>
    <w:rsid w:val="007271BD"/>
    <w:rsid w:val="00727B1A"/>
    <w:rsid w:val="00727FE3"/>
    <w:rsid w:val="00730FCC"/>
    <w:rsid w:val="007316BB"/>
    <w:rsid w:val="00732500"/>
    <w:rsid w:val="00732E99"/>
    <w:rsid w:val="007354B7"/>
    <w:rsid w:val="007365C5"/>
    <w:rsid w:val="007401B2"/>
    <w:rsid w:val="007404E3"/>
    <w:rsid w:val="00740E04"/>
    <w:rsid w:val="007412AC"/>
    <w:rsid w:val="00743317"/>
    <w:rsid w:val="007438C1"/>
    <w:rsid w:val="00743DB2"/>
    <w:rsid w:val="00745EAC"/>
    <w:rsid w:val="007517F1"/>
    <w:rsid w:val="007518E9"/>
    <w:rsid w:val="0075196D"/>
    <w:rsid w:val="007520DB"/>
    <w:rsid w:val="00752DCC"/>
    <w:rsid w:val="0075434B"/>
    <w:rsid w:val="00761BF5"/>
    <w:rsid w:val="0076563C"/>
    <w:rsid w:val="0076671F"/>
    <w:rsid w:val="00766A74"/>
    <w:rsid w:val="00767FB5"/>
    <w:rsid w:val="00771F15"/>
    <w:rsid w:val="0077272D"/>
    <w:rsid w:val="00774A70"/>
    <w:rsid w:val="00774C90"/>
    <w:rsid w:val="00776F22"/>
    <w:rsid w:val="00777FDA"/>
    <w:rsid w:val="007802E1"/>
    <w:rsid w:val="007824C8"/>
    <w:rsid w:val="007824E3"/>
    <w:rsid w:val="00784441"/>
    <w:rsid w:val="00784C9C"/>
    <w:rsid w:val="00785799"/>
    <w:rsid w:val="00785CCE"/>
    <w:rsid w:val="007868A2"/>
    <w:rsid w:val="0078768E"/>
    <w:rsid w:val="00792965"/>
    <w:rsid w:val="00793A2D"/>
    <w:rsid w:val="007951ED"/>
    <w:rsid w:val="0079777F"/>
    <w:rsid w:val="007978BB"/>
    <w:rsid w:val="00797F8C"/>
    <w:rsid w:val="007A1B55"/>
    <w:rsid w:val="007A2204"/>
    <w:rsid w:val="007A2CAA"/>
    <w:rsid w:val="007A6355"/>
    <w:rsid w:val="007A7DE4"/>
    <w:rsid w:val="007B187D"/>
    <w:rsid w:val="007B2263"/>
    <w:rsid w:val="007B26B0"/>
    <w:rsid w:val="007B3C09"/>
    <w:rsid w:val="007B427B"/>
    <w:rsid w:val="007B5962"/>
    <w:rsid w:val="007B6D6C"/>
    <w:rsid w:val="007C0341"/>
    <w:rsid w:val="007C0EB1"/>
    <w:rsid w:val="007C0F4F"/>
    <w:rsid w:val="007C3E29"/>
    <w:rsid w:val="007C4E2A"/>
    <w:rsid w:val="007C6010"/>
    <w:rsid w:val="007C67CE"/>
    <w:rsid w:val="007C69A0"/>
    <w:rsid w:val="007D14A9"/>
    <w:rsid w:val="007D16D6"/>
    <w:rsid w:val="007D1FA8"/>
    <w:rsid w:val="007D2231"/>
    <w:rsid w:val="007D4176"/>
    <w:rsid w:val="007D45FC"/>
    <w:rsid w:val="007D4670"/>
    <w:rsid w:val="007D585E"/>
    <w:rsid w:val="007D7E30"/>
    <w:rsid w:val="007E0287"/>
    <w:rsid w:val="007E29C4"/>
    <w:rsid w:val="007E2B41"/>
    <w:rsid w:val="007E6BAE"/>
    <w:rsid w:val="007E6E1D"/>
    <w:rsid w:val="007E7194"/>
    <w:rsid w:val="007E7373"/>
    <w:rsid w:val="007F1512"/>
    <w:rsid w:val="007F156D"/>
    <w:rsid w:val="007F1691"/>
    <w:rsid w:val="007F1A94"/>
    <w:rsid w:val="007F1F3F"/>
    <w:rsid w:val="007F56AF"/>
    <w:rsid w:val="007F637B"/>
    <w:rsid w:val="007F659F"/>
    <w:rsid w:val="007F7626"/>
    <w:rsid w:val="008003DE"/>
    <w:rsid w:val="0080285F"/>
    <w:rsid w:val="0080647C"/>
    <w:rsid w:val="008104C0"/>
    <w:rsid w:val="00810F00"/>
    <w:rsid w:val="00812DA7"/>
    <w:rsid w:val="00813D7A"/>
    <w:rsid w:val="00814BE5"/>
    <w:rsid w:val="00815861"/>
    <w:rsid w:val="00820B4F"/>
    <w:rsid w:val="00821710"/>
    <w:rsid w:val="00822425"/>
    <w:rsid w:val="00823096"/>
    <w:rsid w:val="00824511"/>
    <w:rsid w:val="00824EAD"/>
    <w:rsid w:val="0082500A"/>
    <w:rsid w:val="008267FC"/>
    <w:rsid w:val="00827708"/>
    <w:rsid w:val="00827A42"/>
    <w:rsid w:val="00831696"/>
    <w:rsid w:val="00831D54"/>
    <w:rsid w:val="008337D1"/>
    <w:rsid w:val="00833B39"/>
    <w:rsid w:val="00834348"/>
    <w:rsid w:val="00834ED1"/>
    <w:rsid w:val="00835A90"/>
    <w:rsid w:val="00835D53"/>
    <w:rsid w:val="0083657D"/>
    <w:rsid w:val="00836E93"/>
    <w:rsid w:val="00840753"/>
    <w:rsid w:val="00842C6C"/>
    <w:rsid w:val="00844C12"/>
    <w:rsid w:val="00846B2A"/>
    <w:rsid w:val="008475A6"/>
    <w:rsid w:val="00851541"/>
    <w:rsid w:val="00852992"/>
    <w:rsid w:val="00857456"/>
    <w:rsid w:val="00860ED5"/>
    <w:rsid w:val="008615D6"/>
    <w:rsid w:val="00862E57"/>
    <w:rsid w:val="0086350C"/>
    <w:rsid w:val="00866C42"/>
    <w:rsid w:val="00866CA4"/>
    <w:rsid w:val="00867FA7"/>
    <w:rsid w:val="00872168"/>
    <w:rsid w:val="00873945"/>
    <w:rsid w:val="00877ADB"/>
    <w:rsid w:val="00877FAC"/>
    <w:rsid w:val="00880864"/>
    <w:rsid w:val="00881702"/>
    <w:rsid w:val="00882825"/>
    <w:rsid w:val="008836A8"/>
    <w:rsid w:val="008837F7"/>
    <w:rsid w:val="008848FE"/>
    <w:rsid w:val="008856A4"/>
    <w:rsid w:val="0088752B"/>
    <w:rsid w:val="0089109A"/>
    <w:rsid w:val="008916C1"/>
    <w:rsid w:val="008921AD"/>
    <w:rsid w:val="0089243C"/>
    <w:rsid w:val="00892C57"/>
    <w:rsid w:val="00893C39"/>
    <w:rsid w:val="00896512"/>
    <w:rsid w:val="00897F5D"/>
    <w:rsid w:val="008A1E24"/>
    <w:rsid w:val="008A2505"/>
    <w:rsid w:val="008A32FE"/>
    <w:rsid w:val="008A4E68"/>
    <w:rsid w:val="008A5713"/>
    <w:rsid w:val="008B0C71"/>
    <w:rsid w:val="008B0F81"/>
    <w:rsid w:val="008B1645"/>
    <w:rsid w:val="008B18CA"/>
    <w:rsid w:val="008B3020"/>
    <w:rsid w:val="008B4B12"/>
    <w:rsid w:val="008B66CA"/>
    <w:rsid w:val="008C1329"/>
    <w:rsid w:val="008C1CBE"/>
    <w:rsid w:val="008C2F37"/>
    <w:rsid w:val="008C34EB"/>
    <w:rsid w:val="008C3593"/>
    <w:rsid w:val="008C5B05"/>
    <w:rsid w:val="008C6605"/>
    <w:rsid w:val="008C67C3"/>
    <w:rsid w:val="008C6980"/>
    <w:rsid w:val="008C7234"/>
    <w:rsid w:val="008C7C45"/>
    <w:rsid w:val="008D0EC8"/>
    <w:rsid w:val="008D1CA3"/>
    <w:rsid w:val="008D24DF"/>
    <w:rsid w:val="008D2C8C"/>
    <w:rsid w:val="008D3108"/>
    <w:rsid w:val="008D474D"/>
    <w:rsid w:val="008D73F4"/>
    <w:rsid w:val="008D798E"/>
    <w:rsid w:val="008E2E4C"/>
    <w:rsid w:val="008E36B5"/>
    <w:rsid w:val="008E3851"/>
    <w:rsid w:val="008E421D"/>
    <w:rsid w:val="008E4353"/>
    <w:rsid w:val="008E4718"/>
    <w:rsid w:val="008E67C1"/>
    <w:rsid w:val="008E781D"/>
    <w:rsid w:val="008F0EB0"/>
    <w:rsid w:val="008F151A"/>
    <w:rsid w:val="008F1FFF"/>
    <w:rsid w:val="008F2028"/>
    <w:rsid w:val="008F3169"/>
    <w:rsid w:val="008F4717"/>
    <w:rsid w:val="008F56E5"/>
    <w:rsid w:val="008F5E5E"/>
    <w:rsid w:val="008F6BF9"/>
    <w:rsid w:val="009019E4"/>
    <w:rsid w:val="00902F2A"/>
    <w:rsid w:val="00903094"/>
    <w:rsid w:val="009040BD"/>
    <w:rsid w:val="00904C45"/>
    <w:rsid w:val="00904D68"/>
    <w:rsid w:val="00904D74"/>
    <w:rsid w:val="0090567D"/>
    <w:rsid w:val="0090596D"/>
    <w:rsid w:val="0091055A"/>
    <w:rsid w:val="0091475A"/>
    <w:rsid w:val="00914B77"/>
    <w:rsid w:val="00914E59"/>
    <w:rsid w:val="00915FA9"/>
    <w:rsid w:val="00916EBA"/>
    <w:rsid w:val="00917D23"/>
    <w:rsid w:val="0092078F"/>
    <w:rsid w:val="00922BD6"/>
    <w:rsid w:val="00924265"/>
    <w:rsid w:val="009245C4"/>
    <w:rsid w:val="009248BC"/>
    <w:rsid w:val="009249F4"/>
    <w:rsid w:val="00925D6D"/>
    <w:rsid w:val="00927508"/>
    <w:rsid w:val="009301C2"/>
    <w:rsid w:val="00930D1D"/>
    <w:rsid w:val="0093115A"/>
    <w:rsid w:val="0093252C"/>
    <w:rsid w:val="00933769"/>
    <w:rsid w:val="009343B4"/>
    <w:rsid w:val="00935B5E"/>
    <w:rsid w:val="009372FF"/>
    <w:rsid w:val="00937666"/>
    <w:rsid w:val="00937848"/>
    <w:rsid w:val="0094056E"/>
    <w:rsid w:val="009425F8"/>
    <w:rsid w:val="00943C87"/>
    <w:rsid w:val="00944A89"/>
    <w:rsid w:val="009456EF"/>
    <w:rsid w:val="00946E0D"/>
    <w:rsid w:val="00947FCE"/>
    <w:rsid w:val="00950712"/>
    <w:rsid w:val="00950BE6"/>
    <w:rsid w:val="009513B6"/>
    <w:rsid w:val="009518E9"/>
    <w:rsid w:val="00951FA1"/>
    <w:rsid w:val="00954608"/>
    <w:rsid w:val="009556E3"/>
    <w:rsid w:val="0095680D"/>
    <w:rsid w:val="0096077D"/>
    <w:rsid w:val="00962628"/>
    <w:rsid w:val="00962734"/>
    <w:rsid w:val="00963B6C"/>
    <w:rsid w:val="00964BD9"/>
    <w:rsid w:val="00964D23"/>
    <w:rsid w:val="009655ED"/>
    <w:rsid w:val="009662D8"/>
    <w:rsid w:val="00967913"/>
    <w:rsid w:val="00970619"/>
    <w:rsid w:val="00972D19"/>
    <w:rsid w:val="00974A53"/>
    <w:rsid w:val="00975109"/>
    <w:rsid w:val="00981405"/>
    <w:rsid w:val="00984DEC"/>
    <w:rsid w:val="009857B9"/>
    <w:rsid w:val="00986981"/>
    <w:rsid w:val="009903B5"/>
    <w:rsid w:val="009914D6"/>
    <w:rsid w:val="00991F91"/>
    <w:rsid w:val="00992608"/>
    <w:rsid w:val="009939E0"/>
    <w:rsid w:val="009A1DFE"/>
    <w:rsid w:val="009A26AD"/>
    <w:rsid w:val="009A2C19"/>
    <w:rsid w:val="009A2EB4"/>
    <w:rsid w:val="009A3C83"/>
    <w:rsid w:val="009A4293"/>
    <w:rsid w:val="009A46B0"/>
    <w:rsid w:val="009A47D8"/>
    <w:rsid w:val="009B02C2"/>
    <w:rsid w:val="009B0B64"/>
    <w:rsid w:val="009B1372"/>
    <w:rsid w:val="009B3F16"/>
    <w:rsid w:val="009B4791"/>
    <w:rsid w:val="009B5555"/>
    <w:rsid w:val="009B603A"/>
    <w:rsid w:val="009B6322"/>
    <w:rsid w:val="009B702D"/>
    <w:rsid w:val="009C0351"/>
    <w:rsid w:val="009C211B"/>
    <w:rsid w:val="009C278C"/>
    <w:rsid w:val="009C51BB"/>
    <w:rsid w:val="009C65D9"/>
    <w:rsid w:val="009D03DF"/>
    <w:rsid w:val="009D04AB"/>
    <w:rsid w:val="009D0FE2"/>
    <w:rsid w:val="009D34BC"/>
    <w:rsid w:val="009D40D9"/>
    <w:rsid w:val="009D5AEE"/>
    <w:rsid w:val="009D5E8B"/>
    <w:rsid w:val="009D614E"/>
    <w:rsid w:val="009D6230"/>
    <w:rsid w:val="009D67C6"/>
    <w:rsid w:val="009D7621"/>
    <w:rsid w:val="009D778B"/>
    <w:rsid w:val="009E09DE"/>
    <w:rsid w:val="009E117C"/>
    <w:rsid w:val="009E1594"/>
    <w:rsid w:val="009E1913"/>
    <w:rsid w:val="009E203D"/>
    <w:rsid w:val="009E348F"/>
    <w:rsid w:val="009E36B6"/>
    <w:rsid w:val="009E6227"/>
    <w:rsid w:val="009F02AE"/>
    <w:rsid w:val="009F2AEA"/>
    <w:rsid w:val="009F4369"/>
    <w:rsid w:val="009F58D1"/>
    <w:rsid w:val="009F61E8"/>
    <w:rsid w:val="00A0027A"/>
    <w:rsid w:val="00A01299"/>
    <w:rsid w:val="00A0161A"/>
    <w:rsid w:val="00A01ACB"/>
    <w:rsid w:val="00A024F2"/>
    <w:rsid w:val="00A026AA"/>
    <w:rsid w:val="00A03F19"/>
    <w:rsid w:val="00A053B5"/>
    <w:rsid w:val="00A06429"/>
    <w:rsid w:val="00A06548"/>
    <w:rsid w:val="00A111BE"/>
    <w:rsid w:val="00A1269F"/>
    <w:rsid w:val="00A1282D"/>
    <w:rsid w:val="00A128FC"/>
    <w:rsid w:val="00A14693"/>
    <w:rsid w:val="00A1549F"/>
    <w:rsid w:val="00A17EB3"/>
    <w:rsid w:val="00A20167"/>
    <w:rsid w:val="00A24368"/>
    <w:rsid w:val="00A2478C"/>
    <w:rsid w:val="00A26F83"/>
    <w:rsid w:val="00A27344"/>
    <w:rsid w:val="00A27461"/>
    <w:rsid w:val="00A325A0"/>
    <w:rsid w:val="00A35360"/>
    <w:rsid w:val="00A35560"/>
    <w:rsid w:val="00A35F6B"/>
    <w:rsid w:val="00A40E81"/>
    <w:rsid w:val="00A41E3A"/>
    <w:rsid w:val="00A4268E"/>
    <w:rsid w:val="00A42C1C"/>
    <w:rsid w:val="00A42EF6"/>
    <w:rsid w:val="00A45AFB"/>
    <w:rsid w:val="00A47BBD"/>
    <w:rsid w:val="00A50D21"/>
    <w:rsid w:val="00A51F0C"/>
    <w:rsid w:val="00A525F5"/>
    <w:rsid w:val="00A53395"/>
    <w:rsid w:val="00A53AFF"/>
    <w:rsid w:val="00A5400F"/>
    <w:rsid w:val="00A5466B"/>
    <w:rsid w:val="00A56986"/>
    <w:rsid w:val="00A571F1"/>
    <w:rsid w:val="00A630EE"/>
    <w:rsid w:val="00A66218"/>
    <w:rsid w:val="00A66467"/>
    <w:rsid w:val="00A669D3"/>
    <w:rsid w:val="00A66DBE"/>
    <w:rsid w:val="00A71E12"/>
    <w:rsid w:val="00A71E20"/>
    <w:rsid w:val="00A72C2F"/>
    <w:rsid w:val="00A7422C"/>
    <w:rsid w:val="00A74CB1"/>
    <w:rsid w:val="00A76F2B"/>
    <w:rsid w:val="00A8059B"/>
    <w:rsid w:val="00A8179B"/>
    <w:rsid w:val="00A81A93"/>
    <w:rsid w:val="00A84392"/>
    <w:rsid w:val="00A85058"/>
    <w:rsid w:val="00A919D0"/>
    <w:rsid w:val="00A91E77"/>
    <w:rsid w:val="00A92D21"/>
    <w:rsid w:val="00A94151"/>
    <w:rsid w:val="00A95168"/>
    <w:rsid w:val="00AA1F99"/>
    <w:rsid w:val="00AA1FDD"/>
    <w:rsid w:val="00AA27BE"/>
    <w:rsid w:val="00AA3045"/>
    <w:rsid w:val="00AA3167"/>
    <w:rsid w:val="00AA3644"/>
    <w:rsid w:val="00AA6128"/>
    <w:rsid w:val="00AB2E9D"/>
    <w:rsid w:val="00AB3504"/>
    <w:rsid w:val="00AB3F39"/>
    <w:rsid w:val="00AB4775"/>
    <w:rsid w:val="00AB4DC8"/>
    <w:rsid w:val="00AB6090"/>
    <w:rsid w:val="00AC0495"/>
    <w:rsid w:val="00AC153C"/>
    <w:rsid w:val="00AC2E31"/>
    <w:rsid w:val="00AC30EE"/>
    <w:rsid w:val="00AC310F"/>
    <w:rsid w:val="00AC73F6"/>
    <w:rsid w:val="00AC7BAC"/>
    <w:rsid w:val="00AD08F9"/>
    <w:rsid w:val="00AD1706"/>
    <w:rsid w:val="00AD1E09"/>
    <w:rsid w:val="00AD1F97"/>
    <w:rsid w:val="00AD20E3"/>
    <w:rsid w:val="00AD393C"/>
    <w:rsid w:val="00AD413D"/>
    <w:rsid w:val="00AD41E7"/>
    <w:rsid w:val="00AD5D82"/>
    <w:rsid w:val="00AD7AAE"/>
    <w:rsid w:val="00AD7C53"/>
    <w:rsid w:val="00AE0F85"/>
    <w:rsid w:val="00AE11C0"/>
    <w:rsid w:val="00AE373F"/>
    <w:rsid w:val="00AE5B44"/>
    <w:rsid w:val="00AF1F5A"/>
    <w:rsid w:val="00AF30BF"/>
    <w:rsid w:val="00AF453C"/>
    <w:rsid w:val="00AF459A"/>
    <w:rsid w:val="00AF4FEE"/>
    <w:rsid w:val="00AF551F"/>
    <w:rsid w:val="00AF7280"/>
    <w:rsid w:val="00B0159B"/>
    <w:rsid w:val="00B0214B"/>
    <w:rsid w:val="00B022E1"/>
    <w:rsid w:val="00B029AF"/>
    <w:rsid w:val="00B0422B"/>
    <w:rsid w:val="00B04916"/>
    <w:rsid w:val="00B04E03"/>
    <w:rsid w:val="00B05B06"/>
    <w:rsid w:val="00B07B9B"/>
    <w:rsid w:val="00B10728"/>
    <w:rsid w:val="00B10DED"/>
    <w:rsid w:val="00B124F2"/>
    <w:rsid w:val="00B130DC"/>
    <w:rsid w:val="00B136E7"/>
    <w:rsid w:val="00B1400B"/>
    <w:rsid w:val="00B15528"/>
    <w:rsid w:val="00B16264"/>
    <w:rsid w:val="00B17017"/>
    <w:rsid w:val="00B210F4"/>
    <w:rsid w:val="00B2272E"/>
    <w:rsid w:val="00B237C9"/>
    <w:rsid w:val="00B24A10"/>
    <w:rsid w:val="00B25FE9"/>
    <w:rsid w:val="00B26739"/>
    <w:rsid w:val="00B27FE1"/>
    <w:rsid w:val="00B3037F"/>
    <w:rsid w:val="00B31432"/>
    <w:rsid w:val="00B34136"/>
    <w:rsid w:val="00B35C64"/>
    <w:rsid w:val="00B362E2"/>
    <w:rsid w:val="00B3684C"/>
    <w:rsid w:val="00B36B92"/>
    <w:rsid w:val="00B3768E"/>
    <w:rsid w:val="00B40416"/>
    <w:rsid w:val="00B415CD"/>
    <w:rsid w:val="00B41853"/>
    <w:rsid w:val="00B44BAC"/>
    <w:rsid w:val="00B45E47"/>
    <w:rsid w:val="00B46267"/>
    <w:rsid w:val="00B51E1D"/>
    <w:rsid w:val="00B53B89"/>
    <w:rsid w:val="00B540E0"/>
    <w:rsid w:val="00B54AF8"/>
    <w:rsid w:val="00B5598C"/>
    <w:rsid w:val="00B56C52"/>
    <w:rsid w:val="00B570ED"/>
    <w:rsid w:val="00B57A70"/>
    <w:rsid w:val="00B57A88"/>
    <w:rsid w:val="00B57E78"/>
    <w:rsid w:val="00B6109C"/>
    <w:rsid w:val="00B643F2"/>
    <w:rsid w:val="00B66A1C"/>
    <w:rsid w:val="00B672B1"/>
    <w:rsid w:val="00B679E8"/>
    <w:rsid w:val="00B726CD"/>
    <w:rsid w:val="00B72E20"/>
    <w:rsid w:val="00B73073"/>
    <w:rsid w:val="00B73665"/>
    <w:rsid w:val="00B74CBC"/>
    <w:rsid w:val="00B74D28"/>
    <w:rsid w:val="00B7530A"/>
    <w:rsid w:val="00B827AC"/>
    <w:rsid w:val="00B855AC"/>
    <w:rsid w:val="00B86C70"/>
    <w:rsid w:val="00B91DF5"/>
    <w:rsid w:val="00B96C57"/>
    <w:rsid w:val="00B97B21"/>
    <w:rsid w:val="00BA35ED"/>
    <w:rsid w:val="00BA4A5F"/>
    <w:rsid w:val="00BA4DF4"/>
    <w:rsid w:val="00BA5421"/>
    <w:rsid w:val="00BA6617"/>
    <w:rsid w:val="00BA6BCE"/>
    <w:rsid w:val="00BA70E2"/>
    <w:rsid w:val="00BB37EF"/>
    <w:rsid w:val="00BB4F9F"/>
    <w:rsid w:val="00BB5695"/>
    <w:rsid w:val="00BC27FE"/>
    <w:rsid w:val="00BC2D02"/>
    <w:rsid w:val="00BC5CF5"/>
    <w:rsid w:val="00BC6BD6"/>
    <w:rsid w:val="00BC73E2"/>
    <w:rsid w:val="00BD0C76"/>
    <w:rsid w:val="00BD2B65"/>
    <w:rsid w:val="00BD349D"/>
    <w:rsid w:val="00BD5807"/>
    <w:rsid w:val="00BD64CF"/>
    <w:rsid w:val="00BD785D"/>
    <w:rsid w:val="00BD7BA7"/>
    <w:rsid w:val="00BE0060"/>
    <w:rsid w:val="00BE0700"/>
    <w:rsid w:val="00BE0AD3"/>
    <w:rsid w:val="00BE0BDE"/>
    <w:rsid w:val="00BE41C7"/>
    <w:rsid w:val="00BE63F6"/>
    <w:rsid w:val="00BE7513"/>
    <w:rsid w:val="00BF1440"/>
    <w:rsid w:val="00BF296C"/>
    <w:rsid w:val="00BF4399"/>
    <w:rsid w:val="00BF71AA"/>
    <w:rsid w:val="00C002B5"/>
    <w:rsid w:val="00C06146"/>
    <w:rsid w:val="00C06DC4"/>
    <w:rsid w:val="00C06E92"/>
    <w:rsid w:val="00C10284"/>
    <w:rsid w:val="00C115B4"/>
    <w:rsid w:val="00C127FA"/>
    <w:rsid w:val="00C12FC8"/>
    <w:rsid w:val="00C13363"/>
    <w:rsid w:val="00C143A2"/>
    <w:rsid w:val="00C148C4"/>
    <w:rsid w:val="00C209A3"/>
    <w:rsid w:val="00C233FD"/>
    <w:rsid w:val="00C31543"/>
    <w:rsid w:val="00C3164D"/>
    <w:rsid w:val="00C31FA9"/>
    <w:rsid w:val="00C33FC5"/>
    <w:rsid w:val="00C35F15"/>
    <w:rsid w:val="00C3624A"/>
    <w:rsid w:val="00C36DD3"/>
    <w:rsid w:val="00C37E26"/>
    <w:rsid w:val="00C41378"/>
    <w:rsid w:val="00C4254D"/>
    <w:rsid w:val="00C437F0"/>
    <w:rsid w:val="00C439F1"/>
    <w:rsid w:val="00C442E8"/>
    <w:rsid w:val="00C44C46"/>
    <w:rsid w:val="00C469DD"/>
    <w:rsid w:val="00C46DBA"/>
    <w:rsid w:val="00C5175D"/>
    <w:rsid w:val="00C51F09"/>
    <w:rsid w:val="00C53C19"/>
    <w:rsid w:val="00C53E8B"/>
    <w:rsid w:val="00C5533A"/>
    <w:rsid w:val="00C55D52"/>
    <w:rsid w:val="00C5628F"/>
    <w:rsid w:val="00C57141"/>
    <w:rsid w:val="00C5788F"/>
    <w:rsid w:val="00C57F1B"/>
    <w:rsid w:val="00C602DB"/>
    <w:rsid w:val="00C60397"/>
    <w:rsid w:val="00C6109D"/>
    <w:rsid w:val="00C61425"/>
    <w:rsid w:val="00C618A7"/>
    <w:rsid w:val="00C63171"/>
    <w:rsid w:val="00C64AE7"/>
    <w:rsid w:val="00C651B9"/>
    <w:rsid w:val="00C6538B"/>
    <w:rsid w:val="00C66133"/>
    <w:rsid w:val="00C664F6"/>
    <w:rsid w:val="00C667F5"/>
    <w:rsid w:val="00C70B92"/>
    <w:rsid w:val="00C726DC"/>
    <w:rsid w:val="00C72851"/>
    <w:rsid w:val="00C7596B"/>
    <w:rsid w:val="00C75D87"/>
    <w:rsid w:val="00C7696D"/>
    <w:rsid w:val="00C76B4B"/>
    <w:rsid w:val="00C805C0"/>
    <w:rsid w:val="00C80931"/>
    <w:rsid w:val="00C822C3"/>
    <w:rsid w:val="00C831C3"/>
    <w:rsid w:val="00C83E95"/>
    <w:rsid w:val="00C84451"/>
    <w:rsid w:val="00C85033"/>
    <w:rsid w:val="00C8692E"/>
    <w:rsid w:val="00C87AF0"/>
    <w:rsid w:val="00C87D94"/>
    <w:rsid w:val="00C9023B"/>
    <w:rsid w:val="00C9175F"/>
    <w:rsid w:val="00C91EC7"/>
    <w:rsid w:val="00C924D9"/>
    <w:rsid w:val="00C92676"/>
    <w:rsid w:val="00C93F92"/>
    <w:rsid w:val="00C95784"/>
    <w:rsid w:val="00C962E4"/>
    <w:rsid w:val="00C96E75"/>
    <w:rsid w:val="00CA05DE"/>
    <w:rsid w:val="00CA0FD8"/>
    <w:rsid w:val="00CA558F"/>
    <w:rsid w:val="00CA582E"/>
    <w:rsid w:val="00CA59ED"/>
    <w:rsid w:val="00CA761A"/>
    <w:rsid w:val="00CA7A14"/>
    <w:rsid w:val="00CA7E12"/>
    <w:rsid w:val="00CB1AF9"/>
    <w:rsid w:val="00CB1E18"/>
    <w:rsid w:val="00CB2AD9"/>
    <w:rsid w:val="00CB2FCB"/>
    <w:rsid w:val="00CB3495"/>
    <w:rsid w:val="00CB3A13"/>
    <w:rsid w:val="00CB3C52"/>
    <w:rsid w:val="00CB4118"/>
    <w:rsid w:val="00CB4B64"/>
    <w:rsid w:val="00CB755C"/>
    <w:rsid w:val="00CC029E"/>
    <w:rsid w:val="00CC0586"/>
    <w:rsid w:val="00CC05DE"/>
    <w:rsid w:val="00CC0749"/>
    <w:rsid w:val="00CC1966"/>
    <w:rsid w:val="00CC2071"/>
    <w:rsid w:val="00CC30B3"/>
    <w:rsid w:val="00CC496E"/>
    <w:rsid w:val="00CC5A0A"/>
    <w:rsid w:val="00CC68AB"/>
    <w:rsid w:val="00CC6C80"/>
    <w:rsid w:val="00CD0B1A"/>
    <w:rsid w:val="00CD23A6"/>
    <w:rsid w:val="00CD499D"/>
    <w:rsid w:val="00CD543E"/>
    <w:rsid w:val="00CD5A6B"/>
    <w:rsid w:val="00CD646A"/>
    <w:rsid w:val="00CD7635"/>
    <w:rsid w:val="00CE46B8"/>
    <w:rsid w:val="00CE4B7D"/>
    <w:rsid w:val="00CE5EAE"/>
    <w:rsid w:val="00CE6642"/>
    <w:rsid w:val="00CE66AD"/>
    <w:rsid w:val="00CF000A"/>
    <w:rsid w:val="00CF0E00"/>
    <w:rsid w:val="00CF2D51"/>
    <w:rsid w:val="00CF5108"/>
    <w:rsid w:val="00CF5B78"/>
    <w:rsid w:val="00CF6F09"/>
    <w:rsid w:val="00CF7485"/>
    <w:rsid w:val="00CF7FA0"/>
    <w:rsid w:val="00D00C38"/>
    <w:rsid w:val="00D010A0"/>
    <w:rsid w:val="00D03870"/>
    <w:rsid w:val="00D046E5"/>
    <w:rsid w:val="00D05184"/>
    <w:rsid w:val="00D105E0"/>
    <w:rsid w:val="00D1060B"/>
    <w:rsid w:val="00D107D1"/>
    <w:rsid w:val="00D10EB4"/>
    <w:rsid w:val="00D115C5"/>
    <w:rsid w:val="00D12872"/>
    <w:rsid w:val="00D147E7"/>
    <w:rsid w:val="00D15C96"/>
    <w:rsid w:val="00D16DA0"/>
    <w:rsid w:val="00D17487"/>
    <w:rsid w:val="00D179D2"/>
    <w:rsid w:val="00D216D2"/>
    <w:rsid w:val="00D21A93"/>
    <w:rsid w:val="00D2408C"/>
    <w:rsid w:val="00D24113"/>
    <w:rsid w:val="00D2429B"/>
    <w:rsid w:val="00D2633D"/>
    <w:rsid w:val="00D26916"/>
    <w:rsid w:val="00D2763B"/>
    <w:rsid w:val="00D303CE"/>
    <w:rsid w:val="00D30436"/>
    <w:rsid w:val="00D34B1A"/>
    <w:rsid w:val="00D35BD3"/>
    <w:rsid w:val="00D35DA5"/>
    <w:rsid w:val="00D35EB8"/>
    <w:rsid w:val="00D36D60"/>
    <w:rsid w:val="00D36F9F"/>
    <w:rsid w:val="00D371F1"/>
    <w:rsid w:val="00D3722E"/>
    <w:rsid w:val="00D37ABF"/>
    <w:rsid w:val="00D41AE3"/>
    <w:rsid w:val="00D41E13"/>
    <w:rsid w:val="00D43064"/>
    <w:rsid w:val="00D43E87"/>
    <w:rsid w:val="00D44277"/>
    <w:rsid w:val="00D45C4A"/>
    <w:rsid w:val="00D46EA2"/>
    <w:rsid w:val="00D51090"/>
    <w:rsid w:val="00D521AD"/>
    <w:rsid w:val="00D52E3C"/>
    <w:rsid w:val="00D5414F"/>
    <w:rsid w:val="00D5534F"/>
    <w:rsid w:val="00D55A03"/>
    <w:rsid w:val="00D56942"/>
    <w:rsid w:val="00D60489"/>
    <w:rsid w:val="00D604A8"/>
    <w:rsid w:val="00D60E7B"/>
    <w:rsid w:val="00D6280C"/>
    <w:rsid w:val="00D63FCE"/>
    <w:rsid w:val="00D66890"/>
    <w:rsid w:val="00D6770B"/>
    <w:rsid w:val="00D7137A"/>
    <w:rsid w:val="00D71CF4"/>
    <w:rsid w:val="00D72FF0"/>
    <w:rsid w:val="00D744D4"/>
    <w:rsid w:val="00D74E5C"/>
    <w:rsid w:val="00D75B93"/>
    <w:rsid w:val="00D80920"/>
    <w:rsid w:val="00D810A9"/>
    <w:rsid w:val="00D81791"/>
    <w:rsid w:val="00D83330"/>
    <w:rsid w:val="00D8373D"/>
    <w:rsid w:val="00D84C1E"/>
    <w:rsid w:val="00D85A9A"/>
    <w:rsid w:val="00D8746C"/>
    <w:rsid w:val="00D87A81"/>
    <w:rsid w:val="00D87F6C"/>
    <w:rsid w:val="00D9140F"/>
    <w:rsid w:val="00D91BA1"/>
    <w:rsid w:val="00D9359A"/>
    <w:rsid w:val="00D937B2"/>
    <w:rsid w:val="00D93A53"/>
    <w:rsid w:val="00D9424C"/>
    <w:rsid w:val="00D9730B"/>
    <w:rsid w:val="00DA0E13"/>
    <w:rsid w:val="00DA109B"/>
    <w:rsid w:val="00DA3B68"/>
    <w:rsid w:val="00DA489A"/>
    <w:rsid w:val="00DA4C01"/>
    <w:rsid w:val="00DA51EC"/>
    <w:rsid w:val="00DA6F30"/>
    <w:rsid w:val="00DB0675"/>
    <w:rsid w:val="00DB122C"/>
    <w:rsid w:val="00DB34E1"/>
    <w:rsid w:val="00DB3CB6"/>
    <w:rsid w:val="00DB51AD"/>
    <w:rsid w:val="00DB626A"/>
    <w:rsid w:val="00DB7E96"/>
    <w:rsid w:val="00DC0ED7"/>
    <w:rsid w:val="00DC10DB"/>
    <w:rsid w:val="00DC3B24"/>
    <w:rsid w:val="00DC463F"/>
    <w:rsid w:val="00DC5D5B"/>
    <w:rsid w:val="00DC6D2D"/>
    <w:rsid w:val="00DC7909"/>
    <w:rsid w:val="00DC7FBE"/>
    <w:rsid w:val="00DD0FDD"/>
    <w:rsid w:val="00DD143F"/>
    <w:rsid w:val="00DD1C00"/>
    <w:rsid w:val="00DD344B"/>
    <w:rsid w:val="00DD6756"/>
    <w:rsid w:val="00DD70F0"/>
    <w:rsid w:val="00DE19B9"/>
    <w:rsid w:val="00DE34E3"/>
    <w:rsid w:val="00DE478E"/>
    <w:rsid w:val="00DE4D8E"/>
    <w:rsid w:val="00DE5C71"/>
    <w:rsid w:val="00DE5EC8"/>
    <w:rsid w:val="00DF10BD"/>
    <w:rsid w:val="00DF3780"/>
    <w:rsid w:val="00DF4017"/>
    <w:rsid w:val="00DF55D3"/>
    <w:rsid w:val="00DF5E80"/>
    <w:rsid w:val="00DF79CD"/>
    <w:rsid w:val="00DF7F34"/>
    <w:rsid w:val="00DF7F65"/>
    <w:rsid w:val="00E000CB"/>
    <w:rsid w:val="00E00AE4"/>
    <w:rsid w:val="00E01248"/>
    <w:rsid w:val="00E03806"/>
    <w:rsid w:val="00E048E4"/>
    <w:rsid w:val="00E0638C"/>
    <w:rsid w:val="00E07588"/>
    <w:rsid w:val="00E110F2"/>
    <w:rsid w:val="00E125D5"/>
    <w:rsid w:val="00E12BC9"/>
    <w:rsid w:val="00E1326B"/>
    <w:rsid w:val="00E1342E"/>
    <w:rsid w:val="00E15F06"/>
    <w:rsid w:val="00E2095D"/>
    <w:rsid w:val="00E20A65"/>
    <w:rsid w:val="00E20DA3"/>
    <w:rsid w:val="00E22BE5"/>
    <w:rsid w:val="00E23039"/>
    <w:rsid w:val="00E237F1"/>
    <w:rsid w:val="00E23899"/>
    <w:rsid w:val="00E25250"/>
    <w:rsid w:val="00E25B7D"/>
    <w:rsid w:val="00E30E5E"/>
    <w:rsid w:val="00E3276C"/>
    <w:rsid w:val="00E32C04"/>
    <w:rsid w:val="00E334B0"/>
    <w:rsid w:val="00E34923"/>
    <w:rsid w:val="00E35426"/>
    <w:rsid w:val="00E35DE8"/>
    <w:rsid w:val="00E36934"/>
    <w:rsid w:val="00E402F4"/>
    <w:rsid w:val="00E46308"/>
    <w:rsid w:val="00E46B49"/>
    <w:rsid w:val="00E47D2B"/>
    <w:rsid w:val="00E5009F"/>
    <w:rsid w:val="00E50346"/>
    <w:rsid w:val="00E510E5"/>
    <w:rsid w:val="00E56264"/>
    <w:rsid w:val="00E56F42"/>
    <w:rsid w:val="00E6491E"/>
    <w:rsid w:val="00E6509A"/>
    <w:rsid w:val="00E6566F"/>
    <w:rsid w:val="00E65B70"/>
    <w:rsid w:val="00E6671A"/>
    <w:rsid w:val="00E66CD7"/>
    <w:rsid w:val="00E67596"/>
    <w:rsid w:val="00E67F6E"/>
    <w:rsid w:val="00E67FDB"/>
    <w:rsid w:val="00E70A88"/>
    <w:rsid w:val="00E71384"/>
    <w:rsid w:val="00E7218F"/>
    <w:rsid w:val="00E733A8"/>
    <w:rsid w:val="00E73519"/>
    <w:rsid w:val="00E75E12"/>
    <w:rsid w:val="00E77A4E"/>
    <w:rsid w:val="00E83B9F"/>
    <w:rsid w:val="00E85FFE"/>
    <w:rsid w:val="00E8753A"/>
    <w:rsid w:val="00E90DA0"/>
    <w:rsid w:val="00E919B7"/>
    <w:rsid w:val="00E93DAD"/>
    <w:rsid w:val="00E93FF3"/>
    <w:rsid w:val="00E9420E"/>
    <w:rsid w:val="00E9736C"/>
    <w:rsid w:val="00E9763C"/>
    <w:rsid w:val="00E978E8"/>
    <w:rsid w:val="00E97FDD"/>
    <w:rsid w:val="00EA02AB"/>
    <w:rsid w:val="00EA08FC"/>
    <w:rsid w:val="00EA0F87"/>
    <w:rsid w:val="00EA38DF"/>
    <w:rsid w:val="00EA4886"/>
    <w:rsid w:val="00EA4EED"/>
    <w:rsid w:val="00EA5CE3"/>
    <w:rsid w:val="00EA6DDF"/>
    <w:rsid w:val="00EB0045"/>
    <w:rsid w:val="00EB01B2"/>
    <w:rsid w:val="00EB1179"/>
    <w:rsid w:val="00EB16DA"/>
    <w:rsid w:val="00EB1D0E"/>
    <w:rsid w:val="00EB2822"/>
    <w:rsid w:val="00EB4216"/>
    <w:rsid w:val="00EC2167"/>
    <w:rsid w:val="00EC2453"/>
    <w:rsid w:val="00EC2D28"/>
    <w:rsid w:val="00EC497F"/>
    <w:rsid w:val="00EC5407"/>
    <w:rsid w:val="00ED11EC"/>
    <w:rsid w:val="00ED12E3"/>
    <w:rsid w:val="00ED3193"/>
    <w:rsid w:val="00ED47AC"/>
    <w:rsid w:val="00ED60B0"/>
    <w:rsid w:val="00ED6595"/>
    <w:rsid w:val="00ED6B32"/>
    <w:rsid w:val="00ED72DC"/>
    <w:rsid w:val="00EE36F7"/>
    <w:rsid w:val="00EE3F57"/>
    <w:rsid w:val="00EE51A0"/>
    <w:rsid w:val="00EE6018"/>
    <w:rsid w:val="00EF022F"/>
    <w:rsid w:val="00EF0B42"/>
    <w:rsid w:val="00EF2AA3"/>
    <w:rsid w:val="00EF3D38"/>
    <w:rsid w:val="00EF4479"/>
    <w:rsid w:val="00EF4CB2"/>
    <w:rsid w:val="00EF6173"/>
    <w:rsid w:val="00EF6523"/>
    <w:rsid w:val="00EF711A"/>
    <w:rsid w:val="00EF7E9C"/>
    <w:rsid w:val="00F0038A"/>
    <w:rsid w:val="00F00ACF"/>
    <w:rsid w:val="00F00B2E"/>
    <w:rsid w:val="00F0273C"/>
    <w:rsid w:val="00F03558"/>
    <w:rsid w:val="00F03ED9"/>
    <w:rsid w:val="00F04E38"/>
    <w:rsid w:val="00F0503C"/>
    <w:rsid w:val="00F05A16"/>
    <w:rsid w:val="00F05C52"/>
    <w:rsid w:val="00F05E11"/>
    <w:rsid w:val="00F101DF"/>
    <w:rsid w:val="00F1315C"/>
    <w:rsid w:val="00F14C41"/>
    <w:rsid w:val="00F160FD"/>
    <w:rsid w:val="00F20420"/>
    <w:rsid w:val="00F20D0D"/>
    <w:rsid w:val="00F21B51"/>
    <w:rsid w:val="00F21DCB"/>
    <w:rsid w:val="00F220B4"/>
    <w:rsid w:val="00F2294A"/>
    <w:rsid w:val="00F247D5"/>
    <w:rsid w:val="00F25A7B"/>
    <w:rsid w:val="00F26115"/>
    <w:rsid w:val="00F26660"/>
    <w:rsid w:val="00F27825"/>
    <w:rsid w:val="00F27FC6"/>
    <w:rsid w:val="00F306AB"/>
    <w:rsid w:val="00F30E12"/>
    <w:rsid w:val="00F33C66"/>
    <w:rsid w:val="00F33D91"/>
    <w:rsid w:val="00F346EC"/>
    <w:rsid w:val="00F35274"/>
    <w:rsid w:val="00F35B5F"/>
    <w:rsid w:val="00F36F61"/>
    <w:rsid w:val="00F42ED5"/>
    <w:rsid w:val="00F43335"/>
    <w:rsid w:val="00F43539"/>
    <w:rsid w:val="00F43BD6"/>
    <w:rsid w:val="00F445DD"/>
    <w:rsid w:val="00F44761"/>
    <w:rsid w:val="00F44B58"/>
    <w:rsid w:val="00F45561"/>
    <w:rsid w:val="00F4625A"/>
    <w:rsid w:val="00F47D11"/>
    <w:rsid w:val="00F47FF0"/>
    <w:rsid w:val="00F50443"/>
    <w:rsid w:val="00F51156"/>
    <w:rsid w:val="00F52DE9"/>
    <w:rsid w:val="00F540FF"/>
    <w:rsid w:val="00F554C5"/>
    <w:rsid w:val="00F571EF"/>
    <w:rsid w:val="00F6081C"/>
    <w:rsid w:val="00F60A46"/>
    <w:rsid w:val="00F62DB4"/>
    <w:rsid w:val="00F62DD5"/>
    <w:rsid w:val="00F633AD"/>
    <w:rsid w:val="00F6601C"/>
    <w:rsid w:val="00F672DB"/>
    <w:rsid w:val="00F67305"/>
    <w:rsid w:val="00F706A5"/>
    <w:rsid w:val="00F70D4D"/>
    <w:rsid w:val="00F711E6"/>
    <w:rsid w:val="00F717D6"/>
    <w:rsid w:val="00F71A4A"/>
    <w:rsid w:val="00F76BB1"/>
    <w:rsid w:val="00F76F68"/>
    <w:rsid w:val="00F82196"/>
    <w:rsid w:val="00F86877"/>
    <w:rsid w:val="00F87A1B"/>
    <w:rsid w:val="00F90A4F"/>
    <w:rsid w:val="00F91554"/>
    <w:rsid w:val="00F928E8"/>
    <w:rsid w:val="00F92E03"/>
    <w:rsid w:val="00F933AA"/>
    <w:rsid w:val="00F9470D"/>
    <w:rsid w:val="00F966A7"/>
    <w:rsid w:val="00FA04E7"/>
    <w:rsid w:val="00FA3B6F"/>
    <w:rsid w:val="00FA3D37"/>
    <w:rsid w:val="00FA45B1"/>
    <w:rsid w:val="00FA4A18"/>
    <w:rsid w:val="00FA4FAA"/>
    <w:rsid w:val="00FA6E9D"/>
    <w:rsid w:val="00FB0775"/>
    <w:rsid w:val="00FB151D"/>
    <w:rsid w:val="00FB2AC1"/>
    <w:rsid w:val="00FB3453"/>
    <w:rsid w:val="00FB5EE4"/>
    <w:rsid w:val="00FB61A8"/>
    <w:rsid w:val="00FB6993"/>
    <w:rsid w:val="00FB77D6"/>
    <w:rsid w:val="00FC06C1"/>
    <w:rsid w:val="00FC122B"/>
    <w:rsid w:val="00FC2CAB"/>
    <w:rsid w:val="00FC4563"/>
    <w:rsid w:val="00FC5B9E"/>
    <w:rsid w:val="00FD166D"/>
    <w:rsid w:val="00FD3624"/>
    <w:rsid w:val="00FD39BA"/>
    <w:rsid w:val="00FD3A16"/>
    <w:rsid w:val="00FD4EFD"/>
    <w:rsid w:val="00FD75EF"/>
    <w:rsid w:val="00FE0D17"/>
    <w:rsid w:val="00FE3012"/>
    <w:rsid w:val="00FE36DA"/>
    <w:rsid w:val="00FE4013"/>
    <w:rsid w:val="00FE533A"/>
    <w:rsid w:val="00FE69BA"/>
    <w:rsid w:val="00FE6EA1"/>
    <w:rsid w:val="00FE7EB6"/>
    <w:rsid w:val="00FF1238"/>
    <w:rsid w:val="00FF3393"/>
    <w:rsid w:val="00FF4954"/>
    <w:rsid w:val="04345457"/>
    <w:rsid w:val="0BF16AB3"/>
    <w:rsid w:val="0EE50DF8"/>
    <w:rsid w:val="1038266E"/>
    <w:rsid w:val="11004BF3"/>
    <w:rsid w:val="11410122"/>
    <w:rsid w:val="123A5DE9"/>
    <w:rsid w:val="139C4595"/>
    <w:rsid w:val="1A232E13"/>
    <w:rsid w:val="1D2B09A4"/>
    <w:rsid w:val="1D98419E"/>
    <w:rsid w:val="1E9012D5"/>
    <w:rsid w:val="23F57AE8"/>
    <w:rsid w:val="26765F8A"/>
    <w:rsid w:val="2C981800"/>
    <w:rsid w:val="2F513FD7"/>
    <w:rsid w:val="323D0B22"/>
    <w:rsid w:val="33B31E1F"/>
    <w:rsid w:val="42A246C8"/>
    <w:rsid w:val="44453F78"/>
    <w:rsid w:val="4A433128"/>
    <w:rsid w:val="4ABD3ED1"/>
    <w:rsid w:val="4BD65AAE"/>
    <w:rsid w:val="4FDD1E3A"/>
    <w:rsid w:val="52272F32"/>
    <w:rsid w:val="58332300"/>
    <w:rsid w:val="58D518FF"/>
    <w:rsid w:val="607F06CB"/>
    <w:rsid w:val="64CF7ABB"/>
    <w:rsid w:val="791F2BD5"/>
    <w:rsid w:val="7A2F605F"/>
    <w:rsid w:val="7DAB086F"/>
    <w:rsid w:val="7E5475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8"/>
      <w:szCs w:val="28"/>
      <w:lang w:val="en-US" w:eastAsia="zh-CN" w:bidi="ar-SA"/>
    </w:rPr>
  </w:style>
  <w:style w:type="paragraph" w:styleId="2">
    <w:name w:val="heading 1"/>
    <w:basedOn w:val="1"/>
    <w:next w:val="1"/>
    <w:qFormat/>
    <w:uiPriority w:val="0"/>
    <w:pPr>
      <w:keepNext/>
      <w:keepLines/>
      <w:numPr>
        <w:ilvl w:val="0"/>
        <w:numId w:val="1"/>
      </w:numPr>
      <w:spacing w:before="240" w:after="120"/>
      <w:jc w:val="center"/>
      <w:outlineLvl w:val="0"/>
    </w:pPr>
    <w:rPr>
      <w:rFonts w:ascii="Calibri" w:hAnsi="Calibri" w:eastAsia="Cambria" w:cs="Times New Roman"/>
      <w:b/>
      <w:bCs/>
      <w:kern w:val="44"/>
      <w:sz w:val="42"/>
    </w:rPr>
  </w:style>
  <w:style w:type="paragraph" w:styleId="3">
    <w:name w:val="heading 2"/>
    <w:basedOn w:val="1"/>
    <w:next w:val="1"/>
    <w:link w:val="32"/>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1"/>
    <w:link w:val="33"/>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5"/>
    <w:qFormat/>
    <w:uiPriority w:val="0"/>
    <w:pPr>
      <w:keepNext/>
      <w:keepLines/>
      <w:adjustRightInd w:val="0"/>
      <w:snapToGrid w:val="0"/>
      <w:textAlignment w:val="baseline"/>
      <w:outlineLvl w:val="3"/>
    </w:pPr>
    <w:rPr>
      <w:rFonts w:ascii="黑体" w:eastAsia="黑体"/>
      <w:b/>
      <w:kern w:val="0"/>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34"/>
    <w:unhideWhenUsed/>
    <w:qFormat/>
    <w:uiPriority w:val="0"/>
    <w:pPr>
      <w:ind w:firstLine="420" w:firstLineChars="200"/>
    </w:pPr>
  </w:style>
  <w:style w:type="paragraph" w:styleId="7">
    <w:name w:val="caption"/>
    <w:basedOn w:val="1"/>
    <w:next w:val="1"/>
    <w:link w:val="51"/>
    <w:qFormat/>
    <w:uiPriority w:val="0"/>
    <w:rPr>
      <w:rFonts w:ascii="Arial" w:hAnsi="Arial" w:eastAsia="黑体" w:cs="Arial"/>
      <w:sz w:val="20"/>
      <w:szCs w:val="20"/>
    </w:rPr>
  </w:style>
  <w:style w:type="paragraph" w:styleId="8">
    <w:name w:val="Document Map"/>
    <w:basedOn w:val="1"/>
    <w:link w:val="47"/>
    <w:semiHidden/>
    <w:unhideWhenUsed/>
    <w:qFormat/>
    <w:uiPriority w:val="99"/>
    <w:rPr>
      <w:rFonts w:ascii="宋体"/>
      <w:sz w:val="18"/>
      <w:szCs w:val="18"/>
    </w:rPr>
  </w:style>
  <w:style w:type="paragraph" w:styleId="9">
    <w:name w:val="annotation text"/>
    <w:basedOn w:val="1"/>
    <w:link w:val="49"/>
    <w:qFormat/>
    <w:uiPriority w:val="0"/>
    <w:pPr>
      <w:widowControl/>
      <w:jc w:val="left"/>
    </w:pPr>
    <w:rPr>
      <w:rFonts w:ascii="宋体" w:hAnsi="宋体" w:cs="宋体"/>
      <w:kern w:val="0"/>
      <w:sz w:val="24"/>
      <w:szCs w:val="24"/>
    </w:rPr>
  </w:style>
  <w:style w:type="paragraph" w:styleId="10">
    <w:name w:val="Body Text"/>
    <w:basedOn w:val="1"/>
    <w:next w:val="1"/>
    <w:link w:val="48"/>
    <w:qFormat/>
    <w:uiPriority w:val="0"/>
    <w:pPr>
      <w:spacing w:after="120"/>
    </w:pPr>
    <w:rPr>
      <w:color w:val="333333"/>
      <w:szCs w:val="20"/>
    </w:rPr>
  </w:style>
  <w:style w:type="paragraph" w:styleId="11">
    <w:name w:val="Body Text Indent"/>
    <w:basedOn w:val="1"/>
    <w:link w:val="77"/>
    <w:qFormat/>
    <w:uiPriority w:val="0"/>
    <w:pPr>
      <w:ind w:firstLine="560" w:firstLineChars="200"/>
      <w:jc w:val="left"/>
    </w:pPr>
    <w:rPr>
      <w:szCs w:val="24"/>
    </w:rPr>
  </w:style>
  <w:style w:type="paragraph" w:styleId="12">
    <w:name w:val="Block Text"/>
    <w:basedOn w:val="1"/>
    <w:qFormat/>
    <w:uiPriority w:val="0"/>
    <w:pPr>
      <w:ind w:left="100" w:right="100" w:firstLine="425"/>
    </w:pPr>
    <w:rPr>
      <w:szCs w:val="20"/>
    </w:rPr>
  </w:style>
  <w:style w:type="paragraph" w:styleId="13">
    <w:name w:val="Plain Text"/>
    <w:basedOn w:val="1"/>
    <w:link w:val="36"/>
    <w:unhideWhenUsed/>
    <w:qFormat/>
    <w:uiPriority w:val="0"/>
    <w:rPr>
      <w:rFonts w:ascii="宋体" w:hAnsi="Courier New" w:cs="Courier New"/>
    </w:rPr>
  </w:style>
  <w:style w:type="paragraph" w:styleId="14">
    <w:name w:val="Body Text Indent 2"/>
    <w:basedOn w:val="1"/>
    <w:link w:val="76"/>
    <w:qFormat/>
    <w:uiPriority w:val="0"/>
    <w:pPr>
      <w:ind w:firstLine="560" w:firstLineChars="200"/>
    </w:pPr>
    <w:rPr>
      <w:bCs/>
      <w:szCs w:val="24"/>
    </w:rPr>
  </w:style>
  <w:style w:type="paragraph" w:styleId="15">
    <w:name w:val="Balloon Text"/>
    <w:basedOn w:val="1"/>
    <w:link w:val="37"/>
    <w:unhideWhenUsed/>
    <w:qFormat/>
    <w:uiPriority w:val="0"/>
    <w:rPr>
      <w:sz w:val="18"/>
      <w:szCs w:val="18"/>
    </w:rPr>
  </w:style>
  <w:style w:type="paragraph" w:styleId="16">
    <w:name w:val="footer"/>
    <w:basedOn w:val="1"/>
    <w:link w:val="38"/>
    <w:unhideWhenUsed/>
    <w:qFormat/>
    <w:uiPriority w:val="0"/>
    <w:pPr>
      <w:snapToGrid w:val="0"/>
      <w:jc w:val="left"/>
    </w:pPr>
    <w:rPr>
      <w:sz w:val="18"/>
      <w:szCs w:val="18"/>
    </w:rPr>
  </w:style>
  <w:style w:type="paragraph" w:styleId="17">
    <w:name w:val="header"/>
    <w:basedOn w:val="1"/>
    <w:link w:val="39"/>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Body Text Indent 3"/>
    <w:basedOn w:val="1"/>
    <w:link w:val="62"/>
    <w:qFormat/>
    <w:uiPriority w:val="0"/>
    <w:pPr>
      <w:spacing w:after="120"/>
      <w:ind w:left="420" w:leftChars="200"/>
    </w:pPr>
    <w:rPr>
      <w:rFonts w:asciiTheme="minorHAnsi" w:hAnsiTheme="minorHAnsi" w:cstheme="minorBidi"/>
      <w:sz w:val="16"/>
      <w:szCs w:val="16"/>
    </w:rPr>
  </w:style>
  <w:style w:type="paragraph" w:styleId="19">
    <w:name w:val="Body Text 2"/>
    <w:basedOn w:val="1"/>
    <w:link w:val="79"/>
    <w:qFormat/>
    <w:uiPriority w:val="0"/>
    <w:pPr>
      <w:spacing w:after="120" w:line="480" w:lineRule="auto"/>
    </w:pPr>
    <w:rPr>
      <w:sz w:val="21"/>
      <w:szCs w:val="24"/>
    </w:rPr>
  </w:style>
  <w:style w:type="paragraph" w:styleId="20">
    <w:name w:val="HTML Preformatted"/>
    <w:basedOn w:val="1"/>
    <w:link w:val="50"/>
    <w:unhideWhenUsed/>
    <w:qFormat/>
    <w:uiPriority w:val="99"/>
    <w:rPr>
      <w:rFonts w:ascii="Courier New" w:hAnsi="Courier New" w:cs="Courier New"/>
      <w:sz w:val="20"/>
      <w:szCs w:val="20"/>
    </w:rPr>
  </w:style>
  <w:style w:type="paragraph" w:styleId="21">
    <w:name w:val="Normal (Web)"/>
    <w:basedOn w:val="1"/>
    <w:link w:val="113"/>
    <w:unhideWhenUsed/>
    <w:qFormat/>
    <w:uiPriority w:val="0"/>
    <w:pPr>
      <w:widowControl/>
      <w:spacing w:before="100" w:beforeAutospacing="1" w:after="100" w:afterAutospacing="1"/>
      <w:jc w:val="left"/>
    </w:pPr>
    <w:rPr>
      <w:rFonts w:ascii="宋体" w:hAnsi="宋体" w:cs="宋体"/>
      <w:kern w:val="0"/>
      <w:sz w:val="24"/>
      <w:szCs w:val="24"/>
    </w:rPr>
  </w:style>
  <w:style w:type="paragraph" w:styleId="22">
    <w:name w:val="annotation subject"/>
    <w:basedOn w:val="9"/>
    <w:next w:val="9"/>
    <w:link w:val="78"/>
    <w:semiHidden/>
    <w:qFormat/>
    <w:uiPriority w:val="0"/>
    <w:pPr>
      <w:widowControl w:val="0"/>
    </w:pPr>
    <w:rPr>
      <w:rFonts w:ascii="Times New Roman" w:hAnsi="Times New Roman" w:cs="Times New Roman"/>
      <w:b/>
      <w:bCs/>
      <w:kern w:val="2"/>
      <w:sz w:val="21"/>
    </w:rPr>
  </w:style>
  <w:style w:type="paragraph" w:styleId="23">
    <w:name w:val="Body Text First Indent"/>
    <w:basedOn w:val="10"/>
    <w:next w:val="1"/>
    <w:qFormat/>
    <w:uiPriority w:val="0"/>
    <w:pPr>
      <w:ind w:firstLine="420" w:firstLineChars="100"/>
    </w:pPr>
    <w:rPr>
      <w:szCs w:val="24"/>
    </w:rPr>
  </w:style>
  <w:style w:type="paragraph" w:styleId="24">
    <w:name w:val="Body Text First Indent 2"/>
    <w:basedOn w:val="1"/>
    <w:next w:val="1"/>
    <w:link w:val="110"/>
    <w:qFormat/>
    <w:uiPriority w:val="0"/>
    <w:pPr>
      <w:spacing w:after="120"/>
      <w:ind w:left="420" w:leftChars="200" w:firstLine="420"/>
      <w:jc w:val="both"/>
    </w:pPr>
    <w:rPr>
      <w:sz w:val="21"/>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bCs/>
    </w:rPr>
  </w:style>
  <w:style w:type="character" w:styleId="29">
    <w:name w:val="page number"/>
    <w:basedOn w:val="27"/>
    <w:qFormat/>
    <w:uiPriority w:val="0"/>
  </w:style>
  <w:style w:type="character" w:styleId="30">
    <w:name w:val="Hyperlink"/>
    <w:basedOn w:val="27"/>
    <w:unhideWhenUsed/>
    <w:qFormat/>
    <w:uiPriority w:val="0"/>
    <w:rPr>
      <w:color w:val="0000FF"/>
      <w:u w:val="single"/>
    </w:rPr>
  </w:style>
  <w:style w:type="character" w:styleId="31">
    <w:name w:val="annotation reference"/>
    <w:basedOn w:val="27"/>
    <w:unhideWhenUsed/>
    <w:qFormat/>
    <w:uiPriority w:val="0"/>
    <w:rPr>
      <w:sz w:val="21"/>
      <w:szCs w:val="21"/>
    </w:rPr>
  </w:style>
  <w:style w:type="character" w:customStyle="1" w:styleId="32">
    <w:name w:val="标题 2 Char"/>
    <w:basedOn w:val="27"/>
    <w:link w:val="3"/>
    <w:qFormat/>
    <w:uiPriority w:val="0"/>
    <w:rPr>
      <w:rFonts w:ascii="Arial" w:hAnsi="Arial" w:eastAsia="黑体" w:cs="Arial"/>
      <w:b/>
      <w:bCs/>
      <w:kern w:val="2"/>
      <w:sz w:val="32"/>
      <w:szCs w:val="32"/>
    </w:rPr>
  </w:style>
  <w:style w:type="character" w:customStyle="1" w:styleId="33">
    <w:name w:val="标题 3 Char"/>
    <w:basedOn w:val="27"/>
    <w:link w:val="4"/>
    <w:qFormat/>
    <w:uiPriority w:val="0"/>
    <w:rPr>
      <w:rFonts w:ascii="Times New Roman" w:hAnsi="Times New Roman" w:eastAsia="宋体" w:cs="Times New Roman"/>
      <w:b/>
      <w:bCs/>
      <w:kern w:val="2"/>
      <w:sz w:val="32"/>
      <w:szCs w:val="32"/>
    </w:rPr>
  </w:style>
  <w:style w:type="character" w:customStyle="1" w:styleId="34">
    <w:name w:val="正文缩进 Char"/>
    <w:link w:val="6"/>
    <w:qFormat/>
    <w:locked/>
    <w:uiPriority w:val="0"/>
    <w:rPr>
      <w:rFonts w:ascii="Times New Roman" w:hAnsi="Times New Roman" w:eastAsia="宋体" w:cs="Times New Roman"/>
      <w:kern w:val="2"/>
      <w:sz w:val="28"/>
      <w:szCs w:val="28"/>
    </w:rPr>
  </w:style>
  <w:style w:type="character" w:customStyle="1" w:styleId="35">
    <w:name w:val="标题 4 Char"/>
    <w:basedOn w:val="27"/>
    <w:link w:val="5"/>
    <w:qFormat/>
    <w:uiPriority w:val="0"/>
    <w:rPr>
      <w:rFonts w:ascii="黑体" w:hAnsi="Times New Roman" w:eastAsia="黑体" w:cs="Times New Roman"/>
      <w:b/>
      <w:sz w:val="28"/>
      <w:szCs w:val="24"/>
    </w:rPr>
  </w:style>
  <w:style w:type="character" w:customStyle="1" w:styleId="36">
    <w:name w:val="纯文本 Char"/>
    <w:basedOn w:val="27"/>
    <w:link w:val="13"/>
    <w:qFormat/>
    <w:uiPriority w:val="0"/>
    <w:rPr>
      <w:rFonts w:ascii="宋体" w:hAnsi="Courier New" w:eastAsia="宋体" w:cs="Courier New"/>
      <w:sz w:val="28"/>
      <w:szCs w:val="28"/>
    </w:rPr>
  </w:style>
  <w:style w:type="character" w:customStyle="1" w:styleId="37">
    <w:name w:val="批注框文本 Char"/>
    <w:basedOn w:val="27"/>
    <w:link w:val="15"/>
    <w:qFormat/>
    <w:uiPriority w:val="99"/>
    <w:rPr>
      <w:rFonts w:ascii="Times New Roman" w:hAnsi="Times New Roman" w:eastAsia="宋体" w:cs="Times New Roman"/>
      <w:sz w:val="18"/>
      <w:szCs w:val="18"/>
    </w:rPr>
  </w:style>
  <w:style w:type="character" w:customStyle="1" w:styleId="38">
    <w:name w:val="页脚 Char"/>
    <w:basedOn w:val="27"/>
    <w:link w:val="16"/>
    <w:semiHidden/>
    <w:qFormat/>
    <w:uiPriority w:val="99"/>
    <w:rPr>
      <w:rFonts w:ascii="Times New Roman" w:hAnsi="Times New Roman" w:eastAsia="宋体" w:cs="Times New Roman"/>
      <w:sz w:val="18"/>
      <w:szCs w:val="18"/>
    </w:rPr>
  </w:style>
  <w:style w:type="character" w:customStyle="1" w:styleId="39">
    <w:name w:val="页眉 Char"/>
    <w:link w:val="17"/>
    <w:qFormat/>
    <w:uiPriority w:val="0"/>
    <w:rPr>
      <w:rFonts w:ascii="Times New Roman" w:hAnsi="Times New Roman" w:eastAsia="宋体" w:cs="Times New Roman"/>
      <w:kern w:val="2"/>
      <w:sz w:val="18"/>
      <w:szCs w:val="28"/>
    </w:rPr>
  </w:style>
  <w:style w:type="paragraph" w:customStyle="1" w:styleId="40">
    <w:name w:val="段落"/>
    <w:basedOn w:val="13"/>
    <w:link w:val="41"/>
    <w:qFormat/>
    <w:uiPriority w:val="0"/>
    <w:pPr>
      <w:spacing w:line="480" w:lineRule="exact"/>
      <w:ind w:firstLine="578"/>
    </w:pPr>
  </w:style>
  <w:style w:type="character" w:customStyle="1" w:styleId="41">
    <w:name w:val="段落 Char1"/>
    <w:link w:val="40"/>
    <w:qFormat/>
    <w:locked/>
    <w:uiPriority w:val="0"/>
    <w:rPr>
      <w:rFonts w:ascii="宋体" w:hAnsi="Courier New" w:eastAsia="宋体" w:cs="Courier New"/>
      <w:kern w:val="2"/>
      <w:sz w:val="28"/>
      <w:szCs w:val="28"/>
    </w:rPr>
  </w:style>
  <w:style w:type="paragraph" w:customStyle="1" w:styleId="42">
    <w:name w:val="段落 Char"/>
    <w:basedOn w:val="13"/>
    <w:qFormat/>
    <w:uiPriority w:val="0"/>
    <w:pPr>
      <w:spacing w:line="500" w:lineRule="exact"/>
      <w:ind w:firstLine="578"/>
    </w:pPr>
    <w:rPr>
      <w:rFonts w:ascii="Times New Roman" w:hAnsi="Times New Roman" w:cs="Times New Roman"/>
    </w:rPr>
  </w:style>
  <w:style w:type="paragraph" w:styleId="43">
    <w:name w:val="List Paragraph"/>
    <w:basedOn w:val="1"/>
    <w:qFormat/>
    <w:uiPriority w:val="34"/>
    <w:pPr>
      <w:ind w:firstLine="420" w:firstLineChars="200"/>
    </w:pPr>
  </w:style>
  <w:style w:type="paragraph" w:customStyle="1" w:styleId="44">
    <w:name w:val="brdrw15brsp20 tqctx4153t"/>
    <w:basedOn w:val="1"/>
    <w:qFormat/>
    <w:uiPriority w:val="0"/>
    <w:pPr>
      <w:pBdr>
        <w:bottom w:val="single" w:color="auto" w:sz="6" w:space="0"/>
      </w:pBdr>
      <w:adjustRightInd w:val="0"/>
      <w:spacing w:line="312" w:lineRule="atLeast"/>
      <w:jc w:val="center"/>
      <w:textAlignment w:val="baseline"/>
    </w:pPr>
    <w:rPr>
      <w:kern w:val="0"/>
      <w:sz w:val="21"/>
      <w:szCs w:val="21"/>
    </w:rPr>
  </w:style>
  <w:style w:type="paragraph" w:customStyle="1" w:styleId="45">
    <w:name w:val="1.正文"/>
    <w:basedOn w:val="40"/>
    <w:qFormat/>
    <w:uiPriority w:val="0"/>
    <w:pPr>
      <w:spacing w:line="520" w:lineRule="exact"/>
      <w:ind w:firstLine="200" w:firstLineChars="200"/>
    </w:pPr>
    <w:rPr>
      <w:rFonts w:ascii="Times New Roman" w:hAnsi="Times New Roman" w:cs="宋体"/>
      <w:sz w:val="24"/>
      <w:szCs w:val="24"/>
    </w:rPr>
  </w:style>
  <w:style w:type="paragraph" w:customStyle="1" w:styleId="46">
    <w:name w:val="表头 Char"/>
    <w:basedOn w:val="1"/>
    <w:qFormat/>
    <w:uiPriority w:val="0"/>
    <w:pPr>
      <w:spacing w:before="200" w:after="100" w:afterAutospacing="1" w:line="500" w:lineRule="exact"/>
    </w:pPr>
    <w:rPr>
      <w:rFonts w:ascii="黑体" w:hAnsi="黑体" w:eastAsia="黑体" w:cs="宋体"/>
      <w:spacing w:val="20"/>
      <w:sz w:val="24"/>
      <w:szCs w:val="24"/>
    </w:rPr>
  </w:style>
  <w:style w:type="character" w:customStyle="1" w:styleId="47">
    <w:name w:val="文档结构图 Char"/>
    <w:basedOn w:val="27"/>
    <w:link w:val="8"/>
    <w:semiHidden/>
    <w:qFormat/>
    <w:uiPriority w:val="99"/>
    <w:rPr>
      <w:rFonts w:ascii="宋体" w:hAnsi="Times New Roman" w:eastAsia="宋体" w:cs="Times New Roman"/>
      <w:kern w:val="2"/>
      <w:sz w:val="18"/>
      <w:szCs w:val="18"/>
    </w:rPr>
  </w:style>
  <w:style w:type="character" w:customStyle="1" w:styleId="48">
    <w:name w:val="正文文本 Char"/>
    <w:basedOn w:val="27"/>
    <w:link w:val="10"/>
    <w:qFormat/>
    <w:uiPriority w:val="0"/>
    <w:rPr>
      <w:rFonts w:ascii="Times New Roman" w:hAnsi="Times New Roman" w:eastAsia="宋体" w:cs="Times New Roman"/>
      <w:color w:val="333333"/>
      <w:kern w:val="2"/>
      <w:sz w:val="28"/>
    </w:rPr>
  </w:style>
  <w:style w:type="character" w:customStyle="1" w:styleId="49">
    <w:name w:val="批注文字 Char"/>
    <w:basedOn w:val="27"/>
    <w:link w:val="9"/>
    <w:qFormat/>
    <w:uiPriority w:val="0"/>
    <w:rPr>
      <w:rFonts w:ascii="宋体" w:hAnsi="宋体" w:eastAsia="宋体" w:cs="宋体"/>
      <w:sz w:val="24"/>
      <w:szCs w:val="24"/>
    </w:rPr>
  </w:style>
  <w:style w:type="character" w:customStyle="1" w:styleId="50">
    <w:name w:val="HTML 预设格式 Char"/>
    <w:basedOn w:val="27"/>
    <w:link w:val="20"/>
    <w:qFormat/>
    <w:uiPriority w:val="99"/>
    <w:rPr>
      <w:rFonts w:ascii="Courier New" w:hAnsi="Courier New" w:eastAsia="宋体" w:cs="Courier New"/>
      <w:kern w:val="2"/>
    </w:rPr>
  </w:style>
  <w:style w:type="character" w:customStyle="1" w:styleId="51">
    <w:name w:val="题注 Char"/>
    <w:link w:val="7"/>
    <w:qFormat/>
    <w:uiPriority w:val="0"/>
    <w:rPr>
      <w:rFonts w:ascii="Arial" w:hAnsi="Arial" w:eastAsia="黑体" w:cs="Arial"/>
      <w:kern w:val="2"/>
    </w:rPr>
  </w:style>
  <w:style w:type="character" w:customStyle="1" w:styleId="52">
    <w:name w:val="apple-converted-space"/>
    <w:basedOn w:val="27"/>
    <w:qFormat/>
    <w:uiPriority w:val="0"/>
  </w:style>
  <w:style w:type="paragraph" w:customStyle="1" w:styleId="53">
    <w:name w:val="Table Paragraph"/>
    <w:basedOn w:val="1"/>
    <w:qFormat/>
    <w:uiPriority w:val="1"/>
    <w:pPr>
      <w:widowControl/>
      <w:jc w:val="left"/>
    </w:pPr>
    <w:rPr>
      <w:rFonts w:ascii="Calibri" w:hAnsi="Calibri" w:cs="宋体"/>
      <w:kern w:val="0"/>
      <w:sz w:val="22"/>
      <w:szCs w:val="22"/>
    </w:rPr>
  </w:style>
  <w:style w:type="character" w:customStyle="1" w:styleId="54">
    <w:name w:val="报告表  段 Char"/>
    <w:link w:val="55"/>
    <w:qFormat/>
    <w:locked/>
    <w:uiPriority w:val="0"/>
    <w:rPr>
      <w:rFonts w:ascii="宋体" w:hAnsi="宋体"/>
      <w:sz w:val="24"/>
    </w:rPr>
  </w:style>
  <w:style w:type="paragraph" w:customStyle="1" w:styleId="55">
    <w:name w:val="报告表  段"/>
    <w:basedOn w:val="1"/>
    <w:link w:val="54"/>
    <w:qFormat/>
    <w:uiPriority w:val="0"/>
    <w:pPr>
      <w:adjustRightInd w:val="0"/>
      <w:spacing w:line="360" w:lineRule="auto"/>
      <w:ind w:firstLine="505"/>
    </w:pPr>
    <w:rPr>
      <w:rFonts w:ascii="宋体" w:hAnsi="宋体" w:eastAsiaTheme="minorEastAsia" w:cstheme="minorBidi"/>
      <w:kern w:val="0"/>
      <w:sz w:val="24"/>
      <w:szCs w:val="20"/>
    </w:rPr>
  </w:style>
  <w:style w:type="character" w:customStyle="1" w:styleId="56">
    <w:name w:val="表头 Char Char Char"/>
    <w:link w:val="57"/>
    <w:qFormat/>
    <w:uiPriority w:val="0"/>
    <w:rPr>
      <w:rFonts w:eastAsia="黑体"/>
      <w:kern w:val="2"/>
      <w:sz w:val="24"/>
    </w:rPr>
  </w:style>
  <w:style w:type="paragraph" w:customStyle="1" w:styleId="57">
    <w:name w:val="表头 Char Char"/>
    <w:basedOn w:val="13"/>
    <w:link w:val="56"/>
    <w:qFormat/>
    <w:uiPriority w:val="0"/>
    <w:pPr>
      <w:spacing w:before="200" w:afterLines="30"/>
      <w:ind w:firstLine="352" w:firstLineChars="149"/>
    </w:pPr>
    <w:rPr>
      <w:rFonts w:eastAsia="黑体" w:asciiTheme="minorHAnsi" w:hAnsiTheme="minorHAnsi" w:cstheme="minorBidi"/>
      <w:sz w:val="24"/>
      <w:szCs w:val="20"/>
    </w:rPr>
  </w:style>
  <w:style w:type="character" w:customStyle="1" w:styleId="58">
    <w:name w:val="正文1 Char"/>
    <w:link w:val="59"/>
    <w:qFormat/>
    <w:uiPriority w:val="0"/>
    <w:rPr>
      <w:rFonts w:ascii="楷体_GB2312" w:eastAsia="楷体_GB2312"/>
      <w:b/>
      <w:kern w:val="2"/>
      <w:sz w:val="28"/>
      <w:szCs w:val="24"/>
    </w:rPr>
  </w:style>
  <w:style w:type="paragraph" w:customStyle="1" w:styleId="59">
    <w:name w:val="正文1"/>
    <w:basedOn w:val="1"/>
    <w:link w:val="58"/>
    <w:qFormat/>
    <w:uiPriority w:val="0"/>
    <w:pPr>
      <w:ind w:firstLine="552"/>
    </w:pPr>
    <w:rPr>
      <w:rFonts w:ascii="楷体_GB2312" w:eastAsia="楷体_GB2312" w:hAnsiTheme="minorHAnsi" w:cstheme="minorBidi"/>
      <w:b/>
      <w:szCs w:val="24"/>
    </w:rPr>
  </w:style>
  <w:style w:type="character" w:customStyle="1" w:styleId="60">
    <w:name w:val="普通文字 Char Char"/>
    <w:qFormat/>
    <w:uiPriority w:val="0"/>
    <w:rPr>
      <w:rFonts w:ascii="宋体" w:hAnsi="Courier New" w:eastAsia="宋体" w:cs="Courier New"/>
      <w:kern w:val="2"/>
      <w:sz w:val="21"/>
      <w:szCs w:val="21"/>
      <w:lang w:val="en-US" w:eastAsia="zh-CN" w:bidi="ar-SA"/>
    </w:rPr>
  </w:style>
  <w:style w:type="character" w:customStyle="1" w:styleId="61">
    <w:name w:val="apple-style-span"/>
    <w:basedOn w:val="27"/>
    <w:qFormat/>
    <w:uiPriority w:val="0"/>
  </w:style>
  <w:style w:type="character" w:customStyle="1" w:styleId="62">
    <w:name w:val="正文文本缩进 3 Char"/>
    <w:link w:val="18"/>
    <w:qFormat/>
    <w:uiPriority w:val="0"/>
    <w:rPr>
      <w:rFonts w:eastAsia="宋体"/>
      <w:kern w:val="2"/>
      <w:sz w:val="16"/>
      <w:szCs w:val="16"/>
    </w:rPr>
  </w:style>
  <w:style w:type="character" w:customStyle="1" w:styleId="63">
    <w:name w:val="u920"/>
    <w:basedOn w:val="27"/>
    <w:qFormat/>
    <w:uiPriority w:val="0"/>
  </w:style>
  <w:style w:type="character" w:customStyle="1" w:styleId="64">
    <w:name w:val="表头 Char1"/>
    <w:link w:val="65"/>
    <w:qFormat/>
    <w:uiPriority w:val="0"/>
    <w:rPr>
      <w:rFonts w:ascii="黑体" w:hAnsi="宋体" w:eastAsia="黑体"/>
      <w:spacing w:val="20"/>
      <w:kern w:val="36"/>
      <w:sz w:val="24"/>
      <w:szCs w:val="24"/>
    </w:rPr>
  </w:style>
  <w:style w:type="paragraph" w:customStyle="1" w:styleId="65">
    <w:name w:val="表头"/>
    <w:basedOn w:val="1"/>
    <w:link w:val="64"/>
    <w:qFormat/>
    <w:uiPriority w:val="0"/>
    <w:pPr>
      <w:spacing w:before="200" w:line="500" w:lineRule="exact"/>
    </w:pPr>
    <w:rPr>
      <w:rFonts w:ascii="黑体" w:hAnsi="宋体" w:eastAsia="黑体" w:cstheme="minorBidi"/>
      <w:spacing w:val="20"/>
      <w:kern w:val="36"/>
      <w:sz w:val="24"/>
      <w:szCs w:val="24"/>
    </w:rPr>
  </w:style>
  <w:style w:type="character" w:customStyle="1" w:styleId="66">
    <w:name w:val="正文(首行缩进)宋旭峰 Char Char"/>
    <w:link w:val="67"/>
    <w:qFormat/>
    <w:locked/>
    <w:uiPriority w:val="0"/>
    <w:rPr>
      <w:rFonts w:eastAsia="宋体" w:cs="Arial"/>
      <w:sz w:val="24"/>
      <w:szCs w:val="24"/>
    </w:rPr>
  </w:style>
  <w:style w:type="paragraph" w:customStyle="1" w:styleId="67">
    <w:name w:val="正文(首行缩进)宋旭峰"/>
    <w:basedOn w:val="6"/>
    <w:link w:val="66"/>
    <w:qFormat/>
    <w:uiPriority w:val="0"/>
    <w:pPr>
      <w:spacing w:beforeLines="50" w:afterLines="50" w:line="360" w:lineRule="auto"/>
      <w:ind w:firstLine="480"/>
      <w:contextualSpacing/>
    </w:pPr>
    <w:rPr>
      <w:rFonts w:cs="Arial" w:asciiTheme="minorHAnsi" w:hAnsiTheme="minorHAnsi"/>
      <w:kern w:val="0"/>
      <w:sz w:val="24"/>
      <w:szCs w:val="24"/>
    </w:rPr>
  </w:style>
  <w:style w:type="character" w:customStyle="1" w:styleId="68">
    <w:name w:val="段落 Char Char"/>
    <w:qFormat/>
    <w:uiPriority w:val="0"/>
    <w:rPr>
      <w:rFonts w:ascii="宋体" w:eastAsia="宋体" w:cs="Courier New"/>
      <w:kern w:val="2"/>
      <w:sz w:val="28"/>
      <w:szCs w:val="21"/>
    </w:rPr>
  </w:style>
  <w:style w:type="character" w:customStyle="1" w:styleId="69">
    <w:name w:val="5文章(治) Char"/>
    <w:link w:val="70"/>
    <w:qFormat/>
    <w:uiPriority w:val="0"/>
    <w:rPr>
      <w:rFonts w:eastAsia="宋体"/>
      <w:kern w:val="2"/>
      <w:sz w:val="24"/>
    </w:rPr>
  </w:style>
  <w:style w:type="paragraph" w:customStyle="1" w:styleId="70">
    <w:name w:val="5文章(治)"/>
    <w:basedOn w:val="1"/>
    <w:link w:val="69"/>
    <w:qFormat/>
    <w:uiPriority w:val="0"/>
    <w:pPr>
      <w:spacing w:line="360" w:lineRule="auto"/>
      <w:ind w:firstLine="560" w:firstLineChars="200"/>
    </w:pPr>
    <w:rPr>
      <w:rFonts w:asciiTheme="minorHAnsi" w:hAnsiTheme="minorHAnsi" w:cstheme="minorBidi"/>
      <w:sz w:val="24"/>
      <w:szCs w:val="20"/>
    </w:rPr>
  </w:style>
  <w:style w:type="character" w:customStyle="1" w:styleId="71">
    <w:name w:val="Char Char6"/>
    <w:qFormat/>
    <w:uiPriority w:val="0"/>
    <w:rPr>
      <w:kern w:val="2"/>
      <w:sz w:val="18"/>
    </w:rPr>
  </w:style>
  <w:style w:type="character" w:customStyle="1" w:styleId="72">
    <w:name w:val="报告表正文 Char"/>
    <w:link w:val="73"/>
    <w:qFormat/>
    <w:uiPriority w:val="0"/>
    <w:rPr>
      <w:rFonts w:eastAsia="楷体_GB2312"/>
      <w:kern w:val="2"/>
      <w:sz w:val="24"/>
      <w:szCs w:val="24"/>
    </w:rPr>
  </w:style>
  <w:style w:type="paragraph" w:customStyle="1" w:styleId="73">
    <w:name w:val="报告表正文"/>
    <w:basedOn w:val="1"/>
    <w:link w:val="72"/>
    <w:qFormat/>
    <w:uiPriority w:val="0"/>
    <w:pPr>
      <w:spacing w:line="360" w:lineRule="auto"/>
      <w:ind w:firstLine="200" w:firstLineChars="200"/>
    </w:pPr>
    <w:rPr>
      <w:rFonts w:eastAsia="楷体_GB2312" w:asciiTheme="minorHAnsi" w:hAnsiTheme="minorHAnsi" w:cstheme="minorBidi"/>
      <w:sz w:val="24"/>
      <w:szCs w:val="24"/>
    </w:rPr>
  </w:style>
  <w:style w:type="character" w:customStyle="1" w:styleId="74">
    <w:name w:val="段落 Char Char Char Char"/>
    <w:link w:val="75"/>
    <w:qFormat/>
    <w:uiPriority w:val="0"/>
    <w:rPr>
      <w:rFonts w:ascii="宋体" w:eastAsia="宋体"/>
      <w:kern w:val="2"/>
      <w:sz w:val="28"/>
      <w:szCs w:val="28"/>
    </w:rPr>
  </w:style>
  <w:style w:type="paragraph" w:customStyle="1" w:styleId="75">
    <w:name w:val="段落 Char Char Char"/>
    <w:basedOn w:val="1"/>
    <w:link w:val="74"/>
    <w:qFormat/>
    <w:uiPriority w:val="0"/>
    <w:pPr>
      <w:spacing w:line="500" w:lineRule="exact"/>
      <w:ind w:firstLine="600"/>
    </w:pPr>
    <w:rPr>
      <w:rFonts w:ascii="宋体" w:hAnsiTheme="minorHAnsi" w:cstheme="minorBidi"/>
    </w:rPr>
  </w:style>
  <w:style w:type="character" w:customStyle="1" w:styleId="76">
    <w:name w:val="正文文本缩进 2 Char"/>
    <w:basedOn w:val="27"/>
    <w:link w:val="14"/>
    <w:qFormat/>
    <w:uiPriority w:val="0"/>
    <w:rPr>
      <w:rFonts w:ascii="Times New Roman" w:hAnsi="Times New Roman" w:eastAsia="宋体" w:cs="Times New Roman"/>
      <w:bCs/>
      <w:kern w:val="2"/>
      <w:sz w:val="28"/>
      <w:szCs w:val="24"/>
    </w:rPr>
  </w:style>
  <w:style w:type="character" w:customStyle="1" w:styleId="77">
    <w:name w:val="正文文本缩进 Char"/>
    <w:basedOn w:val="27"/>
    <w:link w:val="11"/>
    <w:qFormat/>
    <w:uiPriority w:val="0"/>
    <w:rPr>
      <w:rFonts w:ascii="Times New Roman" w:hAnsi="Times New Roman" w:eastAsia="宋体" w:cs="Times New Roman"/>
      <w:kern w:val="2"/>
      <w:sz w:val="28"/>
      <w:szCs w:val="24"/>
    </w:rPr>
  </w:style>
  <w:style w:type="character" w:customStyle="1" w:styleId="78">
    <w:name w:val="批注主题 Char"/>
    <w:basedOn w:val="49"/>
    <w:link w:val="22"/>
    <w:semiHidden/>
    <w:qFormat/>
    <w:uiPriority w:val="0"/>
    <w:rPr>
      <w:rFonts w:ascii="Times New Roman" w:hAnsi="Times New Roman" w:eastAsia="宋体" w:cs="Times New Roman"/>
      <w:b/>
      <w:bCs/>
      <w:kern w:val="2"/>
      <w:sz w:val="21"/>
      <w:szCs w:val="24"/>
    </w:rPr>
  </w:style>
  <w:style w:type="character" w:customStyle="1" w:styleId="79">
    <w:name w:val="正文文本 2 Char"/>
    <w:basedOn w:val="27"/>
    <w:link w:val="19"/>
    <w:qFormat/>
    <w:uiPriority w:val="0"/>
    <w:rPr>
      <w:rFonts w:ascii="Times New Roman" w:hAnsi="Times New Roman" w:eastAsia="宋体" w:cs="Times New Roman"/>
      <w:kern w:val="2"/>
      <w:sz w:val="21"/>
      <w:szCs w:val="24"/>
    </w:rPr>
  </w:style>
  <w:style w:type="character" w:customStyle="1" w:styleId="80">
    <w:name w:val="正文文本缩进 3 Char1"/>
    <w:basedOn w:val="27"/>
    <w:semiHidden/>
    <w:qFormat/>
    <w:uiPriority w:val="99"/>
    <w:rPr>
      <w:rFonts w:ascii="Times New Roman" w:hAnsi="Times New Roman" w:eastAsia="宋体" w:cs="Times New Roman"/>
      <w:kern w:val="2"/>
      <w:sz w:val="16"/>
      <w:szCs w:val="16"/>
    </w:rPr>
  </w:style>
  <w:style w:type="paragraph" w:customStyle="1" w:styleId="81">
    <w:name w:val="样式 结论 + 段后: 0.5 行"/>
    <w:basedOn w:val="1"/>
    <w:qFormat/>
    <w:uiPriority w:val="0"/>
    <w:pPr>
      <w:snapToGrid w:val="0"/>
      <w:spacing w:beforeLines="50" w:afterLines="50" w:line="500" w:lineRule="atLeast"/>
      <w:ind w:firstLine="561"/>
    </w:pPr>
    <w:rPr>
      <w:rFonts w:ascii="楷体_GB2312" w:eastAsia="楷体_GB2312" w:cs="宋体"/>
      <w:b/>
      <w:bCs/>
      <w:szCs w:val="20"/>
    </w:rPr>
  </w:style>
  <w:style w:type="paragraph" w:customStyle="1" w:styleId="82">
    <w:name w:val="Char Char Char Char Char Char Char"/>
    <w:basedOn w:val="1"/>
    <w:qFormat/>
    <w:uiPriority w:val="0"/>
    <w:pPr>
      <w:spacing w:line="360" w:lineRule="auto"/>
      <w:ind w:firstLine="200" w:firstLineChars="200"/>
    </w:pPr>
    <w:rPr>
      <w:spacing w:val="-4"/>
      <w:sz w:val="24"/>
      <w:szCs w:val="24"/>
    </w:rPr>
  </w:style>
  <w:style w:type="paragraph" w:customStyle="1" w:styleId="83">
    <w:name w:val="五号表格"/>
    <w:basedOn w:val="1"/>
    <w:qFormat/>
    <w:uiPriority w:val="0"/>
    <w:pPr>
      <w:jc w:val="center"/>
    </w:pPr>
    <w:rPr>
      <w:sz w:val="21"/>
      <w:szCs w:val="24"/>
    </w:rPr>
  </w:style>
  <w:style w:type="paragraph" w:customStyle="1" w:styleId="84">
    <w:name w:val="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5">
    <w:name w:val="文字"/>
    <w:basedOn w:val="1"/>
    <w:qFormat/>
    <w:uiPriority w:val="0"/>
    <w:pPr>
      <w:widowControl/>
      <w:spacing w:afterLines="50" w:line="360" w:lineRule="auto"/>
      <w:ind w:firstLine="420"/>
    </w:pPr>
    <w:rPr>
      <w:rFonts w:ascii="Calibri" w:hAnsi="Calibri" w:cs="Calibri"/>
      <w:kern w:val="0"/>
      <w:sz w:val="24"/>
      <w:szCs w:val="24"/>
    </w:rPr>
  </w:style>
  <w:style w:type="paragraph" w:customStyle="1" w:styleId="86">
    <w:name w:val="Char Char Char Char Char"/>
    <w:basedOn w:val="1"/>
    <w:qFormat/>
    <w:uiPriority w:val="0"/>
    <w:pPr>
      <w:spacing w:line="360" w:lineRule="auto"/>
      <w:ind w:firstLine="200" w:firstLineChars="200"/>
    </w:pPr>
    <w:rPr>
      <w:rFonts w:ascii="宋体" w:hAnsi="宋体" w:cs="宋体"/>
      <w:sz w:val="24"/>
      <w:szCs w:val="24"/>
    </w:rPr>
  </w:style>
  <w:style w:type="paragraph" w:customStyle="1" w:styleId="87">
    <w:name w:val="Char Char Char Char"/>
    <w:basedOn w:val="1"/>
    <w:qFormat/>
    <w:uiPriority w:val="0"/>
    <w:pPr>
      <w:spacing w:line="360" w:lineRule="auto"/>
      <w:ind w:firstLine="200" w:firstLineChars="200"/>
    </w:pPr>
    <w:rPr>
      <w:rFonts w:ascii="宋体" w:hAnsi="宋体" w:cs="宋体"/>
      <w:sz w:val="24"/>
      <w:szCs w:val="24"/>
    </w:rPr>
  </w:style>
  <w:style w:type="paragraph" w:customStyle="1" w:styleId="88">
    <w:name w:val="Char Char Char1 Char"/>
    <w:basedOn w:val="1"/>
    <w:qFormat/>
    <w:uiPriority w:val="0"/>
    <w:pPr>
      <w:spacing w:line="360" w:lineRule="auto"/>
      <w:ind w:firstLine="200" w:firstLineChars="200"/>
    </w:pPr>
    <w:rPr>
      <w:rFonts w:ascii="宋体" w:hAnsi="宋体" w:cs="宋体"/>
      <w:sz w:val="24"/>
      <w:szCs w:val="24"/>
    </w:rPr>
  </w:style>
  <w:style w:type="paragraph" w:customStyle="1" w:styleId="89">
    <w:name w:val="中文报告书样式"/>
    <w:basedOn w:val="1"/>
    <w:qFormat/>
    <w:uiPriority w:val="0"/>
    <w:pPr>
      <w:adjustRightInd w:val="0"/>
      <w:spacing w:line="480" w:lineRule="atLeast"/>
      <w:ind w:firstLine="482"/>
      <w:textAlignment w:val="baseline"/>
    </w:pPr>
    <w:rPr>
      <w:kern w:val="24"/>
      <w:sz w:val="24"/>
      <w:szCs w:val="20"/>
    </w:rPr>
  </w:style>
  <w:style w:type="paragraph" w:customStyle="1" w:styleId="9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91">
    <w:name w:val="样式 正文（首行缩进两字） + 五号 居中"/>
    <w:basedOn w:val="1"/>
    <w:qFormat/>
    <w:uiPriority w:val="0"/>
    <w:pPr>
      <w:adjustRightInd w:val="0"/>
      <w:jc w:val="center"/>
    </w:pPr>
    <w:rPr>
      <w:rFonts w:ascii="宋体" w:cs="宋体"/>
      <w:kern w:val="0"/>
      <w:sz w:val="21"/>
      <w:szCs w:val="24"/>
    </w:rPr>
  </w:style>
  <w:style w:type="paragraph" w:customStyle="1" w:styleId="92">
    <w:name w:val="Char Char"/>
    <w:basedOn w:val="1"/>
    <w:qFormat/>
    <w:uiPriority w:val="0"/>
    <w:pPr>
      <w:widowControl/>
      <w:spacing w:after="160" w:line="240" w:lineRule="exact"/>
      <w:jc w:val="left"/>
    </w:pPr>
    <w:rPr>
      <w:snapToGrid w:val="0"/>
      <w:kern w:val="0"/>
      <w:szCs w:val="20"/>
    </w:rPr>
  </w:style>
  <w:style w:type="paragraph" w:customStyle="1" w:styleId="93">
    <w:name w:val="表格居中"/>
    <w:basedOn w:val="1"/>
    <w:qFormat/>
    <w:uiPriority w:val="0"/>
    <w:pPr>
      <w:adjustRightInd w:val="0"/>
      <w:snapToGrid w:val="0"/>
      <w:jc w:val="center"/>
    </w:pPr>
    <w:rPr>
      <w:rFonts w:ascii="黑体" w:hAnsi="宋体"/>
      <w:snapToGrid w:val="0"/>
      <w:kern w:val="24"/>
      <w:sz w:val="21"/>
    </w:rPr>
  </w:style>
  <w:style w:type="paragraph" w:customStyle="1" w:styleId="94">
    <w:name w:val="Char"/>
    <w:basedOn w:val="1"/>
    <w:qFormat/>
    <w:uiPriority w:val="0"/>
    <w:pPr>
      <w:spacing w:line="360" w:lineRule="auto"/>
      <w:ind w:firstLine="200" w:firstLineChars="200"/>
    </w:pPr>
    <w:rPr>
      <w:rFonts w:ascii="宋体" w:hAnsi="宋体" w:cs="宋体"/>
      <w:sz w:val="24"/>
      <w:szCs w:val="24"/>
    </w:rPr>
  </w:style>
  <w:style w:type="paragraph" w:customStyle="1" w:styleId="95">
    <w:name w:val="正文五"/>
    <w:basedOn w:val="1"/>
    <w:qFormat/>
    <w:uiPriority w:val="0"/>
    <w:pPr>
      <w:snapToGrid w:val="0"/>
      <w:jc w:val="center"/>
    </w:pPr>
    <w:rPr>
      <w:sz w:val="24"/>
      <w:szCs w:val="20"/>
    </w:rPr>
  </w:style>
  <w:style w:type="paragraph" w:customStyle="1" w:styleId="96">
    <w:name w:val="正文表"/>
    <w:basedOn w:val="1"/>
    <w:qFormat/>
    <w:uiPriority w:val="0"/>
    <w:pPr>
      <w:tabs>
        <w:tab w:val="left" w:pos="0"/>
      </w:tabs>
      <w:spacing w:line="440" w:lineRule="exact"/>
      <w:ind w:left="1" w:firstLine="480"/>
    </w:pPr>
    <w:rPr>
      <w:sz w:val="24"/>
      <w:szCs w:val="24"/>
    </w:rPr>
  </w:style>
  <w:style w:type="paragraph" w:customStyle="1" w:styleId="97">
    <w:name w:val="默认段落字体 Para Char"/>
    <w:basedOn w:val="1"/>
    <w:qFormat/>
    <w:uiPriority w:val="0"/>
    <w:pPr>
      <w:adjustRightInd w:val="0"/>
      <w:spacing w:line="360" w:lineRule="atLeast"/>
      <w:textAlignment w:val="baseline"/>
    </w:pPr>
    <w:rPr>
      <w:sz w:val="21"/>
      <w:szCs w:val="24"/>
    </w:rPr>
  </w:style>
  <w:style w:type="paragraph" w:customStyle="1" w:styleId="98">
    <w:name w:val="1正文段落"/>
    <w:basedOn w:val="1"/>
    <w:qFormat/>
    <w:uiPriority w:val="0"/>
    <w:pPr>
      <w:spacing w:line="360" w:lineRule="auto"/>
      <w:ind w:firstLine="480" w:firstLineChars="200"/>
      <w:jc w:val="left"/>
    </w:pPr>
    <w:rPr>
      <w:kern w:val="0"/>
      <w:sz w:val="24"/>
      <w:szCs w:val="24"/>
    </w:rPr>
  </w:style>
  <w:style w:type="paragraph" w:customStyle="1" w:styleId="99">
    <w:name w:val="默认段落字体 Para Char Char Char Char"/>
    <w:basedOn w:val="1"/>
    <w:qFormat/>
    <w:uiPriority w:val="0"/>
    <w:rPr>
      <w:sz w:val="24"/>
      <w:szCs w:val="24"/>
    </w:rPr>
  </w:style>
  <w:style w:type="paragraph" w:customStyle="1" w:styleId="100">
    <w:name w:val="环评正文"/>
    <w:basedOn w:val="1"/>
    <w:link w:val="101"/>
    <w:qFormat/>
    <w:uiPriority w:val="0"/>
    <w:pPr>
      <w:spacing w:line="360" w:lineRule="auto"/>
      <w:ind w:left="1" w:firstLine="420" w:firstLineChars="175"/>
    </w:pPr>
    <w:rPr>
      <w:rFonts w:ascii="宋体" w:hAnsi="宋体" w:cs="宋体"/>
      <w:kern w:val="0"/>
      <w:sz w:val="24"/>
      <w:szCs w:val="20"/>
    </w:rPr>
  </w:style>
  <w:style w:type="character" w:customStyle="1" w:styleId="101">
    <w:name w:val="环评正文 Char"/>
    <w:basedOn w:val="27"/>
    <w:link w:val="100"/>
    <w:qFormat/>
    <w:uiPriority w:val="0"/>
    <w:rPr>
      <w:rFonts w:ascii="宋体" w:hAnsi="宋体" w:eastAsia="宋体" w:cs="宋体"/>
      <w:sz w:val="24"/>
    </w:rPr>
  </w:style>
  <w:style w:type="paragraph" w:customStyle="1" w:styleId="102">
    <w:name w:val="1.表头"/>
    <w:basedOn w:val="1"/>
    <w:qFormat/>
    <w:uiPriority w:val="0"/>
    <w:pPr>
      <w:spacing w:line="440" w:lineRule="exact"/>
      <w:ind w:firstLine="360" w:firstLineChars="150"/>
    </w:pPr>
    <w:rPr>
      <w:rFonts w:eastAsia="黑体" w:cs="宋体"/>
      <w:sz w:val="24"/>
      <w:szCs w:val="20"/>
    </w:rPr>
  </w:style>
  <w:style w:type="paragraph" w:customStyle="1" w:styleId="103">
    <w:name w:val="表格内容"/>
    <w:basedOn w:val="1"/>
    <w:link w:val="104"/>
    <w:qFormat/>
    <w:uiPriority w:val="0"/>
    <w:pPr>
      <w:overflowPunct w:val="0"/>
      <w:adjustRightInd w:val="0"/>
      <w:jc w:val="center"/>
    </w:pPr>
    <w:rPr>
      <w:kern w:val="0"/>
      <w:sz w:val="21"/>
      <w:szCs w:val="20"/>
    </w:rPr>
  </w:style>
  <w:style w:type="character" w:customStyle="1" w:styleId="104">
    <w:name w:val="表格内容 Char"/>
    <w:basedOn w:val="27"/>
    <w:link w:val="103"/>
    <w:qFormat/>
    <w:uiPriority w:val="0"/>
    <w:rPr>
      <w:rFonts w:ascii="Times New Roman" w:hAnsi="Times New Roman" w:eastAsia="宋体" w:cs="Times New Roman"/>
      <w:sz w:val="21"/>
    </w:rPr>
  </w:style>
  <w:style w:type="paragraph" w:customStyle="1" w:styleId="105">
    <w:name w:val="段落 Char Char Char Char Char"/>
    <w:basedOn w:val="13"/>
    <w:link w:val="106"/>
    <w:qFormat/>
    <w:uiPriority w:val="0"/>
    <w:pPr>
      <w:tabs>
        <w:tab w:val="left" w:pos="600"/>
        <w:tab w:val="left" w:pos="720"/>
      </w:tabs>
      <w:snapToGrid w:val="0"/>
      <w:spacing w:line="240" w:lineRule="atLeast"/>
      <w:jc w:val="center"/>
    </w:pPr>
    <w:rPr>
      <w:rFonts w:ascii="Times New Roman" w:hAnsi="Times New Roman" w:cs="Times New Roman"/>
      <w:sz w:val="21"/>
      <w:szCs w:val="21"/>
    </w:rPr>
  </w:style>
  <w:style w:type="character" w:customStyle="1" w:styleId="106">
    <w:name w:val="段落 Char Char Char Char Char Char"/>
    <w:link w:val="105"/>
    <w:qFormat/>
    <w:uiPriority w:val="0"/>
    <w:rPr>
      <w:rFonts w:ascii="Times New Roman" w:hAnsi="Times New Roman" w:eastAsia="宋体" w:cs="Times New Roman"/>
      <w:kern w:val="2"/>
      <w:sz w:val="21"/>
      <w:szCs w:val="21"/>
    </w:rPr>
  </w:style>
  <w:style w:type="paragraph" w:customStyle="1" w:styleId="107">
    <w:name w:val="报告表表格文字"/>
    <w:basedOn w:val="1"/>
    <w:qFormat/>
    <w:uiPriority w:val="0"/>
    <w:pPr>
      <w:autoSpaceDE w:val="0"/>
      <w:autoSpaceDN w:val="0"/>
      <w:adjustRightInd w:val="0"/>
      <w:snapToGrid w:val="0"/>
      <w:spacing w:line="360" w:lineRule="exact"/>
      <w:jc w:val="center"/>
    </w:pPr>
    <w:rPr>
      <w:color w:val="000000"/>
      <w:kern w:val="0"/>
      <w:sz w:val="21"/>
      <w:szCs w:val="21"/>
    </w:rPr>
  </w:style>
  <w:style w:type="paragraph" w:customStyle="1" w:styleId="108">
    <w:name w:val="TT正文"/>
    <w:basedOn w:val="1"/>
    <w:qFormat/>
    <w:uiPriority w:val="0"/>
    <w:pPr>
      <w:ind w:firstLine="200" w:firstLineChars="200"/>
    </w:pPr>
    <w:rPr>
      <w:rFonts w:cs="宋体"/>
      <w:color w:val="000000"/>
      <w:sz w:val="24"/>
      <w:szCs w:val="20"/>
    </w:rPr>
  </w:style>
  <w:style w:type="paragraph" w:customStyle="1" w:styleId="109">
    <w:name w:val="正文文本缩进1"/>
    <w:basedOn w:val="1"/>
    <w:qFormat/>
    <w:uiPriority w:val="0"/>
    <w:pPr>
      <w:tabs>
        <w:tab w:val="left" w:pos="210"/>
      </w:tabs>
      <w:spacing w:line="360" w:lineRule="auto"/>
      <w:ind w:firstLine="420" w:firstLineChars="175"/>
    </w:pPr>
    <w:rPr>
      <w:sz w:val="21"/>
      <w:szCs w:val="24"/>
    </w:rPr>
  </w:style>
  <w:style w:type="character" w:customStyle="1" w:styleId="110">
    <w:name w:val="正文首行缩进 2 Char"/>
    <w:basedOn w:val="77"/>
    <w:link w:val="24"/>
    <w:qFormat/>
    <w:uiPriority w:val="0"/>
    <w:rPr>
      <w:rFonts w:ascii="Times New Roman" w:hAnsi="Times New Roman" w:eastAsia="宋体" w:cs="Times New Roman"/>
      <w:kern w:val="2"/>
      <w:sz w:val="21"/>
      <w:szCs w:val="24"/>
    </w:rPr>
  </w:style>
  <w:style w:type="character" w:customStyle="1" w:styleId="111">
    <w:name w:val="【正文】 Char"/>
    <w:link w:val="112"/>
    <w:qFormat/>
    <w:locked/>
    <w:uiPriority w:val="0"/>
    <w:rPr>
      <w:rFonts w:ascii="宋体" w:hAnsi="宋体" w:cs="宋体"/>
      <w:kern w:val="2"/>
      <w:sz w:val="24"/>
    </w:rPr>
  </w:style>
  <w:style w:type="paragraph" w:customStyle="1" w:styleId="112">
    <w:name w:val="【正文】"/>
    <w:basedOn w:val="1"/>
    <w:link w:val="111"/>
    <w:qFormat/>
    <w:uiPriority w:val="0"/>
    <w:pPr>
      <w:spacing w:line="500" w:lineRule="exact"/>
      <w:ind w:firstLine="200" w:firstLineChars="200"/>
    </w:pPr>
    <w:rPr>
      <w:rFonts w:ascii="宋体" w:hAnsi="宋体" w:cs="宋体" w:eastAsiaTheme="minorEastAsia"/>
      <w:sz w:val="24"/>
      <w:szCs w:val="20"/>
    </w:rPr>
  </w:style>
  <w:style w:type="character" w:customStyle="1" w:styleId="113">
    <w:name w:val="普通(网站) Char"/>
    <w:link w:val="21"/>
    <w:qFormat/>
    <w:locked/>
    <w:uiPriority w:val="0"/>
    <w:rPr>
      <w:rFonts w:ascii="宋体" w:hAnsi="宋体" w:eastAsia="宋体" w:cs="宋体"/>
      <w:sz w:val="24"/>
      <w:szCs w:val="24"/>
    </w:rPr>
  </w:style>
  <w:style w:type="character" w:customStyle="1" w:styleId="114">
    <w:name w:val="表格 Char"/>
    <w:link w:val="115"/>
    <w:qFormat/>
    <w:locked/>
    <w:uiPriority w:val="0"/>
    <w:rPr>
      <w:rFonts w:ascii="宋体"/>
      <w:sz w:val="21"/>
    </w:rPr>
  </w:style>
  <w:style w:type="paragraph" w:customStyle="1" w:styleId="115">
    <w:name w:val="表格"/>
    <w:basedOn w:val="1"/>
    <w:next w:val="1"/>
    <w:link w:val="114"/>
    <w:qFormat/>
    <w:uiPriority w:val="0"/>
    <w:pPr>
      <w:adjustRightInd w:val="0"/>
      <w:snapToGrid w:val="0"/>
      <w:spacing w:beforeLines="10" w:afterLines="10" w:line="259" w:lineRule="auto"/>
      <w:jc w:val="center"/>
    </w:pPr>
    <w:rPr>
      <w:rFonts w:ascii="宋体" w:hAnsiTheme="minorHAnsi" w:eastAsiaTheme="minorEastAsia" w:cstheme="minorBidi"/>
      <w:kern w:val="0"/>
      <w:sz w:val="21"/>
      <w:szCs w:val="20"/>
    </w:rPr>
  </w:style>
  <w:style w:type="character" w:customStyle="1" w:styleId="116">
    <w:name w:val="XQ表格文字 Char"/>
    <w:link w:val="117"/>
    <w:qFormat/>
    <w:uiPriority w:val="0"/>
    <w:rPr>
      <w:color w:val="000000"/>
      <w:sz w:val="21"/>
      <w:szCs w:val="21"/>
    </w:rPr>
  </w:style>
  <w:style w:type="paragraph" w:customStyle="1" w:styleId="117">
    <w:name w:val="XQ表格文字"/>
    <w:basedOn w:val="1"/>
    <w:link w:val="116"/>
    <w:qFormat/>
    <w:uiPriority w:val="0"/>
    <w:pPr>
      <w:tabs>
        <w:tab w:val="left" w:pos="420"/>
        <w:tab w:val="center" w:pos="623"/>
      </w:tabs>
      <w:adjustRightInd w:val="0"/>
      <w:snapToGrid w:val="0"/>
      <w:jc w:val="center"/>
    </w:pPr>
    <w:rPr>
      <w:rFonts w:asciiTheme="minorHAnsi" w:hAnsiTheme="minorHAnsi" w:eastAsiaTheme="minorEastAsia" w:cstheme="minorBidi"/>
      <w:color w:val="000000"/>
      <w:kern w:val="0"/>
      <w:sz w:val="21"/>
      <w:szCs w:val="21"/>
    </w:rPr>
  </w:style>
  <w:style w:type="character" w:customStyle="1" w:styleId="118">
    <w:name w:val="fontstyle01"/>
    <w:basedOn w:val="27"/>
    <w:qFormat/>
    <w:uiPriority w:val="0"/>
    <w:rPr>
      <w:rFonts w:hint="default" w:ascii="仿宋" w:hAnsi="仿宋"/>
      <w:color w:val="000000"/>
      <w:sz w:val="30"/>
      <w:szCs w:val="30"/>
    </w:rPr>
  </w:style>
  <w:style w:type="paragraph" w:customStyle="1" w:styleId="119">
    <w:name w:val="Revision"/>
    <w:hidden/>
    <w:unhideWhenUsed/>
    <w:qFormat/>
    <w:uiPriority w:val="99"/>
    <w:rPr>
      <w:rFonts w:ascii="Times New Roman" w:hAnsi="Times New Roman" w:eastAsia="宋体" w:cs="Times New Roman"/>
      <w:kern w:val="2"/>
      <w:sz w:val="28"/>
      <w:szCs w:val="28"/>
      <w:lang w:val="en-US" w:eastAsia="zh-CN" w:bidi="ar-SA"/>
    </w:rPr>
  </w:style>
  <w:style w:type="paragraph" w:customStyle="1" w:styleId="120">
    <w:name w:val="表格文字"/>
    <w:basedOn w:val="1"/>
    <w:qFormat/>
    <w:uiPriority w:val="0"/>
    <w:pPr>
      <w:autoSpaceDE w:val="0"/>
      <w:autoSpaceDN w:val="0"/>
      <w:adjustRightInd w:val="0"/>
      <w:snapToGrid w:val="0"/>
      <w:spacing w:line="280" w:lineRule="exact"/>
    </w:pPr>
    <w:rPr>
      <w:rFonts w:ascii="黑体" w:hAnsi="黑体" w:eastAsia="Calibri Light"/>
      <w:kern w:val="0"/>
      <w:szCs w:val="20"/>
    </w:rPr>
  </w:style>
  <w:style w:type="paragraph" w:customStyle="1" w:styleId="121">
    <w:name w:val="表头专用"/>
    <w:basedOn w:val="1"/>
    <w:qFormat/>
    <w:uiPriority w:val="0"/>
    <w:pPr>
      <w:numPr>
        <w:ilvl w:val="0"/>
        <w:numId w:val="2"/>
      </w:numPr>
      <w:spacing w:line="520" w:lineRule="exact"/>
      <w:jc w:val="center"/>
    </w:pPr>
    <w:rPr>
      <w:rFonts w:ascii="Times New Roman" w:hAnsi="Times New Roman" w:eastAsia="宋体"/>
      <w:b/>
      <w:sz w:val="24"/>
      <w:szCs w:val="24"/>
    </w:rPr>
  </w:style>
  <w:style w:type="paragraph" w:customStyle="1" w:styleId="122">
    <w:name w:val="表内 定"/>
    <w:basedOn w:val="1"/>
    <w:qFormat/>
    <w:uiPriority w:val="0"/>
    <w:rPr>
      <w:rFonts w:cs="Times New Roman"/>
      <w:color w:val="000000"/>
    </w:rPr>
  </w:style>
  <w:style w:type="paragraph" w:customStyle="1" w:styleId="123">
    <w:name w:val="样式1"/>
    <w:basedOn w:val="1"/>
    <w:qFormat/>
    <w:uiPriority w:val="0"/>
    <w:rPr>
      <w:szCs w:val="20"/>
      <w:shd w:val="clear" w:color="auto" w:fill="FFFFFF"/>
    </w:rPr>
  </w:style>
  <w:style w:type="paragraph" w:customStyle="1" w:styleId="124">
    <w:name w:val="表内"/>
    <w:basedOn w:val="1"/>
    <w:qFormat/>
    <w:uiPriority w:val="99"/>
    <w:pPr>
      <w:framePr w:hSpace="180" w:wrap="around" w:vAnchor="page" w:hAnchor="margin" w:y="1411"/>
      <w:widowControl/>
      <w:jc w:val="both"/>
    </w:pPr>
    <w:rPr>
      <w:rFonts w:cs="Times New Roman" w:asciiTheme="minorEastAsia" w:hAnsiTheme="minorEastAsia"/>
      <w:snapToGrid/>
      <w:szCs w:val="20"/>
    </w:rPr>
  </w:style>
  <w:style w:type="paragraph" w:customStyle="1" w:styleId="125">
    <w:name w:val="样式 小四 行距: 固定值 24 磅"/>
    <w:basedOn w:val="1"/>
    <w:qFormat/>
    <w:uiPriority w:val="0"/>
    <w:pPr>
      <w:adjustRightInd w:val="0"/>
      <w:snapToGrid w:val="0"/>
      <w:spacing w:line="360" w:lineRule="auto"/>
      <w:ind w:firstLine="200" w:firstLineChars="200"/>
    </w:pPr>
    <w:rPr>
      <w:rFonts w:ascii="Plotter" w:hAnsi="Plotter" w:cs="Courier New"/>
      <w:sz w:val="24"/>
    </w:rPr>
  </w:style>
  <w:style w:type="paragraph" w:customStyle="1" w:styleId="126">
    <w:name w:val="p0"/>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wmf"/><Relationship Id="rId16" Type="http://schemas.openxmlformats.org/officeDocument/2006/relationships/oleObject" Target="embeddings/oleObject3.bin"/><Relationship Id="rId15" Type="http://schemas.openxmlformats.org/officeDocument/2006/relationships/image" Target="media/image8.emf"/><Relationship Id="rId14" Type="http://schemas.openxmlformats.org/officeDocument/2006/relationships/oleObject" Target="embeddings/oleObject2.bin"/><Relationship Id="rId13" Type="http://schemas.openxmlformats.org/officeDocument/2006/relationships/image" Target="media/image7.emf"/><Relationship Id="rId12" Type="http://schemas.openxmlformats.org/officeDocument/2006/relationships/oleObject" Target="embeddings/oleObject1.bin"/><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8D7712-FE7B-4F80-865A-CB5A6027D38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47</Pages>
  <Words>3980</Words>
  <Characters>22690</Characters>
  <Lines>189</Lines>
  <Paragraphs>53</Paragraphs>
  <TotalTime>2</TotalTime>
  <ScaleCrop>false</ScaleCrop>
  <LinksUpToDate>false</LinksUpToDate>
  <CharactersWithSpaces>26617</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2021-04-06T03:08:00Z</dcterms:created>
  <dc:creator>Administrator</dc:creator>
  <cp:lastModifiedBy>天之蓝环保</cp:lastModifiedBy>
  <cp:lastPrinted>2022-01-18T09:48:00Z</cp:lastPrinted>
  <dcterms:modified xsi:type="dcterms:W3CDTF">2022-02-18T09:03:26Z</dcterms:modified>
  <cp:revision>126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88B179D8853947E48DAE6BC8B99B00A8</vt:lpwstr>
  </property>
</Properties>
</file>