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024"/>
        </w:tabs>
        <w:spacing w:line="680" w:lineRule="exact"/>
        <w:jc w:val="left"/>
        <w:rPr>
          <w:rFonts w:hint="eastAsia" w:ascii="方正小标宋简体" w:eastAsia="方正小标宋简体"/>
          <w:color w:val="FF0000"/>
          <w:spacing w:val="60"/>
          <w:w w:val="70"/>
          <w:sz w:val="120"/>
          <w:szCs w:val="116"/>
        </w:rPr>
      </w:pPr>
      <w:r>
        <w:rPr>
          <w:rFonts w:hint="eastAsia" w:ascii="方正小标宋简体" w:eastAsia="方正小标宋简体" w:cs="方正小标宋简体"/>
          <w:bCs/>
          <w:color w:val="FF0000"/>
          <w:sz w:val="44"/>
          <w:szCs w:val="44"/>
        </w:rPr>
        <w:t xml:space="preserve"> </w:t>
      </w:r>
      <w:r>
        <w:rPr>
          <w:rFonts w:ascii="方正小标宋简体" w:eastAsia="方正小标宋简体"/>
          <w:color w:val="FF0000"/>
          <w:spacing w:val="60"/>
          <w:w w:val="70"/>
          <w:sz w:val="120"/>
          <w:szCs w:val="116"/>
        </w:rPr>
        <w:tab/>
      </w:r>
    </w:p>
    <w:p>
      <w:pPr>
        <w:spacing w:line="680" w:lineRule="exact"/>
        <w:jc w:val="center"/>
        <w:rPr>
          <w:rFonts w:hint="eastAsia" w:ascii="方正小标宋简体" w:eastAsia="方正小标宋简体"/>
          <w:color w:val="FF0000"/>
          <w:spacing w:val="60"/>
          <w:w w:val="70"/>
          <w:sz w:val="120"/>
          <w:szCs w:val="116"/>
        </w:rPr>
      </w:pPr>
    </w:p>
    <w:p>
      <w:pPr>
        <w:spacing w:line="680" w:lineRule="exact"/>
        <w:jc w:val="center"/>
        <w:rPr>
          <w:rFonts w:hint="eastAsia" w:ascii="方正小标宋简体" w:eastAsia="方正小标宋简体"/>
          <w:color w:val="FF0000"/>
          <w:spacing w:val="60"/>
          <w:w w:val="70"/>
          <w:sz w:val="120"/>
          <w:szCs w:val="116"/>
        </w:rPr>
      </w:pPr>
    </w:p>
    <w:p>
      <w:pPr>
        <w:spacing w:line="1220" w:lineRule="exact"/>
        <w:jc w:val="center"/>
        <w:rPr>
          <w:rFonts w:hint="eastAsia" w:ascii="方正小标宋简体" w:eastAsia="方正小标宋简体"/>
          <w:color w:val="FF0000"/>
          <w:spacing w:val="60"/>
          <w:w w:val="70"/>
          <w:sz w:val="120"/>
          <w:szCs w:val="116"/>
        </w:rPr>
      </w:pPr>
      <w:r>
        <w:rPr>
          <w:rFonts w:hint="eastAsia" w:ascii="方正小标宋简体" w:eastAsia="方正小标宋简体"/>
          <w:color w:val="FF0000"/>
          <w:spacing w:val="60"/>
          <w:w w:val="70"/>
          <w:sz w:val="120"/>
          <w:szCs w:val="116"/>
          <w:lang w:eastAsia="zh-CN"/>
        </w:rPr>
        <w:t>新乡市财政局</w:t>
      </w:r>
      <w:r>
        <w:rPr>
          <w:rFonts w:hint="eastAsia" w:ascii="方正小标宋简体" w:eastAsia="方正小标宋简体"/>
          <w:color w:val="FF0000"/>
          <w:spacing w:val="60"/>
          <w:w w:val="70"/>
          <w:sz w:val="120"/>
          <w:szCs w:val="116"/>
        </w:rPr>
        <w:t>文件</w:t>
      </w:r>
    </w:p>
    <w:p>
      <w:pPr>
        <w:spacing w:line="660" w:lineRule="exact"/>
        <w:rPr>
          <w:rFonts w:hint="eastAsia" w:ascii="仿宋_GB2312"/>
        </w:rPr>
      </w:pPr>
      <w:r>
        <w:rPr>
          <w:rFonts w:hint="eastAsia" w:ascii="方正小标宋简体" w:eastAsia="方正小标宋简体"/>
          <w:w w:val="95"/>
          <w:sz w:val="80"/>
          <w:szCs w:val="80"/>
        </w:rPr>
        <w:t xml:space="preserve">     </w:t>
      </w:r>
      <w:r>
        <w:rPr>
          <w:rFonts w:hint="eastAsia" w:ascii="方正小标宋简体" w:eastAsia="方正小标宋简体"/>
          <w:spacing w:val="160"/>
          <w:w w:val="95"/>
          <w:sz w:val="80"/>
          <w:szCs w:val="80"/>
        </w:rPr>
        <w:t xml:space="preserve">       </w:t>
      </w:r>
    </w:p>
    <w:p>
      <w:pPr>
        <w:spacing w:line="660" w:lineRule="exact"/>
        <w:jc w:val="center"/>
        <w:rPr>
          <w:rFonts w:hint="eastAsia" w:ascii="仿宋_GB2312"/>
        </w:rPr>
      </w:pPr>
      <w:r>
        <w:rPr>
          <w:rFonts w:hint="eastAsia" w:ascii="仿宋_GB2312"/>
          <w:lang w:eastAsia="zh-CN"/>
        </w:rPr>
        <w:t>新</w:t>
      </w:r>
      <w:r>
        <w:rPr>
          <w:rFonts w:hint="eastAsia" w:ascii="仿宋_GB2312"/>
        </w:rPr>
        <w:t>财</w:t>
      </w:r>
      <w:r>
        <w:rPr>
          <w:rFonts w:hint="eastAsia" w:ascii="仿宋_GB2312"/>
          <w:lang w:eastAsia="zh-CN"/>
        </w:rPr>
        <w:t>购</w:t>
      </w:r>
      <w:r>
        <w:rPr>
          <w:rFonts w:hint="eastAsia" w:ascii="仿宋_GB2312"/>
        </w:rPr>
        <w:t>〔2021〕</w:t>
      </w:r>
      <w:r>
        <w:rPr>
          <w:rFonts w:hint="eastAsia" w:ascii="仿宋_GB2312"/>
          <w:lang w:val="en-US" w:eastAsia="zh-CN"/>
        </w:rPr>
        <w:t>6</w:t>
      </w:r>
      <w:r>
        <w:rPr>
          <w:rFonts w:hint="eastAsia" w:ascii="仿宋_GB2312"/>
        </w:rPr>
        <w:t>号</w:t>
      </w:r>
    </w:p>
    <w:p>
      <w:pPr>
        <w:spacing w:line="620" w:lineRule="exact"/>
        <w:jc w:val="center"/>
        <w:rPr>
          <w:rFonts w:hint="eastAsia" w:ascii="方正小标宋简体" w:eastAsia="方正小标宋简体"/>
          <w:color w:val="FF0000"/>
          <w:w w:val="90"/>
          <w:sz w:val="84"/>
          <w:szCs w:val="80"/>
        </w:rPr>
      </w:pPr>
      <w:r>
        <w:rPr>
          <w:rFonts w:hint="eastAsia" w:ascii="仿宋_GB231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22860</wp:posOffset>
                </wp:positionV>
                <wp:extent cx="5600700" cy="0"/>
                <wp:effectExtent l="0" t="9525" r="0" b="9525"/>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1.8pt;height:0pt;width:441pt;z-index:251660288;mso-width-relative:page;mso-height-relative:page;" filled="f" stroked="t" coordsize="21600,21600" o:gfxdata="UEsFBgAAAAAAAAAAAAAAAAAAAAAAAFBLAwQKAAAAAACHTuJAAAAAAAAAAAAAAAAABAAAAGRycy9Q&#10;SwMEFAAAAAgAh07iQLsYDjvTAAAABAEAAA8AAABkcnMvZG93bnJldi54bWxNjzFPwzAQhXck/oN1&#10;ldiokyKFKMTpEAmVAalq6ACbGx9JVPscxW4T/j0HC4yf3um978rt4qy44hQGTwrSdQICqfVmoE7B&#10;8e35PgcRoiajrSdU8IUBttXtTakL42c64LWJneASCoVW0Mc4FlKGtkenw9qPSJx9+snpyDh10kx6&#10;5nJn5SZJMun0QLzQ6xHrHttzc3EK3ve7/fha15l/+djNS5elzeHRKnW3SpMnEBGX+HcMP/qsDhU7&#10;nfyFTBBWAT8SFTxkIDjM8w3z6ZdlVcr/8tU3UEsDBBQAAAAIAIdO4kC8jD8e3gEAAJoDAAAOAAAA&#10;ZHJzL2Uyb0RvYy54bWytU0uOEzEQ3SPNHSzvJ90ZaQZopTOLyWQ2CCIBB6jY7m5L/qnspJNLcAEk&#10;drBiyZ7bMByDspPJ8NkgRBaVsqv8/N5z9ex6Zw3bKozau5ZPJzVnygkvtetb/vbN8vwZZzGBk2C8&#10;Uy3fq8iv52dPZmNo1IUfvJEKGYG42Iyh5UNKoamqKAZlIU58UI6KnUcLiZbYVxJhJHRrqou6vqpG&#10;jzKgFypG2l0cinxe8LtOifSq66JKzLScuKUSscR1jtV8Bk2PEAYtjjTgH1hY0I4uPUEtIAHboP4D&#10;ymqBPvouTYS3le86LVTRQGqm9W9qXg8QVNFC5sRwsin+P1jxcrtCpiW9HWcOLD3R/fsv3959/P71&#10;A8X7z5/YNJs0hthQ741b4XEVwwqz4l2HNv+TFrYrxu5PxqpdYoI2L6/q+mlN/ouHWvV4MGBMd8pb&#10;lpOWG+2yZmhg+yImuoxaH1rytnFsJLbP68uMBzQznYFEqQ2kIrq+HI7eaLnUxuQjEfv1jUG2BZqC&#10;5bKmX9ZEwL+05VsWEIdDXykd5mNQIG+dZGkfyB9Hg8wzB6skZ0bR3OeMAKFJoM3fdNLVxhGDbOvB&#10;yJytvdzTa2wC6n4gKxJuVCGaizQAhfJxWPOE/bwuYI+f1Pw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uxgOO9MAAAAEAQAADwAAAAAAAAABACAAAAA4AAAAZHJzL2Rvd25yZXYueG1sUEsBAhQAFAAA&#10;AAgAh07iQLyMPx7eAQAAmgMAAA4AAAAAAAAAAQAgAAAAOAEAAGRycy9lMm9Eb2MueG1sUEsFBgAA&#10;AAAGAAYAWQEAAIgFAAAAAA==&#10;">
                <v:fill on="f" focussize="0,0"/>
                <v:stroke weight="1.5pt" color="#FF0000" joinstyle="round"/>
                <v:imagedata o:title=""/>
                <o:lock v:ext="edit" aspectratio="f"/>
              </v:line>
            </w:pict>
          </mc:Fallback>
        </mc:AlternateContent>
      </w:r>
    </w:p>
    <w:p>
      <w:pPr>
        <w:spacing w:line="580" w:lineRule="exact"/>
        <w:rPr>
          <w:rFonts w:hint="eastAsia" w:ascii="方正小标宋简体" w:eastAsia="方正小标宋简体" w:cs="方正小标宋简体"/>
          <w:bCs/>
          <w:color w:val="FF0000"/>
          <w:sz w:val="44"/>
          <w:szCs w:val="44"/>
        </w:rPr>
      </w:pPr>
    </w:p>
    <w:p>
      <w:pPr>
        <w:spacing w:line="580" w:lineRule="exact"/>
        <w:jc w:val="center"/>
        <w:rPr>
          <w:rFonts w:hint="eastAsia" w:ascii="方正小标宋简体" w:eastAsia="方正小标宋简体" w:cs="方正小标宋简体"/>
          <w:bCs/>
          <w:color w:val="000000"/>
          <w:sz w:val="44"/>
          <w:szCs w:val="44"/>
        </w:rPr>
      </w:pPr>
      <w:r>
        <w:rPr>
          <w:rFonts w:hint="eastAsia" w:ascii="方正小标宋简体" w:eastAsia="方正小标宋简体" w:cs="方正小标宋简体"/>
          <w:bCs/>
          <w:color w:val="000000"/>
          <w:sz w:val="44"/>
          <w:szCs w:val="44"/>
          <w:lang w:eastAsia="zh-CN"/>
        </w:rPr>
        <w:t>新乡市财政局</w:t>
      </w:r>
      <w:r>
        <w:rPr>
          <w:rFonts w:hint="eastAsia" w:ascii="方正小标宋简体" w:eastAsia="方正小标宋简体" w:cs="方正小标宋简体"/>
          <w:bCs/>
          <w:color w:val="000000"/>
          <w:sz w:val="44"/>
          <w:szCs w:val="44"/>
        </w:rPr>
        <w:t>关于印发</w:t>
      </w:r>
      <w:r>
        <w:rPr>
          <w:rFonts w:hint="eastAsia" w:ascii="方正小标宋简体" w:eastAsia="方正小标宋简体" w:cs="方正小标宋简体"/>
          <w:bCs/>
          <w:color w:val="000000"/>
          <w:sz w:val="44"/>
          <w:szCs w:val="44"/>
          <w:lang w:eastAsia="zh-CN"/>
        </w:rPr>
        <w:t>市本</w:t>
      </w:r>
      <w:r>
        <w:rPr>
          <w:rFonts w:hint="eastAsia" w:ascii="方正小标宋简体" w:eastAsia="方正小标宋简体" w:cs="方正小标宋简体"/>
          <w:bCs/>
          <w:color w:val="000000"/>
          <w:sz w:val="44"/>
          <w:szCs w:val="44"/>
        </w:rPr>
        <w:t>级</w:t>
      </w:r>
      <w:r>
        <w:rPr>
          <w:rFonts w:hint="eastAsia" w:ascii="方正小标宋简体" w:eastAsia="方正小标宋简体" w:cs="方正小标宋简体"/>
          <w:bCs/>
          <w:color w:val="000000"/>
          <w:sz w:val="44"/>
          <w:szCs w:val="44"/>
          <w:lang w:eastAsia="zh-CN"/>
        </w:rPr>
        <w:t>预算</w:t>
      </w:r>
      <w:r>
        <w:rPr>
          <w:rFonts w:hint="eastAsia" w:ascii="方正小标宋简体" w:eastAsia="方正小标宋简体" w:cs="方正小标宋简体"/>
          <w:bCs/>
          <w:color w:val="000000"/>
          <w:sz w:val="44"/>
          <w:szCs w:val="44"/>
        </w:rPr>
        <w:t>单位政府采购内控管理制度示范文本</w:t>
      </w:r>
      <w:r>
        <w:rPr>
          <w:rFonts w:hint="eastAsia" w:ascii="方正小标宋简体" w:eastAsia="方正小标宋简体" w:cs="方正小标宋简体"/>
          <w:bCs/>
          <w:color w:val="000000"/>
          <w:sz w:val="44"/>
          <w:szCs w:val="44"/>
          <w:lang w:val="en-US" w:eastAsia="zh-CN"/>
        </w:rPr>
        <w:t>暨</w:t>
      </w:r>
      <w:r>
        <w:rPr>
          <w:rFonts w:hint="eastAsia" w:ascii="方正小标宋简体" w:eastAsia="方正小标宋简体" w:cs="方正小标宋简体"/>
          <w:bCs/>
          <w:color w:val="000000"/>
          <w:sz w:val="44"/>
          <w:szCs w:val="44"/>
          <w:lang w:eastAsia="zh-CN"/>
        </w:rPr>
        <w:t>加强政府采购需求管理</w:t>
      </w:r>
      <w:r>
        <w:rPr>
          <w:rFonts w:hint="eastAsia" w:ascii="方正小标宋简体" w:eastAsia="方正小标宋简体" w:cs="方正小标宋简体"/>
          <w:bCs/>
          <w:color w:val="000000"/>
          <w:sz w:val="44"/>
          <w:szCs w:val="44"/>
        </w:rPr>
        <w:t>的通知</w:t>
      </w:r>
    </w:p>
    <w:p>
      <w:pPr>
        <w:spacing w:line="580" w:lineRule="exact"/>
        <w:jc w:val="center"/>
        <w:rPr>
          <w:rFonts w:hint="eastAsia" w:eastAsia="仿宋"/>
          <w:bCs/>
          <w:color w:val="000000"/>
        </w:rPr>
      </w:pPr>
    </w:p>
    <w:p>
      <w:pPr>
        <w:spacing w:line="580" w:lineRule="exact"/>
        <w:rPr>
          <w:rFonts w:hint="eastAsia" w:ascii="仿宋_GB2312" w:hAnsi="仿宋_GB2312" w:eastAsia="仿宋_GB2312" w:cs="仿宋_GB2312"/>
          <w:bCs/>
          <w:color w:val="000000"/>
        </w:rPr>
      </w:pPr>
      <w:r>
        <w:rPr>
          <w:rFonts w:hint="eastAsia" w:ascii="仿宋_GB2312" w:hAnsi="仿宋_GB2312" w:eastAsia="仿宋_GB2312" w:cs="仿宋_GB2312"/>
          <w:bCs/>
          <w:color w:val="000000"/>
          <w:lang w:eastAsia="zh-CN"/>
        </w:rPr>
        <w:t>市本</w:t>
      </w:r>
      <w:r>
        <w:rPr>
          <w:rFonts w:hint="eastAsia" w:ascii="仿宋_GB2312" w:hAnsi="仿宋_GB2312" w:eastAsia="仿宋_GB2312" w:cs="仿宋_GB2312"/>
          <w:bCs/>
          <w:color w:val="000000"/>
        </w:rPr>
        <w:t>级各</w:t>
      </w:r>
      <w:r>
        <w:rPr>
          <w:rFonts w:hint="eastAsia" w:ascii="仿宋_GB2312" w:hAnsi="仿宋_GB2312" w:eastAsia="仿宋_GB2312" w:cs="仿宋_GB2312"/>
          <w:bCs/>
          <w:color w:val="000000"/>
          <w:lang w:eastAsia="zh-CN"/>
        </w:rPr>
        <w:t>预算</w:t>
      </w:r>
      <w:r>
        <w:rPr>
          <w:rFonts w:hint="eastAsia" w:ascii="仿宋_GB2312" w:hAnsi="仿宋_GB2312" w:eastAsia="仿宋_GB2312" w:cs="仿宋_GB2312"/>
          <w:bCs/>
          <w:color w:val="000000"/>
        </w:rPr>
        <w:t>单位：</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color w:val="000000"/>
        </w:rPr>
        <w:t>为贯彻落实中央和我省深化政府采购制度改革</w:t>
      </w:r>
      <w:r>
        <w:rPr>
          <w:rFonts w:hint="eastAsia" w:ascii="仿宋_GB2312" w:hAnsi="仿宋_GB2312" w:eastAsia="仿宋_GB2312" w:cs="仿宋_GB2312"/>
          <w:bCs/>
          <w:color w:val="000000"/>
          <w:lang w:eastAsia="zh-CN"/>
        </w:rPr>
        <w:t>、市委市政府优化政府采购营商环境</w:t>
      </w:r>
      <w:r>
        <w:rPr>
          <w:rFonts w:hint="eastAsia" w:ascii="仿宋_GB2312" w:hAnsi="仿宋_GB2312" w:eastAsia="仿宋_GB2312" w:cs="仿宋_GB2312"/>
          <w:bCs/>
          <w:color w:val="000000"/>
        </w:rPr>
        <w:t>工作部署，强化采购人主体责任，规范采购人内部权力运行，推进依法、规范、高效、廉洁采购，</w:t>
      </w:r>
      <w:r>
        <w:rPr>
          <w:rFonts w:hint="eastAsia" w:ascii="仿宋_GB2312" w:hAnsi="仿宋_GB2312" w:eastAsia="仿宋_GB2312" w:cs="仿宋_GB2312"/>
          <w:bCs/>
          <w:color w:val="000000"/>
          <w:lang w:eastAsia="zh-CN"/>
        </w:rPr>
        <w:t>根据《政府采购需求管理办法》、《新乡市财政局关于进一步加强采购人政府采购内部控制管理制度建设暨印发</w:t>
      </w:r>
      <w:r>
        <w:rPr>
          <w:rFonts w:hint="eastAsia" w:ascii="仿宋_GB2312" w:hAnsi="仿宋_GB2312" w:eastAsia="仿宋_GB2312" w:cs="仿宋_GB2312"/>
          <w:bCs/>
          <w:color w:val="000000"/>
          <w:lang w:val="en-US" w:eastAsia="zh-CN"/>
        </w:rPr>
        <w:t>&lt;</w:t>
      </w:r>
      <w:r>
        <w:rPr>
          <w:rFonts w:hint="eastAsia" w:ascii="仿宋_GB2312" w:hAnsi="仿宋_GB2312" w:eastAsia="仿宋_GB2312" w:cs="仿宋_GB2312"/>
          <w:bCs/>
          <w:color w:val="000000"/>
          <w:lang w:eastAsia="zh-CN"/>
        </w:rPr>
        <w:t>采购人政府采购业务内控风险指引纲要（试行）</w:t>
      </w:r>
      <w:r>
        <w:rPr>
          <w:rFonts w:hint="eastAsia" w:ascii="仿宋_GB2312" w:hAnsi="仿宋_GB2312" w:eastAsia="仿宋_GB2312" w:cs="仿宋_GB2312"/>
          <w:bCs/>
          <w:color w:val="000000"/>
          <w:lang w:val="en-US" w:eastAsia="zh-CN"/>
        </w:rPr>
        <w:t>&gt;</w:t>
      </w:r>
      <w:r>
        <w:rPr>
          <w:rFonts w:hint="eastAsia" w:ascii="仿宋_GB2312" w:hAnsi="仿宋_GB2312" w:eastAsia="仿宋_GB2312" w:cs="仿宋_GB2312"/>
          <w:bCs/>
          <w:color w:val="000000"/>
          <w:lang w:eastAsia="zh-CN"/>
        </w:rPr>
        <w:t>的通知》等相关要求，</w:t>
      </w:r>
      <w:r>
        <w:rPr>
          <w:rFonts w:hint="eastAsia" w:ascii="仿宋_GB2312" w:hAnsi="仿宋_GB2312" w:eastAsia="仿宋_GB2312" w:cs="仿宋_GB2312"/>
          <w:bCs/>
          <w:color w:val="000000"/>
        </w:rPr>
        <w:t>结合采购人政府采购内控制度</w:t>
      </w:r>
      <w:r>
        <w:rPr>
          <w:rFonts w:hint="eastAsia" w:ascii="仿宋_GB2312" w:hAnsi="仿宋_GB2312" w:eastAsia="仿宋_GB2312" w:cs="仿宋_GB2312"/>
          <w:bCs/>
          <w:color w:val="000000"/>
          <w:lang w:eastAsia="zh-CN"/>
        </w:rPr>
        <w:t>建设</w:t>
      </w:r>
      <w:r>
        <w:rPr>
          <w:rFonts w:hint="eastAsia" w:ascii="仿宋_GB2312" w:hAnsi="仿宋_GB2312" w:eastAsia="仿宋_GB2312" w:cs="仿宋_GB2312"/>
          <w:bCs/>
          <w:color w:val="000000"/>
        </w:rPr>
        <w:t>情况，</w:t>
      </w:r>
      <w:r>
        <w:rPr>
          <w:rFonts w:hint="eastAsia" w:ascii="仿宋_GB2312" w:hAnsi="仿宋_GB2312" w:eastAsia="仿宋_GB2312" w:cs="仿宋_GB2312"/>
          <w:bCs/>
          <w:color w:val="000000"/>
          <w:lang w:eastAsia="zh-CN"/>
        </w:rPr>
        <w:t>财政局</w:t>
      </w:r>
      <w:r>
        <w:rPr>
          <w:rFonts w:hint="eastAsia" w:ascii="仿宋_GB2312" w:hAnsi="仿宋_GB2312" w:eastAsia="仿宋_GB2312" w:cs="仿宋_GB2312"/>
          <w:bCs/>
          <w:color w:val="000000"/>
        </w:rPr>
        <w:t>组织编制了</w:t>
      </w:r>
      <w:r>
        <w:rPr>
          <w:rFonts w:hint="eastAsia" w:ascii="仿宋_GB2312" w:hAnsi="仿宋_GB2312" w:eastAsia="仿宋_GB2312" w:cs="仿宋_GB2312"/>
          <w:bCs/>
          <w:color w:val="000000"/>
          <w:lang w:eastAsia="zh-CN"/>
        </w:rPr>
        <w:t>市本级预算</w:t>
      </w:r>
      <w:r>
        <w:rPr>
          <w:rFonts w:hint="eastAsia" w:ascii="仿宋_GB2312" w:hAnsi="仿宋_GB2312" w:eastAsia="仿宋_GB2312" w:cs="仿宋_GB2312"/>
          <w:bCs/>
          <w:color w:val="000000"/>
        </w:rPr>
        <w:t>单位政府采购内控管理制度</w:t>
      </w:r>
      <w:r>
        <w:rPr>
          <w:rFonts w:hint="eastAsia" w:ascii="仿宋_GB2312" w:hAnsi="仿宋_GB2312" w:eastAsia="仿宋_GB2312" w:cs="仿宋_GB2312"/>
          <w:bCs/>
          <w:color w:val="000000"/>
          <w:lang w:eastAsia="zh-CN"/>
        </w:rPr>
        <w:t>和政府采购需求管理</w:t>
      </w:r>
      <w:r>
        <w:rPr>
          <w:rFonts w:hint="eastAsia" w:ascii="仿宋_GB2312" w:hAnsi="仿宋_GB2312" w:eastAsia="仿宋_GB2312" w:cs="仿宋_GB2312"/>
          <w:bCs/>
          <w:color w:val="000000"/>
        </w:rPr>
        <w:t>的示范文本（附件1</w:t>
      </w:r>
      <w:r>
        <w:rPr>
          <w:rFonts w:hint="eastAsia" w:ascii="仿宋_GB2312" w:hAnsi="仿宋_GB2312" w:eastAsia="仿宋_GB2312" w:cs="仿宋_GB2312"/>
          <w:bCs/>
          <w:color w:val="000000"/>
          <w:lang w:eastAsia="zh-CN"/>
        </w:rPr>
        <w:t>、附件</w:t>
      </w:r>
      <w:r>
        <w:rPr>
          <w:rFonts w:hint="eastAsia" w:ascii="仿宋_GB2312" w:hAnsi="仿宋_GB2312" w:eastAsia="仿宋_GB2312" w:cs="仿宋_GB2312"/>
          <w:bCs/>
          <w:color w:val="000000"/>
          <w:lang w:val="en-US" w:eastAsia="zh-CN"/>
        </w:rPr>
        <w:t>3、附件4、附件5、附件6、附件7</w:t>
      </w:r>
      <w:r>
        <w:rPr>
          <w:rFonts w:hint="eastAsia" w:ascii="仿宋_GB2312" w:hAnsi="仿宋_GB2312" w:eastAsia="仿宋_GB2312" w:cs="仿宋_GB2312"/>
          <w:bCs/>
          <w:color w:val="000000"/>
        </w:rPr>
        <w:t>）及使用说明（附件2），</w:t>
      </w:r>
      <w:r>
        <w:rPr>
          <w:rFonts w:hint="eastAsia" w:ascii="仿宋_GB2312" w:hAnsi="仿宋_GB2312" w:eastAsia="仿宋_GB2312" w:cs="仿宋_GB2312"/>
          <w:bCs/>
          <w:color w:val="000000"/>
          <w:lang w:eastAsia="zh-CN"/>
        </w:rPr>
        <w:t>制定了政府采购简要流程图（附件</w:t>
      </w:r>
      <w:r>
        <w:rPr>
          <w:rFonts w:hint="eastAsia" w:ascii="仿宋_GB2312" w:hAnsi="仿宋_GB2312" w:eastAsia="仿宋_GB2312" w:cs="仿宋_GB2312"/>
          <w:bCs/>
          <w:color w:val="000000"/>
          <w:lang w:val="en-US" w:eastAsia="zh-CN"/>
        </w:rPr>
        <w:t>8</w:t>
      </w:r>
      <w:r>
        <w:rPr>
          <w:rFonts w:hint="eastAsia" w:ascii="仿宋_GB2312" w:hAnsi="仿宋_GB2312" w:eastAsia="仿宋_GB2312" w:cs="仿宋_GB2312"/>
          <w:bCs/>
          <w:color w:val="000000"/>
          <w:lang w:eastAsia="zh-CN"/>
        </w:rPr>
        <w:t>）供参考，</w:t>
      </w:r>
      <w:r>
        <w:rPr>
          <w:rFonts w:hint="eastAsia" w:ascii="仿宋_GB2312" w:hAnsi="仿宋_GB2312" w:eastAsia="仿宋_GB2312" w:cs="仿宋_GB2312"/>
          <w:bCs/>
          <w:color w:val="000000"/>
        </w:rPr>
        <w:t>现予印发。请参照示范文本要求，结合实际，健全完善本单位政府采购内控制度</w:t>
      </w:r>
      <w:r>
        <w:rPr>
          <w:rFonts w:hint="eastAsia" w:ascii="仿宋_GB2312" w:hAnsi="仿宋_GB2312" w:eastAsia="仿宋_GB2312" w:cs="仿宋_GB2312"/>
          <w:bCs/>
          <w:color w:val="000000"/>
          <w:lang w:eastAsia="zh-CN"/>
        </w:rPr>
        <w:t>并按照要求落实政府采购政策制度要求</w:t>
      </w:r>
      <w:r>
        <w:rPr>
          <w:rFonts w:hint="eastAsia" w:ascii="仿宋_GB2312" w:hAnsi="仿宋_GB2312" w:eastAsia="仿宋_GB2312" w:cs="仿宋_GB2312"/>
          <w:bCs/>
        </w:rPr>
        <w:t>；</w:t>
      </w:r>
      <w:r>
        <w:rPr>
          <w:rFonts w:hint="eastAsia" w:ascii="仿宋_GB2312" w:hAnsi="仿宋_GB2312" w:eastAsia="仿宋_GB2312" w:cs="仿宋_GB2312"/>
          <w:bCs/>
          <w:lang w:eastAsia="zh-CN"/>
        </w:rPr>
        <w:t>同时，</w:t>
      </w:r>
      <w:r>
        <w:rPr>
          <w:rFonts w:hint="eastAsia" w:ascii="仿宋_GB2312" w:hAnsi="仿宋_GB2312" w:eastAsia="仿宋_GB2312" w:cs="仿宋_GB2312"/>
          <w:bCs/>
        </w:rPr>
        <w:t>根据国家和我省政府采购新规定、新要求，及时更新完善本单位政府采购内控管理制度。</w:t>
      </w:r>
    </w:p>
    <w:p>
      <w:pPr>
        <w:spacing w:line="580" w:lineRule="exact"/>
        <w:ind w:firstLine="640" w:firstLineChars="200"/>
        <w:rPr>
          <w:rFonts w:hint="eastAsia" w:ascii="仿宋_GB2312" w:hAnsi="仿宋_GB2312" w:eastAsia="仿宋_GB2312" w:cs="仿宋_GB2312"/>
          <w:bCs/>
          <w:color w:val="000000"/>
        </w:rPr>
      </w:pPr>
    </w:p>
    <w:p>
      <w:pPr>
        <w:spacing w:line="580" w:lineRule="exact"/>
        <w:ind w:left="1920" w:leftChars="200" w:hanging="1280" w:hangingChars="400"/>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附件：1.</w:t>
      </w:r>
      <w:r>
        <w:rPr>
          <w:rFonts w:hint="eastAsia" w:ascii="仿宋_GB2312" w:hAnsi="仿宋_GB2312" w:eastAsia="仿宋_GB2312" w:cs="仿宋_GB2312"/>
          <w:bCs/>
          <w:color w:val="000000"/>
          <w:lang w:eastAsia="zh-CN"/>
        </w:rPr>
        <w:t>新乡市本</w:t>
      </w:r>
      <w:r>
        <w:rPr>
          <w:rFonts w:hint="eastAsia" w:ascii="仿宋_GB2312" w:hAnsi="仿宋_GB2312" w:eastAsia="仿宋_GB2312" w:cs="仿宋_GB2312"/>
          <w:bCs/>
          <w:color w:val="000000"/>
        </w:rPr>
        <w:t>级</w:t>
      </w:r>
      <w:r>
        <w:rPr>
          <w:rFonts w:hint="eastAsia" w:ascii="仿宋_GB2312" w:hAnsi="仿宋_GB2312" w:eastAsia="仿宋_GB2312" w:cs="仿宋_GB2312"/>
          <w:bCs/>
          <w:color w:val="000000"/>
          <w:lang w:eastAsia="zh-CN"/>
        </w:rPr>
        <w:t>预算</w:t>
      </w:r>
      <w:r>
        <w:rPr>
          <w:rFonts w:hint="eastAsia" w:ascii="仿宋_GB2312" w:hAnsi="仿宋_GB2312" w:eastAsia="仿宋_GB2312" w:cs="仿宋_GB2312"/>
          <w:bCs/>
          <w:color w:val="000000"/>
        </w:rPr>
        <w:t>单位政府采购内控管理制度（范本）</w:t>
      </w:r>
    </w:p>
    <w:p>
      <w:pPr>
        <w:numPr>
          <w:ilvl w:val="0"/>
          <w:numId w:val="0"/>
        </w:numPr>
        <w:tabs>
          <w:tab w:val="decimal" w:pos="-630"/>
          <w:tab w:val="decimal" w:pos="-210"/>
        </w:tabs>
        <w:spacing w:line="580" w:lineRule="exact"/>
        <w:ind w:left="1891" w:leftChars="491" w:hanging="320" w:hangingChars="100"/>
        <w:rPr>
          <w:rFonts w:hint="eastAsia" w:ascii="仿宋_GB2312" w:hAnsi="仿宋_GB2312" w:eastAsia="仿宋_GB2312" w:cs="仿宋_GB2312"/>
          <w:bCs/>
          <w:color w:val="000000"/>
        </w:rPr>
      </w:pPr>
      <w:r>
        <w:rPr>
          <w:rFonts w:hint="eastAsia" w:ascii="仿宋_GB2312" w:hAnsi="仿宋_GB2312" w:eastAsia="仿宋_GB2312" w:cs="仿宋_GB2312"/>
          <w:bCs/>
          <w:color w:val="000000"/>
          <w:lang w:val="en-US" w:eastAsia="zh-CN"/>
        </w:rPr>
        <w:t>2.</w:t>
      </w:r>
      <w:r>
        <w:rPr>
          <w:rFonts w:hint="eastAsia" w:ascii="仿宋_GB2312" w:hAnsi="仿宋_GB2312" w:eastAsia="仿宋_GB2312" w:cs="仿宋_GB2312"/>
          <w:bCs/>
          <w:color w:val="000000"/>
          <w:lang w:eastAsia="zh-CN"/>
        </w:rPr>
        <w:t>新乡市本</w:t>
      </w:r>
      <w:r>
        <w:rPr>
          <w:rFonts w:hint="eastAsia" w:ascii="仿宋_GB2312" w:hAnsi="仿宋_GB2312" w:eastAsia="仿宋_GB2312" w:cs="仿宋_GB2312"/>
          <w:bCs/>
          <w:color w:val="000000"/>
        </w:rPr>
        <w:t>级单位政府采购内控管理制度（范本）使用说明</w:t>
      </w:r>
    </w:p>
    <w:p>
      <w:pPr>
        <w:numPr>
          <w:ilvl w:val="0"/>
          <w:numId w:val="0"/>
        </w:numPr>
        <w:tabs>
          <w:tab w:val="decimal" w:pos="-630"/>
          <w:tab w:val="decimal" w:pos="-210"/>
        </w:tabs>
        <w:spacing w:line="580" w:lineRule="exact"/>
        <w:ind w:firstLine="1600" w:firstLineChars="500"/>
        <w:rPr>
          <w:rFonts w:hint="eastAsia" w:ascii="仿宋_GB2312" w:hAnsi="仿宋_GB2312" w:eastAsia="仿宋_GB2312" w:cs="仿宋_GB2312"/>
          <w:bCs/>
          <w:color w:val="000000"/>
          <w:lang w:val="en-US" w:eastAsia="zh-CN"/>
        </w:rPr>
      </w:pPr>
      <w:r>
        <w:rPr>
          <w:rFonts w:hint="eastAsia" w:ascii="仿宋_GB2312" w:hAnsi="仿宋_GB2312" w:eastAsia="仿宋_GB2312" w:cs="仿宋_GB2312"/>
          <w:bCs/>
          <w:color w:val="000000"/>
          <w:lang w:val="en-US" w:eastAsia="zh-CN"/>
        </w:rPr>
        <w:t>3.政府采购项目采购需求</w:t>
      </w:r>
    </w:p>
    <w:p>
      <w:pPr>
        <w:numPr>
          <w:ilvl w:val="0"/>
          <w:numId w:val="0"/>
        </w:numPr>
        <w:tabs>
          <w:tab w:val="decimal" w:pos="-630"/>
          <w:tab w:val="decimal" w:pos="-210"/>
        </w:tabs>
        <w:spacing w:line="580" w:lineRule="exact"/>
        <w:ind w:firstLine="1600" w:firstLineChars="500"/>
        <w:rPr>
          <w:rFonts w:hint="eastAsia" w:ascii="仿宋_GB2312" w:hAnsi="仿宋_GB2312" w:eastAsia="仿宋_GB2312" w:cs="仿宋_GB2312"/>
          <w:bCs/>
          <w:color w:val="000000"/>
          <w:lang w:val="en-US" w:eastAsia="zh-CN"/>
        </w:rPr>
      </w:pPr>
      <w:r>
        <w:rPr>
          <w:rFonts w:hint="eastAsia" w:ascii="仿宋_GB2312" w:hAnsi="仿宋_GB2312" w:eastAsia="仿宋_GB2312" w:cs="仿宋_GB2312"/>
          <w:bCs/>
          <w:color w:val="000000"/>
          <w:lang w:val="en-US" w:eastAsia="zh-CN"/>
        </w:rPr>
        <w:t>4.政府采购项目采购实施计划</w:t>
      </w:r>
    </w:p>
    <w:p>
      <w:pPr>
        <w:numPr>
          <w:ilvl w:val="0"/>
          <w:numId w:val="0"/>
        </w:numPr>
        <w:tabs>
          <w:tab w:val="decimal" w:pos="-630"/>
          <w:tab w:val="decimal" w:pos="-210"/>
        </w:tabs>
        <w:spacing w:line="580" w:lineRule="exact"/>
        <w:ind w:left="1920" w:leftChars="500" w:hanging="320" w:hangingChars="100"/>
        <w:rPr>
          <w:rFonts w:hint="eastAsia" w:ascii="仿宋_GB2312" w:hAnsi="仿宋_GB2312" w:eastAsia="仿宋_GB2312" w:cs="仿宋_GB2312"/>
          <w:bCs/>
          <w:color w:val="000000"/>
          <w:lang w:val="en-US" w:eastAsia="zh-CN"/>
        </w:rPr>
      </w:pPr>
      <w:r>
        <w:rPr>
          <w:rFonts w:hint="eastAsia" w:ascii="仿宋_GB2312" w:hAnsi="仿宋_GB2312" w:eastAsia="仿宋_GB2312" w:cs="仿宋_GB2312"/>
          <w:bCs/>
          <w:color w:val="000000"/>
          <w:lang w:val="en-US" w:eastAsia="zh-CN"/>
        </w:rPr>
        <w:t>5.政府采购项目采购需求和采购实施计划一般性审查意见书</w:t>
      </w:r>
    </w:p>
    <w:p>
      <w:pPr>
        <w:numPr>
          <w:ilvl w:val="0"/>
          <w:numId w:val="0"/>
        </w:numPr>
        <w:tabs>
          <w:tab w:val="decimal" w:pos="-630"/>
          <w:tab w:val="decimal" w:pos="-210"/>
        </w:tabs>
        <w:spacing w:line="580" w:lineRule="exact"/>
        <w:ind w:left="1920" w:leftChars="500" w:hanging="320" w:hangingChars="100"/>
        <w:rPr>
          <w:rFonts w:hint="eastAsia" w:ascii="仿宋_GB2312" w:hAnsi="仿宋_GB2312" w:eastAsia="仿宋_GB2312" w:cs="仿宋_GB2312"/>
          <w:bCs/>
          <w:color w:val="000000"/>
          <w:lang w:val="en-US" w:eastAsia="zh-CN"/>
        </w:rPr>
      </w:pPr>
      <w:r>
        <w:rPr>
          <w:rFonts w:hint="eastAsia" w:ascii="仿宋_GB2312" w:hAnsi="仿宋_GB2312" w:eastAsia="仿宋_GB2312" w:cs="仿宋_GB2312"/>
          <w:bCs/>
          <w:color w:val="000000"/>
          <w:lang w:val="en-US" w:eastAsia="zh-CN"/>
        </w:rPr>
        <w:t>6.政府采购项目采购需求和采购实施计划重点审查意见书</w:t>
      </w:r>
    </w:p>
    <w:p>
      <w:pPr>
        <w:numPr>
          <w:ilvl w:val="0"/>
          <w:numId w:val="0"/>
        </w:numPr>
        <w:tabs>
          <w:tab w:val="decimal" w:pos="-630"/>
          <w:tab w:val="decimal" w:pos="-210"/>
        </w:tabs>
        <w:spacing w:line="580" w:lineRule="exact"/>
        <w:ind w:left="1920" w:leftChars="500" w:hanging="320" w:hangingChars="100"/>
        <w:rPr>
          <w:rFonts w:hint="eastAsia" w:ascii="仿宋_GB2312" w:hAnsi="仿宋_GB2312" w:eastAsia="仿宋_GB2312" w:cs="仿宋_GB2312"/>
          <w:bCs/>
          <w:color w:val="000000"/>
          <w:lang w:val="en-US" w:eastAsia="zh-CN"/>
        </w:rPr>
      </w:pPr>
      <w:r>
        <w:rPr>
          <w:rFonts w:hint="eastAsia" w:ascii="仿宋_GB2312" w:hAnsi="仿宋_GB2312" w:eastAsia="仿宋_GB2312" w:cs="仿宋_GB2312"/>
          <w:bCs/>
          <w:color w:val="000000"/>
          <w:lang w:val="en-US" w:eastAsia="zh-CN"/>
        </w:rPr>
        <w:t>7.新乡市市直政府采购验收报告</w:t>
      </w:r>
    </w:p>
    <w:p>
      <w:pPr>
        <w:numPr>
          <w:ilvl w:val="0"/>
          <w:numId w:val="0"/>
        </w:numPr>
        <w:tabs>
          <w:tab w:val="decimal" w:pos="-630"/>
          <w:tab w:val="decimal" w:pos="-210"/>
        </w:tabs>
        <w:spacing w:line="580" w:lineRule="exact"/>
        <w:ind w:left="1920" w:leftChars="500" w:hanging="320" w:hangingChars="100"/>
        <w:rPr>
          <w:rFonts w:hint="eastAsia" w:ascii="仿宋_GB2312" w:hAnsi="仿宋_GB2312" w:eastAsia="仿宋_GB2312" w:cs="仿宋_GB2312"/>
          <w:bCs/>
          <w:color w:val="000000"/>
          <w:lang w:val="en-US" w:eastAsia="zh-CN"/>
        </w:rPr>
      </w:pPr>
      <w:r>
        <w:rPr>
          <w:rFonts w:hint="eastAsia" w:ascii="仿宋_GB2312" w:hAnsi="仿宋_GB2312" w:eastAsia="仿宋_GB2312" w:cs="仿宋_GB2312"/>
          <w:bCs/>
          <w:color w:val="000000"/>
          <w:lang w:val="en-US" w:eastAsia="zh-CN"/>
        </w:rPr>
        <w:t>8.政府采购简要流程图</w:t>
      </w:r>
    </w:p>
    <w:p>
      <w:pPr>
        <w:spacing w:line="580" w:lineRule="exact"/>
        <w:ind w:firstLine="640" w:firstLineChars="200"/>
        <w:rPr>
          <w:rFonts w:hint="eastAsia" w:ascii="仿宋_GB2312" w:hAnsi="仿宋_GB2312" w:eastAsia="仿宋_GB2312" w:cs="仿宋_GB2312"/>
          <w:bCs/>
          <w:color w:val="000000"/>
        </w:rPr>
      </w:pPr>
    </w:p>
    <w:p>
      <w:pPr>
        <w:spacing w:line="580" w:lineRule="exact"/>
        <w:ind w:firstLine="640" w:firstLineChars="200"/>
        <w:rPr>
          <w:rFonts w:hint="eastAsia" w:ascii="仿宋_GB2312" w:hAnsi="仿宋_GB2312" w:eastAsia="仿宋_GB2312" w:cs="仿宋_GB2312"/>
          <w:bCs/>
          <w:color w:val="000000"/>
        </w:rPr>
      </w:pPr>
    </w:p>
    <w:p>
      <w:pPr>
        <w:spacing w:line="580" w:lineRule="exact"/>
        <w:ind w:firstLine="640" w:firstLineChars="200"/>
        <w:rPr>
          <w:rFonts w:hint="eastAsia" w:ascii="仿宋_GB2312" w:hAnsi="仿宋_GB2312" w:eastAsia="仿宋_GB2312" w:cs="仿宋_GB2312"/>
          <w:bCs/>
          <w:color w:val="000000"/>
        </w:rPr>
      </w:pPr>
    </w:p>
    <w:p>
      <w:pPr>
        <w:spacing w:line="580" w:lineRule="exact"/>
        <w:ind w:firstLine="5280" w:firstLineChars="1650"/>
        <w:rPr>
          <w:rFonts w:hint="eastAsia" w:ascii="仿宋_GB2312" w:hAnsi="仿宋_GB2312" w:eastAsia="仿宋_GB2312" w:cs="仿宋_GB2312"/>
          <w:bCs/>
          <w:color w:val="000000"/>
          <w:lang w:eastAsia="zh-CN"/>
        </w:rPr>
      </w:pPr>
      <w:r>
        <w:rPr>
          <w:rFonts w:hint="eastAsia" w:ascii="仿宋_GB2312" w:hAnsi="仿宋_GB2312" w:eastAsia="仿宋_GB2312" w:cs="仿宋_GB2312"/>
          <w:bCs/>
          <w:color w:val="000000"/>
        </w:rPr>
        <w:t xml:space="preserve"> </w:t>
      </w:r>
      <w:r>
        <w:rPr>
          <w:rFonts w:hint="eastAsia" w:ascii="仿宋_GB2312" w:hAnsi="仿宋_GB2312" w:eastAsia="仿宋_GB2312" w:cs="仿宋_GB2312"/>
          <w:bCs/>
          <w:color w:val="000000"/>
          <w:lang w:eastAsia="zh-CN"/>
        </w:rPr>
        <w:t>新乡市财政局</w:t>
      </w:r>
    </w:p>
    <w:p>
      <w:pPr>
        <w:spacing w:line="580" w:lineRule="exact"/>
        <w:ind w:firstLine="5120" w:firstLineChars="1600"/>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2021年</w:t>
      </w:r>
      <w:r>
        <w:rPr>
          <w:rFonts w:hint="eastAsia" w:ascii="仿宋_GB2312" w:hAnsi="仿宋_GB2312" w:cs="仿宋_GB2312"/>
          <w:bCs/>
          <w:color w:val="000000"/>
          <w:lang w:val="en-US" w:eastAsia="zh-CN"/>
        </w:rPr>
        <w:t>8</w:t>
      </w:r>
      <w:r>
        <w:rPr>
          <w:rFonts w:hint="eastAsia" w:ascii="仿宋_GB2312" w:hAnsi="仿宋_GB2312" w:eastAsia="仿宋_GB2312" w:cs="仿宋_GB2312"/>
          <w:bCs/>
          <w:color w:val="000000"/>
        </w:rPr>
        <w:t>月</w:t>
      </w:r>
      <w:r>
        <w:rPr>
          <w:rFonts w:hint="eastAsia" w:ascii="仿宋_GB2312" w:hAnsi="仿宋_GB2312" w:cs="仿宋_GB2312"/>
          <w:bCs/>
          <w:color w:val="000000"/>
          <w:lang w:val="en-US" w:eastAsia="zh-CN"/>
        </w:rPr>
        <w:t>3</w:t>
      </w:r>
      <w:r>
        <w:rPr>
          <w:rFonts w:hint="eastAsia" w:ascii="仿宋_GB2312" w:hAnsi="仿宋_GB2312" w:eastAsia="仿宋_GB2312" w:cs="仿宋_GB2312"/>
          <w:bCs/>
          <w:color w:val="000000"/>
        </w:rPr>
        <w:t>日</w:t>
      </w:r>
    </w:p>
    <w:p>
      <w:pPr>
        <w:spacing w:line="580" w:lineRule="exact"/>
        <w:rPr>
          <w:rFonts w:hint="eastAsia" w:ascii="仿宋_GB2312" w:hAnsi="仿宋_GB2312" w:eastAsia="仿宋_GB2312" w:cs="仿宋_GB2312"/>
          <w:bCs/>
          <w:color w:val="000000"/>
        </w:rPr>
      </w:pPr>
    </w:p>
    <w:p>
      <w:pPr>
        <w:rPr>
          <w:rFonts w:hint="eastAsia" w:ascii="黑体" w:hAnsi="黑体" w:eastAsia="黑体" w:cs="仿宋_GB2312"/>
          <w:color w:val="000000"/>
        </w:rPr>
      </w:pPr>
      <w:r>
        <w:rPr>
          <w:rFonts w:hint="eastAsia" w:ascii="黑体" w:hAnsi="黑体" w:eastAsia="黑体" w:cs="仿宋_GB2312"/>
          <w:color w:val="000000"/>
        </w:rPr>
        <w:br w:type="page"/>
      </w:r>
    </w:p>
    <w:p>
      <w:pPr>
        <w:spacing w:line="580" w:lineRule="exact"/>
        <w:rPr>
          <w:rFonts w:hint="eastAsia" w:ascii="黑体" w:hAnsi="黑体" w:eastAsia="黑体" w:cs="仿宋_GB2312"/>
          <w:color w:val="000000"/>
        </w:rPr>
      </w:pPr>
      <w:r>
        <w:rPr>
          <w:rFonts w:hint="eastAsia" w:ascii="黑体" w:hAnsi="黑体" w:eastAsia="黑体" w:cs="仿宋_GB2312"/>
          <w:color w:val="000000"/>
        </w:rPr>
        <w:t>附件1</w:t>
      </w:r>
    </w:p>
    <w:p>
      <w:pPr>
        <w:spacing w:line="580" w:lineRule="exact"/>
        <w:rPr>
          <w:rFonts w:hint="eastAsia" w:ascii="黑体" w:hAnsi="黑体" w:eastAsia="黑体" w:cs="仿宋_GB2312"/>
          <w:color w:val="000000"/>
        </w:rPr>
      </w:pPr>
    </w:p>
    <w:p>
      <w:pPr>
        <w:spacing w:line="580" w:lineRule="exact"/>
        <w:jc w:val="center"/>
        <w:rPr>
          <w:rFonts w:hint="eastAsia" w:ascii="方正小标宋简体" w:eastAsia="方正小标宋简体"/>
          <w:bCs/>
          <w:color w:val="000000"/>
        </w:rPr>
      </w:pPr>
      <w:r>
        <w:rPr>
          <w:rFonts w:hint="eastAsia" w:ascii="方正小标宋简体" w:hAnsi="黑体" w:eastAsia="方正小标宋简体"/>
          <w:bCs/>
          <w:color w:val="000000"/>
          <w:sz w:val="44"/>
          <w:szCs w:val="44"/>
          <w:lang w:eastAsia="zh-CN"/>
        </w:rPr>
        <w:t>新乡市本</w:t>
      </w:r>
      <w:r>
        <w:rPr>
          <w:rFonts w:hint="eastAsia" w:ascii="方正小标宋简体" w:hAnsi="黑体" w:eastAsia="方正小标宋简体"/>
          <w:bCs/>
          <w:color w:val="000000"/>
          <w:sz w:val="44"/>
          <w:szCs w:val="44"/>
        </w:rPr>
        <w:t>级</w:t>
      </w:r>
      <w:r>
        <w:rPr>
          <w:rFonts w:hint="eastAsia" w:ascii="方正小标宋简体" w:hAnsi="黑体" w:eastAsia="方正小标宋简体"/>
          <w:bCs/>
          <w:color w:val="000000"/>
          <w:sz w:val="44"/>
          <w:szCs w:val="44"/>
          <w:lang w:eastAsia="zh-CN"/>
        </w:rPr>
        <w:t>预算</w:t>
      </w:r>
      <w:r>
        <w:rPr>
          <w:rFonts w:hint="eastAsia" w:ascii="方正小标宋简体" w:hAnsi="黑体" w:eastAsia="方正小标宋简体"/>
          <w:bCs/>
          <w:color w:val="000000"/>
          <w:sz w:val="44"/>
          <w:szCs w:val="44"/>
        </w:rPr>
        <w:t>单位政府采购内控管理制度（范本）</w:t>
      </w:r>
    </w:p>
    <w:p>
      <w:pPr>
        <w:spacing w:line="580" w:lineRule="exact"/>
        <w:ind w:firstLine="640" w:firstLineChars="200"/>
        <w:jc w:val="center"/>
        <w:rPr>
          <w:rFonts w:hint="eastAsia" w:eastAsia="仿宋"/>
          <w:bCs/>
          <w:color w:val="000000"/>
        </w:rPr>
      </w:pPr>
    </w:p>
    <w:p>
      <w:pPr>
        <w:spacing w:line="580" w:lineRule="exact"/>
        <w:ind w:firstLine="640" w:firstLineChars="200"/>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为进一步规范本单位政府采购内部权力运行，有效防范法律风险和廉政风险，推进依法、规范、高效、廉洁采购，根据政府采购法律法规规章制度、行政事业单位内控管理要求以及《财政部关于加强政府采购活动内部控制管理的指导意见》（财库〔2016〕99号）、</w:t>
      </w:r>
      <w:r>
        <w:rPr>
          <w:rFonts w:hint="eastAsia" w:ascii="仿宋_GB2312" w:hAnsi="仿宋_GB2312" w:eastAsia="仿宋_GB2312" w:cs="仿宋_GB2312"/>
          <w:bCs/>
          <w:color w:val="000000"/>
          <w:lang w:eastAsia="zh-CN"/>
        </w:rPr>
        <w:t>《政府采购需求管理办法》、《新乡市财政局关于进一步加强采购人政府采购内部控制管理制度建设暨印发</w:t>
      </w:r>
      <w:r>
        <w:rPr>
          <w:rFonts w:hint="eastAsia" w:ascii="仿宋_GB2312" w:hAnsi="仿宋_GB2312" w:eastAsia="仿宋_GB2312" w:cs="仿宋_GB2312"/>
          <w:bCs/>
          <w:color w:val="000000"/>
          <w:lang w:val="en-US" w:eastAsia="zh-CN"/>
        </w:rPr>
        <w:t>&lt;</w:t>
      </w:r>
      <w:r>
        <w:rPr>
          <w:rFonts w:hint="eastAsia" w:ascii="仿宋_GB2312" w:hAnsi="仿宋_GB2312" w:eastAsia="仿宋_GB2312" w:cs="仿宋_GB2312"/>
          <w:bCs/>
          <w:color w:val="000000"/>
          <w:lang w:eastAsia="zh-CN"/>
        </w:rPr>
        <w:t>采购人政府采购业务内控风险指引纲要（试行）</w:t>
      </w:r>
      <w:r>
        <w:rPr>
          <w:rFonts w:hint="eastAsia" w:ascii="仿宋_GB2312" w:hAnsi="仿宋_GB2312" w:eastAsia="仿宋_GB2312" w:cs="仿宋_GB2312"/>
          <w:bCs/>
          <w:color w:val="000000"/>
          <w:lang w:val="en-US" w:eastAsia="zh-CN"/>
        </w:rPr>
        <w:t>&gt;</w:t>
      </w:r>
      <w:r>
        <w:rPr>
          <w:rFonts w:hint="eastAsia" w:ascii="仿宋_GB2312" w:hAnsi="仿宋_GB2312" w:eastAsia="仿宋_GB2312" w:cs="仿宋_GB2312"/>
          <w:bCs/>
          <w:color w:val="000000"/>
          <w:lang w:eastAsia="zh-CN"/>
        </w:rPr>
        <w:t>的通知》（新财购</w:t>
      </w:r>
      <w:r>
        <w:rPr>
          <w:rFonts w:hint="eastAsia" w:ascii="仿宋_GB2312" w:hAnsi="仿宋_GB2312" w:eastAsia="仿宋_GB2312" w:cs="仿宋_GB2312"/>
          <w:bCs/>
          <w:color w:val="000000"/>
        </w:rPr>
        <w:t>〔20</w:t>
      </w:r>
      <w:r>
        <w:rPr>
          <w:rFonts w:hint="eastAsia" w:ascii="仿宋_GB2312" w:hAnsi="仿宋_GB2312" w:eastAsia="仿宋_GB2312" w:cs="仿宋_GB2312"/>
          <w:bCs/>
          <w:color w:val="000000"/>
          <w:lang w:val="en-US" w:eastAsia="zh-CN"/>
        </w:rPr>
        <w:t>20</w:t>
      </w:r>
      <w:r>
        <w:rPr>
          <w:rFonts w:hint="eastAsia" w:ascii="仿宋_GB2312" w:hAnsi="仿宋_GB2312" w:eastAsia="仿宋_GB2312" w:cs="仿宋_GB2312"/>
          <w:bCs/>
          <w:color w:val="000000"/>
        </w:rPr>
        <w:t>〕</w:t>
      </w:r>
      <w:r>
        <w:rPr>
          <w:rFonts w:hint="eastAsia" w:ascii="仿宋_GB2312" w:hAnsi="仿宋_GB2312" w:eastAsia="仿宋_GB2312" w:cs="仿宋_GB2312"/>
          <w:bCs/>
          <w:color w:val="000000"/>
          <w:lang w:val="en-US" w:eastAsia="zh-CN"/>
        </w:rPr>
        <w:t>7</w:t>
      </w:r>
      <w:r>
        <w:rPr>
          <w:rFonts w:hint="eastAsia" w:ascii="仿宋_GB2312" w:hAnsi="仿宋_GB2312" w:eastAsia="仿宋_GB2312" w:cs="仿宋_GB2312"/>
          <w:bCs/>
          <w:color w:val="000000"/>
        </w:rPr>
        <w:t>号</w:t>
      </w:r>
      <w:r>
        <w:rPr>
          <w:rFonts w:hint="eastAsia" w:ascii="仿宋_GB2312" w:hAnsi="仿宋_GB2312" w:eastAsia="仿宋_GB2312" w:cs="仿宋_GB2312"/>
          <w:bCs/>
          <w:color w:val="000000"/>
          <w:lang w:eastAsia="zh-CN"/>
        </w:rPr>
        <w:t>）</w:t>
      </w:r>
      <w:r>
        <w:rPr>
          <w:rFonts w:hint="eastAsia" w:ascii="仿宋_GB2312" w:hAnsi="仿宋_GB2312" w:eastAsia="仿宋_GB2312" w:cs="仿宋_GB2312"/>
          <w:bCs/>
          <w:color w:val="000000"/>
        </w:rPr>
        <w:t>等相关规定,结合本单位实际，制定本制度。</w:t>
      </w:r>
    </w:p>
    <w:p>
      <w:pPr>
        <w:spacing w:line="580" w:lineRule="exact"/>
        <w:ind w:firstLine="640" w:firstLineChars="200"/>
        <w:rPr>
          <w:rFonts w:hint="eastAsia" w:ascii="黑体" w:eastAsia="黑体" w:cs="仿宋_GB2312"/>
          <w:bCs/>
        </w:rPr>
      </w:pPr>
      <w:r>
        <w:rPr>
          <w:rFonts w:hint="eastAsia" w:ascii="黑体" w:eastAsia="黑体" w:cs="仿宋_GB2312"/>
          <w:bCs/>
        </w:rPr>
        <w:t>一、总体目标</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按照“全面管控与突出重点并举、分工制衡与提升效能并重、权责对等与依法惩处并行”的基本原则，以“分事行权、分岗设权、分级授权”为主线，通过建立健全制度机制、规范流程、完善措施，做到约束机制健全、权力运行规范、风险控制有力、监督问责到位，实现对政府采购活动内部权力运行的有效制约，促进本单位政府采购提质增效。</w:t>
      </w:r>
    </w:p>
    <w:p>
      <w:pPr>
        <w:spacing w:line="580" w:lineRule="exact"/>
        <w:ind w:firstLine="640" w:firstLineChars="200"/>
        <w:rPr>
          <w:rFonts w:hint="eastAsia" w:ascii="黑体" w:eastAsia="黑体"/>
          <w:bCs/>
          <w:color w:val="000000"/>
        </w:rPr>
      </w:pPr>
      <w:r>
        <w:rPr>
          <w:rFonts w:hint="eastAsia" w:ascii="黑体" w:eastAsia="黑体" w:cs="黑体"/>
          <w:bCs/>
          <w:color w:val="000000"/>
        </w:rPr>
        <w:t>二、适用范围</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本办法适用于本单位政府采购活动的内控管理（提示：主管单位对下属单位实行财务集中统一管理或者下属单位不具备实现内控管理条件的，适用范围可包含下属单位，但不能取代下属单位采购人主体地位）。</w:t>
      </w:r>
    </w:p>
    <w:p>
      <w:pPr>
        <w:spacing w:line="580" w:lineRule="exact"/>
        <w:ind w:firstLine="640" w:firstLineChars="200"/>
        <w:rPr>
          <w:rFonts w:hint="eastAsia" w:ascii="黑体" w:eastAsia="黑体"/>
          <w:bCs/>
        </w:rPr>
      </w:pPr>
      <w:r>
        <w:rPr>
          <w:rFonts w:hint="eastAsia" w:ascii="黑体" w:eastAsia="黑体" w:cs="黑体"/>
          <w:bCs/>
        </w:rPr>
        <w:t>三、政府采购的范围</w:t>
      </w:r>
    </w:p>
    <w:p>
      <w:pPr>
        <w:spacing w:line="580" w:lineRule="exact"/>
        <w:ind w:firstLine="642" w:firstLineChars="200"/>
        <w:rPr>
          <w:rFonts w:hint="eastAsia" w:ascii="仿宋_GB2312" w:hAnsi="仿宋_GB2312" w:eastAsia="仿宋_GB2312" w:cs="仿宋_GB2312"/>
          <w:bCs/>
        </w:rPr>
      </w:pPr>
      <w:r>
        <w:rPr>
          <w:rFonts w:hint="eastAsia" w:ascii="楷体_GB2312" w:eastAsia="楷体_GB2312" w:cs="楷体_GB2312"/>
          <w:b/>
          <w:bCs/>
        </w:rPr>
        <w:t>政府采购</w:t>
      </w:r>
      <w:r>
        <w:rPr>
          <w:rFonts w:hint="eastAsia" w:ascii="仿宋" w:eastAsia="仿宋" w:cs="仿宋_GB2312"/>
          <w:bCs/>
        </w:rPr>
        <w:t>：</w:t>
      </w:r>
      <w:r>
        <w:rPr>
          <w:rFonts w:hint="eastAsia" w:ascii="仿宋_GB2312" w:hAnsi="仿宋_GB2312" w:eastAsia="仿宋_GB2312" w:cs="仿宋_GB2312"/>
          <w:bCs/>
        </w:rPr>
        <w:t>是指本单位使用财政性资金采购依法制定的政府集中采购目录以内或者采购限额标准以上的货物、工程和服务的行为。</w:t>
      </w:r>
    </w:p>
    <w:p>
      <w:pPr>
        <w:spacing w:line="580" w:lineRule="exact"/>
        <w:ind w:firstLine="642" w:firstLineChars="200"/>
        <w:rPr>
          <w:rFonts w:hint="eastAsia" w:ascii="仿宋_GB2312" w:hAnsi="仿宋_GB2312" w:eastAsia="仿宋_GB2312" w:cs="仿宋_GB2312"/>
          <w:bCs/>
        </w:rPr>
      </w:pPr>
      <w:r>
        <w:rPr>
          <w:rFonts w:hint="eastAsia" w:ascii="楷体_GB2312" w:eastAsia="楷体_GB2312" w:cs="楷体_GB2312"/>
          <w:b/>
          <w:bCs w:val="0"/>
        </w:rPr>
        <w:t>（一）财政性资金：</w:t>
      </w:r>
      <w:r>
        <w:rPr>
          <w:rFonts w:hint="eastAsia" w:ascii="仿宋_GB2312" w:hAnsi="仿宋_GB2312" w:eastAsia="仿宋_GB2312" w:cs="仿宋_GB2312"/>
          <w:bCs/>
        </w:rPr>
        <w:t>是指纳入预算管理的资金。以财政性资金作为还款来源的借贷资金，视同财政性资金。采购项目既使用财政性资金又使用非财政性资金的，使用财政性资金采购的部分，适用政府采购；财政性资金与非财政性资金无法分割采购的，统一适用政府采购。</w:t>
      </w:r>
    </w:p>
    <w:p>
      <w:pPr>
        <w:spacing w:line="580" w:lineRule="exact"/>
        <w:ind w:firstLine="642" w:firstLineChars="200"/>
        <w:rPr>
          <w:rFonts w:hint="eastAsia" w:ascii="仿宋" w:eastAsia="仿宋" w:cs="仿宋_GB2312"/>
          <w:bCs/>
        </w:rPr>
      </w:pPr>
      <w:r>
        <w:rPr>
          <w:rFonts w:hint="eastAsia" w:ascii="楷体_GB2312" w:eastAsia="楷体_GB2312" w:cs="楷体_GB2312"/>
          <w:b/>
          <w:bCs w:val="0"/>
        </w:rPr>
        <w:t>（二）采购：</w:t>
      </w:r>
      <w:r>
        <w:rPr>
          <w:rFonts w:hint="eastAsia" w:ascii="仿宋_GB2312" w:hAnsi="仿宋_GB2312" w:eastAsia="仿宋_GB2312" w:cs="仿宋_GB2312"/>
          <w:bCs/>
        </w:rPr>
        <w:t>是指以合同方式有偿取得货物、工程和服务的行为，包括购买、租赁、委托、雇用等。</w:t>
      </w:r>
    </w:p>
    <w:p>
      <w:pPr>
        <w:spacing w:line="580" w:lineRule="exact"/>
        <w:ind w:firstLine="642" w:firstLineChars="200"/>
        <w:rPr>
          <w:rFonts w:hint="eastAsia" w:ascii="仿宋_GB2312"/>
          <w:bCs/>
        </w:rPr>
      </w:pPr>
      <w:r>
        <w:rPr>
          <w:rFonts w:hint="eastAsia" w:ascii="楷体_GB2312" w:eastAsia="楷体_GB2312" w:cs="楷体_GB2312"/>
          <w:b/>
          <w:bCs w:val="0"/>
        </w:rPr>
        <w:t>（三）依法制定的政府集中采购目录以内或者采购限额标准以上：</w:t>
      </w:r>
      <w:r>
        <w:rPr>
          <w:rFonts w:hint="eastAsia" w:ascii="仿宋_GB2312" w:hAnsi="仿宋_GB2312" w:eastAsia="仿宋_GB2312" w:cs="仿宋_GB2312"/>
          <w:bCs/>
        </w:rPr>
        <w:t>是指经省政府同意后发布的《</w:t>
      </w:r>
      <w:r>
        <w:rPr>
          <w:rFonts w:hint="eastAsia" w:ascii="仿宋_GB2312" w:hAnsi="仿宋_GB2312" w:eastAsia="仿宋_GB2312" w:cs="仿宋_GB2312"/>
          <w:bCs/>
          <w:lang w:eastAsia="zh-CN"/>
        </w:rPr>
        <w:t>河南</w:t>
      </w:r>
      <w:r>
        <w:rPr>
          <w:rFonts w:hint="eastAsia" w:ascii="仿宋_GB2312" w:hAnsi="仿宋_GB2312" w:eastAsia="仿宋_GB2312" w:cs="仿宋_GB2312"/>
          <w:bCs/>
        </w:rPr>
        <w:t>省政府集中采购目录及标准》中的政府集中采购目录和采购限额标准。</w:t>
      </w:r>
    </w:p>
    <w:p>
      <w:pPr>
        <w:spacing w:line="580" w:lineRule="exact"/>
        <w:ind w:firstLine="642" w:firstLineChars="200"/>
        <w:rPr>
          <w:rFonts w:hint="eastAsia" w:ascii="仿宋_GB2312" w:hAnsi="仿宋_GB2312" w:eastAsia="仿宋_GB2312" w:cs="仿宋_GB2312"/>
          <w:bCs/>
        </w:rPr>
      </w:pPr>
      <w:r>
        <w:rPr>
          <w:rFonts w:hint="eastAsia" w:ascii="楷体_GB2312" w:eastAsia="楷体_GB2312" w:cs="楷体_GB2312"/>
          <w:b/>
          <w:bCs w:val="0"/>
        </w:rPr>
        <w:t>（四）货物：</w:t>
      </w:r>
      <w:r>
        <w:rPr>
          <w:rFonts w:hint="eastAsia" w:ascii="仿宋_GB2312" w:hAnsi="仿宋_GB2312" w:eastAsia="仿宋_GB2312" w:cs="仿宋_GB2312"/>
          <w:bCs/>
        </w:rPr>
        <w:t>是指各种形态和种类的物品，包括原材料、燃料、设备、产品等。</w:t>
      </w:r>
    </w:p>
    <w:p>
      <w:pPr>
        <w:spacing w:line="580" w:lineRule="exact"/>
        <w:ind w:firstLine="642" w:firstLineChars="200"/>
        <w:rPr>
          <w:rFonts w:hint="eastAsia" w:ascii="仿宋_GB2312" w:hAnsi="仿宋_GB2312" w:eastAsia="仿宋_GB2312" w:cs="仿宋_GB2312"/>
          <w:bCs/>
        </w:rPr>
      </w:pPr>
      <w:r>
        <w:rPr>
          <w:rFonts w:hint="eastAsia" w:ascii="楷体_GB2312" w:eastAsia="楷体_GB2312" w:cs="楷体_GB2312"/>
          <w:b/>
          <w:bCs w:val="0"/>
        </w:rPr>
        <w:t>（五）工程：</w:t>
      </w:r>
      <w:r>
        <w:rPr>
          <w:rFonts w:hint="eastAsia" w:ascii="仿宋_GB2312" w:hAnsi="仿宋_GB2312" w:eastAsia="仿宋_GB2312" w:cs="仿宋_GB2312"/>
          <w:bCs/>
        </w:rPr>
        <w:t>是指建设工程，包括建筑物和构筑物的新建、改建、扩建、装修、拆除、修缮等。</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政府采购工程以及与工程建设有关的货物、服务，采用招标方式采购的，适用《中华人民共和国招标投标法》及其实施条例；采用其他方式采购的，适用政府采购法及其实施条例。</w:t>
      </w:r>
    </w:p>
    <w:p>
      <w:pPr>
        <w:spacing w:line="580" w:lineRule="exact"/>
        <w:ind w:firstLine="642" w:firstLineChars="200"/>
        <w:rPr>
          <w:rFonts w:hint="eastAsia" w:ascii="仿宋_GB2312" w:hAnsi="仿宋_GB2312" w:eastAsia="仿宋_GB2312" w:cs="仿宋_GB2312"/>
          <w:bCs/>
        </w:rPr>
      </w:pPr>
      <w:r>
        <w:rPr>
          <w:rFonts w:hint="eastAsia" w:ascii="楷体_GB2312" w:eastAsia="楷体_GB2312" w:cs="楷体_GB2312"/>
          <w:b/>
          <w:bCs w:val="0"/>
        </w:rPr>
        <w:t>（六）服务：</w:t>
      </w:r>
      <w:r>
        <w:rPr>
          <w:rFonts w:hint="eastAsia" w:ascii="仿宋_GB2312" w:hAnsi="仿宋_GB2312" w:eastAsia="仿宋_GB2312" w:cs="仿宋_GB2312"/>
          <w:bCs/>
        </w:rPr>
        <w:t xml:space="preserve">是指除货物和工程以外的其他政府采购对象，包括政府自身需要的服务和政府向社会公众提供的公共服务。 </w:t>
      </w:r>
    </w:p>
    <w:p>
      <w:pPr>
        <w:spacing w:line="580" w:lineRule="exact"/>
        <w:ind w:firstLine="642" w:firstLineChars="200"/>
        <w:rPr>
          <w:rFonts w:hint="eastAsia" w:ascii="楷体_GB2312" w:eastAsia="楷体_GB2312" w:cs="楷体_GB2312"/>
          <w:b/>
          <w:bCs w:val="0"/>
        </w:rPr>
      </w:pPr>
      <w:r>
        <w:rPr>
          <w:rFonts w:hint="eastAsia" w:ascii="楷体_GB2312" w:eastAsia="楷体_GB2312" w:cs="楷体_GB2312"/>
          <w:b/>
          <w:bCs w:val="0"/>
        </w:rPr>
        <w:t>（七）有关认定标准</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政府采购的认定标准：本单位在一个财政年度内，同一个预算项目下的同一采购品目汇总预算金额达到</w:t>
      </w:r>
      <w:r>
        <w:rPr>
          <w:rFonts w:hint="eastAsia" w:ascii="仿宋_GB2312" w:hAnsi="仿宋_GB2312" w:eastAsia="仿宋_GB2312" w:cs="仿宋_GB2312"/>
          <w:bCs/>
          <w:lang w:eastAsia="zh-CN"/>
        </w:rPr>
        <w:t>河南</w:t>
      </w:r>
      <w:r>
        <w:rPr>
          <w:rFonts w:hint="eastAsia" w:ascii="仿宋_GB2312" w:hAnsi="仿宋_GB2312" w:eastAsia="仿宋_GB2312" w:cs="仿宋_GB2312"/>
          <w:bCs/>
        </w:rPr>
        <w:t>省现行政府集中采购目录或者采购限额标准规定的相应数额标准；一个采购项目资金来源于多个预算项目，按照汇总后的预算金额计算相应数额标准。</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一个预算项目的认定标准：一般指部门预算项目库中的一个项目或者财政部门预算批复文件中明确的一个项目。</w:t>
      </w:r>
    </w:p>
    <w:p>
      <w:pPr>
        <w:spacing w:line="580" w:lineRule="exact"/>
        <w:ind w:firstLine="640" w:firstLineChars="200"/>
        <w:rPr>
          <w:rFonts w:hint="eastAsia" w:eastAsia="仿宋"/>
          <w:bCs/>
        </w:rPr>
      </w:pPr>
      <w:r>
        <w:rPr>
          <w:rFonts w:hint="eastAsia" w:ascii="仿宋_GB2312" w:hAnsi="仿宋_GB2312" w:eastAsia="仿宋_GB2312" w:cs="仿宋_GB2312"/>
          <w:bCs/>
        </w:rPr>
        <w:t>采购品目的认定标准：按照有利于项目实施的原则确定项目属性。参考财政部2013年《政府采购品目分类目录》对项目属性进行理解和分类。</w:t>
      </w:r>
      <w:r>
        <w:rPr>
          <w:rFonts w:hint="eastAsia" w:eastAsia="仿宋"/>
          <w:bCs/>
        </w:rPr>
        <w:t>（</w:t>
      </w:r>
      <w:r>
        <w:rPr>
          <w:rFonts w:hint="eastAsia" w:eastAsia="仿宋"/>
          <w:b/>
          <w:bCs/>
        </w:rPr>
        <w:t>提示：</w:t>
      </w:r>
      <w:r>
        <w:rPr>
          <w:rFonts w:hint="eastAsia" w:ascii="仿宋_GB2312" w:hAnsi="仿宋_GB2312" w:eastAsia="仿宋_GB2312" w:cs="仿宋_GB2312"/>
          <w:bCs/>
        </w:rPr>
        <w:t>下一步预算管理一体化平台上线后，采购品目认定标准可能发生变化，以后续工作通知要求为准</w:t>
      </w:r>
      <w:r>
        <w:rPr>
          <w:rFonts w:hint="eastAsia" w:eastAsia="仿宋"/>
          <w:bCs/>
        </w:rPr>
        <w:t>）</w:t>
      </w:r>
    </w:p>
    <w:p>
      <w:pPr>
        <w:spacing w:line="580" w:lineRule="exact"/>
        <w:ind w:firstLine="640" w:firstLineChars="200"/>
        <w:rPr>
          <w:rFonts w:hint="eastAsia" w:ascii="黑体" w:eastAsia="黑体" w:cs="黑体"/>
          <w:bCs/>
        </w:rPr>
      </w:pPr>
      <w:r>
        <w:rPr>
          <w:rFonts w:hint="eastAsia" w:ascii="黑体" w:eastAsia="黑体" w:cs="黑体"/>
          <w:bCs/>
        </w:rPr>
        <w:t>四、组织架构及责任分工</w:t>
      </w:r>
    </w:p>
    <w:p>
      <w:pPr>
        <w:spacing w:line="580" w:lineRule="exact"/>
        <w:ind w:firstLine="642" w:firstLineChars="200"/>
        <w:rPr>
          <w:rFonts w:hint="eastAsia" w:eastAsia="仿宋"/>
          <w:b/>
          <w:bCs w:val="0"/>
        </w:rPr>
      </w:pPr>
      <w:r>
        <w:rPr>
          <w:rFonts w:hint="eastAsia" w:ascii="楷体_GB2312" w:eastAsia="楷体_GB2312" w:cs="楷体_GB2312"/>
          <w:b/>
          <w:bCs w:val="0"/>
        </w:rPr>
        <w:t>（一）政府采购领导小组</w:t>
      </w:r>
    </w:p>
    <w:p>
      <w:pPr>
        <w:spacing w:line="580" w:lineRule="exact"/>
        <w:ind w:firstLine="640" w:firstLineChars="200"/>
        <w:rPr>
          <w:rFonts w:hint="eastAsia" w:ascii="仿宋_GB2312" w:hAnsi="仿宋_GB2312" w:eastAsia="仿宋_GB2312" w:cs="仿宋_GB2312"/>
          <w:bCs/>
          <w:lang w:eastAsia="zh-CN"/>
        </w:rPr>
      </w:pPr>
      <w:r>
        <w:rPr>
          <w:rFonts w:hint="eastAsia" w:ascii="仿宋_GB2312" w:hAnsi="仿宋_GB2312" w:eastAsia="仿宋_GB2312" w:cs="仿宋_GB2312"/>
          <w:bCs/>
        </w:rPr>
        <w:t>采购项目数量多、项目类别多的部门、系统，设立政府采购领导小组；不具备条件的，可采取单位办公会、党委党组会集体决策</w:t>
      </w:r>
      <w:r>
        <w:rPr>
          <w:rFonts w:hint="eastAsia" w:ascii="仿宋_GB2312" w:hAnsi="仿宋_GB2312" w:eastAsia="仿宋_GB2312" w:cs="仿宋_GB2312"/>
          <w:bCs/>
          <w:lang w:eastAsia="zh-CN"/>
        </w:rPr>
        <w:t>，确定相关部门或相关人员落实。</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政府采购领导小组主要负责对本单位政府采购活动中的相关事项进行协调、审议和决策。领导小组组长由单位主要领导或者分管政府采购工作的领导担任，成员由本单位政府采购业务归口管理部门和内设财务、资产、法制、审计和相关业务需求部门组成。领导小组办公室设在本单位政府采购业务归口管理部门。</w:t>
      </w:r>
    </w:p>
    <w:p>
      <w:pPr>
        <w:spacing w:line="580" w:lineRule="exact"/>
        <w:ind w:firstLine="642" w:firstLineChars="200"/>
        <w:rPr>
          <w:rFonts w:hint="eastAsia" w:ascii="楷体_GB2312" w:eastAsia="楷体_GB2312" w:cs="楷体_GB2312"/>
          <w:b/>
          <w:bCs w:val="0"/>
        </w:rPr>
      </w:pPr>
      <w:r>
        <w:rPr>
          <w:rFonts w:hint="eastAsia" w:ascii="楷体_GB2312" w:eastAsia="楷体_GB2312" w:cs="楷体_GB2312"/>
          <w:b/>
          <w:bCs w:val="0"/>
        </w:rPr>
        <w:t>（二）归口管理部门</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lang w:eastAsia="zh-CN"/>
        </w:rPr>
        <w:t>市本级</w:t>
      </w:r>
      <w:r>
        <w:rPr>
          <w:rFonts w:hint="eastAsia" w:ascii="仿宋_GB2312" w:hAnsi="仿宋_GB2312" w:eastAsia="仿宋_GB2312" w:cs="仿宋_GB2312"/>
          <w:bCs/>
        </w:rPr>
        <w:t>各</w:t>
      </w:r>
      <w:r>
        <w:rPr>
          <w:rFonts w:hint="eastAsia" w:ascii="仿宋_GB2312" w:hAnsi="仿宋_GB2312" w:eastAsia="仿宋_GB2312" w:cs="仿宋_GB2312"/>
          <w:bCs/>
          <w:lang w:eastAsia="zh-CN"/>
        </w:rPr>
        <w:t>预算</w:t>
      </w:r>
      <w:r>
        <w:rPr>
          <w:rFonts w:hint="eastAsia" w:ascii="仿宋_GB2312" w:hAnsi="仿宋_GB2312" w:eastAsia="仿宋_GB2312" w:cs="仿宋_GB2312"/>
          <w:bCs/>
        </w:rPr>
        <w:t>单位应当指定某一内设机构为政府采购业务归口管理部门，具备条件的也可单独设立专门机构，配备专职人员，</w:t>
      </w:r>
      <w:r>
        <w:rPr>
          <w:rFonts w:hint="eastAsia" w:ascii="仿宋_GB2312" w:hAnsi="仿宋_GB2312" w:eastAsia="仿宋_GB2312" w:cs="仿宋_GB2312"/>
          <w:bCs/>
          <w:lang w:eastAsia="zh-CN"/>
        </w:rPr>
        <w:t>不具备条件的，应明确一至两名政府采购管理员，</w:t>
      </w:r>
      <w:r>
        <w:rPr>
          <w:rFonts w:hint="eastAsia" w:ascii="仿宋_GB2312" w:hAnsi="仿宋_GB2312" w:eastAsia="仿宋_GB2312" w:cs="仿宋_GB2312"/>
          <w:bCs/>
        </w:rPr>
        <w:t>作为政府采购业务归口管理部门，负责本单位政府采购的执行管理和对外沟通协调，指导和督促下属单位政府采购工作，具体职责如下：</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1.牵头负责建立健全本单位政府采购内部控制制度机制，并督促指导执行。主管预算单位，</w:t>
      </w:r>
      <w:r>
        <w:rPr>
          <w:rFonts w:hint="eastAsia" w:ascii="仿宋_GB2312" w:hAnsi="仿宋_GB2312" w:eastAsia="仿宋_GB2312" w:cs="仿宋_GB2312"/>
          <w:bCs/>
          <w:lang w:eastAsia="zh-CN"/>
        </w:rPr>
        <w:t>应</w:t>
      </w:r>
      <w:r>
        <w:rPr>
          <w:rFonts w:hint="eastAsia" w:ascii="仿宋_GB2312" w:hAnsi="仿宋_GB2312" w:eastAsia="仿宋_GB2312" w:cs="仿宋_GB2312"/>
          <w:bCs/>
        </w:rPr>
        <w:t>督促指导下属单位加强政府采购内控管理</w:t>
      </w:r>
      <w:r>
        <w:rPr>
          <w:rFonts w:hint="eastAsia" w:ascii="仿宋_GB2312" w:hAnsi="仿宋_GB2312" w:eastAsia="仿宋_GB2312" w:cs="仿宋_GB2312"/>
          <w:bCs/>
          <w:lang w:eastAsia="zh-CN"/>
        </w:rPr>
        <w:t>。</w:t>
      </w:r>
      <w:r>
        <w:rPr>
          <w:rFonts w:hint="eastAsia" w:ascii="仿宋_GB2312" w:hAnsi="仿宋_GB2312" w:eastAsia="仿宋_GB2312" w:cs="仿宋_GB2312"/>
          <w:bCs/>
        </w:rPr>
        <w:t>（提示：具备条件的，可将政府采购内控管理要求融入到本单位电子化办公平台</w:t>
      </w:r>
      <w:r>
        <w:rPr>
          <w:rFonts w:hint="eastAsia" w:ascii="仿宋_GB2312" w:hAnsi="仿宋_GB2312" w:eastAsia="仿宋_GB2312" w:cs="仿宋_GB2312"/>
          <w:bCs/>
          <w:lang w:eastAsia="zh-CN"/>
        </w:rPr>
        <w:t>。</w:t>
      </w:r>
      <w:r>
        <w:rPr>
          <w:rFonts w:hint="eastAsia" w:ascii="仿宋_GB2312" w:hAnsi="仿宋_GB2312" w:eastAsia="仿宋_GB2312" w:cs="仿宋_GB2312"/>
          <w:bCs/>
        </w:rPr>
        <w:t xml:space="preserve">） </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2.负责组织政府采购法律法规规章制度的学习培训、宣传和督促执行；参加主管预算单位、</w:t>
      </w:r>
      <w:r>
        <w:rPr>
          <w:rFonts w:hint="eastAsia" w:ascii="仿宋_GB2312" w:hAnsi="仿宋_GB2312" w:eastAsia="仿宋_GB2312" w:cs="仿宋_GB2312"/>
          <w:bCs/>
          <w:lang w:eastAsia="zh-CN"/>
        </w:rPr>
        <w:t>财政局</w:t>
      </w:r>
      <w:r>
        <w:rPr>
          <w:rFonts w:hint="eastAsia" w:ascii="仿宋_GB2312" w:hAnsi="仿宋_GB2312" w:eastAsia="仿宋_GB2312" w:cs="仿宋_GB2312"/>
          <w:bCs/>
        </w:rPr>
        <w:t>等组织的学习培训、业务研讨、咨询论证。</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3.牵头组织开展政府采购活动，负责推动落实采购人主体责任。主要包括：汇总审核预算项目中的政府采购预算；组织审查采购需求和采购实施计划，统筹安排本单位政府采购项目执行进度；组织本部门（系统）预留采购份额面向中小企业采购，落实支持中小企业发展政策；负责采购代理机构的选择、委托、协调和日常管理；组织采购活动中涉及的采购意向、单一来源采购论证、采购公告、结果公告、合同公告、履约验收和促进中小企业采购执行情况等信息的公开；组织委派采购人代表、现场监督人员和自行选定评审专家；组织确认采购文件和采购结果、签订采购合同、履约验收；组织采购方式变更、进口产品采购涉及的报批工作；组织处理应由采购人答复的询问、质疑和配合财政部门投诉处理、监督检查等工作。</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4.负责政府采购业务系统的账号密码、数字证书、电子签名和电子印章等的办理、保管和使用管理，负责系统操作，完成政府采购信息统计工作。</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5.负责政府采购项目等相关档案（含电子档案）资料的收集、整理，移交档案室归档。</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6.负责对接主管预算单位的归口管理部门或者</w:t>
      </w:r>
      <w:r>
        <w:rPr>
          <w:rFonts w:hint="eastAsia" w:ascii="仿宋_GB2312" w:hAnsi="仿宋_GB2312" w:eastAsia="仿宋_GB2312" w:cs="仿宋_GB2312"/>
          <w:bCs/>
          <w:lang w:eastAsia="zh-CN"/>
        </w:rPr>
        <w:t>财政局</w:t>
      </w:r>
      <w:r>
        <w:rPr>
          <w:rFonts w:hint="eastAsia" w:ascii="仿宋_GB2312" w:hAnsi="仿宋_GB2312" w:eastAsia="仿宋_GB2312" w:cs="仿宋_GB2312"/>
          <w:bCs/>
        </w:rPr>
        <w:t>采购</w:t>
      </w:r>
      <w:r>
        <w:rPr>
          <w:rFonts w:hint="eastAsia" w:ascii="仿宋_GB2312" w:hAnsi="仿宋_GB2312" w:eastAsia="仿宋_GB2312" w:cs="仿宋_GB2312"/>
          <w:bCs/>
          <w:lang w:eastAsia="zh-CN"/>
        </w:rPr>
        <w:t>科</w:t>
      </w:r>
      <w:r>
        <w:rPr>
          <w:rFonts w:hint="eastAsia" w:ascii="仿宋_GB2312" w:hAnsi="仿宋_GB2312" w:eastAsia="仿宋_GB2312" w:cs="仿宋_GB2312"/>
          <w:bCs/>
        </w:rPr>
        <w:t>，办理日常资料报送、业务咨询、审核、审批等业务。</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7.单位领导或者领导小组交办的其他工作事宜。</w:t>
      </w:r>
    </w:p>
    <w:p>
      <w:pPr>
        <w:spacing w:line="580" w:lineRule="exact"/>
        <w:ind w:firstLine="642" w:firstLineChars="200"/>
        <w:rPr>
          <w:rFonts w:hint="eastAsia" w:ascii="楷体_GB2312" w:eastAsia="楷体_GB2312" w:cs="楷体_GB2312"/>
          <w:b/>
          <w:bCs w:val="0"/>
        </w:rPr>
      </w:pPr>
      <w:r>
        <w:rPr>
          <w:rFonts w:hint="eastAsia" w:ascii="楷体_GB2312" w:eastAsia="楷体_GB2312" w:cs="楷体_GB2312"/>
          <w:b/>
          <w:bCs w:val="0"/>
        </w:rPr>
        <w:t>（三）业务需求部门</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业务需求部门是政府采购项目采购需求的提出或者使用部门，主要负责项目预算申报或者立项、采购需求管理和履约验收评价等工作，具体职责如下：</w:t>
      </w:r>
      <w:r>
        <w:rPr>
          <w:rFonts w:hint="eastAsia" w:eastAsia="仿宋"/>
          <w:bCs/>
        </w:rPr>
        <w:t>（</w:t>
      </w:r>
      <w:r>
        <w:rPr>
          <w:rFonts w:hint="eastAsia" w:eastAsia="仿宋"/>
          <w:b/>
          <w:bCs/>
        </w:rPr>
        <w:t>提示：</w:t>
      </w:r>
      <w:r>
        <w:rPr>
          <w:rFonts w:hint="eastAsia" w:ascii="仿宋_GB2312" w:hAnsi="仿宋_GB2312" w:eastAsia="仿宋_GB2312" w:cs="仿宋_GB2312"/>
          <w:bCs/>
        </w:rPr>
        <w:t>为规范需求归集和管理，对单位内部具有普遍通用性的货物、工程和服务，可确定一个专门的部门牵头作为业务需求部门，如单位办公用的桌椅、电脑、打印机等可由后勤服务部门牵头作为业务需求部门）</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1.按照单位预算管理要求，提供相关材料向财务部门申报项目预算；对需要报有关部门立项审批的采购项目，按立项审批要求进行申报。</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2.根据批准的预算，组织开展需求调查，编制采购需求和采购实施计划，确定采购意向信息。负责采购执行中涉及的采购需求和采购实施计划内容的说明、确认和证明材料的提供。</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3.提供涉及采购方式变更和进口产品采购的论证、公示和报审等方面的相关证明和支撑材料。</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4.负责采购过程中可能涉及的推荐供应商、委派采购人代表、自行确定评审专家等工作。</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5.草拟采购合同，提交内部审核。</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6.负责供应商履约管理，督促项目执行进度，提出验收申请，参与验收活动，对供应商履约情况和项目绩效进行评价。</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7.按照合同约定，申请支付采购资金，提供支付依据。</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8.按照采购归口管理部门的要求移交项目档案资料。</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9.负责涉及本部门职能职责方面的资料准备、报送和内部报批报审等工作。</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10.单位领导或者领导小组交办的其他工作事项。</w:t>
      </w:r>
    </w:p>
    <w:p>
      <w:pPr>
        <w:spacing w:line="580" w:lineRule="exact"/>
        <w:ind w:firstLine="642" w:firstLineChars="200"/>
        <w:rPr>
          <w:rFonts w:hint="eastAsia" w:ascii="楷体_GB2312" w:eastAsia="楷体_GB2312" w:cs="楷体_GB2312"/>
          <w:b/>
          <w:bCs w:val="0"/>
        </w:rPr>
      </w:pPr>
      <w:r>
        <w:rPr>
          <w:rFonts w:hint="eastAsia" w:ascii="楷体_GB2312" w:eastAsia="楷体_GB2312" w:cs="楷体_GB2312"/>
          <w:b/>
          <w:bCs w:val="0"/>
        </w:rPr>
        <w:t>（四）财务部门</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财务部门是负责本单位财务管理工作的部门，主要负责采购预算编制、执行管理和采购资金支付等工作，具体职责如下：</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1.负责组织政府采购预算的汇总、审核、编制、报送和调整（剂）；组织协调财政预算评审工作；申请提前采购预算指标；办理采购资金的支付。</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2.统筹安排采购项目预算，组织开展预算绩效评价工作；督促本部门（系统）采购预算执行进度，跟踪项目预算执行情况；对接联系上级单位财务部门、</w:t>
      </w:r>
      <w:r>
        <w:rPr>
          <w:rFonts w:hint="eastAsia" w:ascii="仿宋_GB2312" w:hAnsi="仿宋_GB2312" w:eastAsia="仿宋_GB2312" w:cs="仿宋_GB2312"/>
          <w:bCs/>
          <w:lang w:eastAsia="zh-CN"/>
        </w:rPr>
        <w:t>财政局</w:t>
      </w:r>
      <w:r>
        <w:rPr>
          <w:rFonts w:hint="eastAsia" w:ascii="仿宋_GB2312" w:hAnsi="仿宋_GB2312" w:eastAsia="仿宋_GB2312" w:cs="仿宋_GB2312"/>
          <w:bCs/>
        </w:rPr>
        <w:t>预算管理</w:t>
      </w:r>
      <w:r>
        <w:rPr>
          <w:rFonts w:hint="eastAsia" w:ascii="仿宋_GB2312" w:hAnsi="仿宋_GB2312" w:eastAsia="仿宋_GB2312" w:cs="仿宋_GB2312"/>
          <w:bCs/>
          <w:lang w:eastAsia="zh-CN"/>
        </w:rPr>
        <w:t>科</w:t>
      </w:r>
      <w:r>
        <w:rPr>
          <w:rFonts w:hint="eastAsia" w:ascii="仿宋_GB2312" w:hAnsi="仿宋_GB2312" w:eastAsia="仿宋_GB2312" w:cs="仿宋_GB2312"/>
          <w:bCs/>
        </w:rPr>
        <w:t>室、国库</w:t>
      </w:r>
      <w:r>
        <w:rPr>
          <w:rFonts w:hint="eastAsia" w:ascii="仿宋_GB2312" w:hAnsi="仿宋_GB2312" w:eastAsia="仿宋_GB2312" w:cs="仿宋_GB2312"/>
          <w:bCs/>
          <w:lang w:eastAsia="zh-CN"/>
        </w:rPr>
        <w:t>科、国库</w:t>
      </w:r>
      <w:r>
        <w:rPr>
          <w:rFonts w:hint="eastAsia" w:ascii="仿宋_GB2312" w:hAnsi="仿宋_GB2312" w:eastAsia="仿宋_GB2312" w:cs="仿宋_GB2312"/>
          <w:bCs/>
        </w:rPr>
        <w:t>支付中心。</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3.审核采购合同中涉及的项目预算、合同金额、支付条件等信息。</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4.操作财政预算管理业务系统，负责本单位的账号密码、数字证书、电子签名和电子印章等的办理、保管和使用管理。</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5.参与内部决策活动，履行财务监督和管理职责，负责涉及本部门职能职责方面的资料准备、报送和内部报批报审等工作。</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6.按照采购归口管理部门的要求移交项目档案资料。</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7.单位领导或者领导小组交办的其他工作事项。</w:t>
      </w:r>
    </w:p>
    <w:p>
      <w:pPr>
        <w:spacing w:line="580" w:lineRule="exact"/>
        <w:ind w:firstLine="642" w:firstLineChars="200"/>
        <w:rPr>
          <w:rFonts w:hint="eastAsia" w:ascii="楷体_GB2312" w:eastAsia="楷体_GB2312" w:cs="楷体_GB2312"/>
          <w:b/>
          <w:bCs w:val="0"/>
          <w:lang w:eastAsia="zh-CN"/>
        </w:rPr>
      </w:pPr>
      <w:r>
        <w:rPr>
          <w:rFonts w:hint="eastAsia" w:ascii="楷体_GB2312" w:eastAsia="楷体_GB2312" w:cs="楷体_GB2312"/>
          <w:b/>
          <w:bCs w:val="0"/>
        </w:rPr>
        <w:t>（五）</w:t>
      </w:r>
      <w:r>
        <w:rPr>
          <w:rFonts w:hint="eastAsia" w:ascii="楷体_GB2312" w:eastAsia="楷体_GB2312" w:cs="楷体_GB2312"/>
          <w:b/>
          <w:bCs w:val="0"/>
          <w:lang w:eastAsia="zh-CN"/>
        </w:rPr>
        <w:t>机关纪委</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lang w:eastAsia="zh-CN"/>
        </w:rPr>
        <w:t>机关纪委</w:t>
      </w:r>
      <w:r>
        <w:rPr>
          <w:rFonts w:hint="eastAsia" w:ascii="仿宋_GB2312" w:hAnsi="仿宋_GB2312" w:eastAsia="仿宋_GB2312" w:cs="仿宋_GB2312"/>
          <w:bCs/>
        </w:rPr>
        <w:t>主要负责协助本单位基层党组织履行全面从严治党主体责任，推进全面从严治党、加强党风建设和组织协调反腐败工作，具体职责如下：</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1.负责协助本单位基层党组织加强政府采购领域党风廉政建设，提出健全完善内控制度机制的意见建议；</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2.负责对本单位政府采购活动中的基层党组织和党员领导干部履行职责、行使权力进行监督；</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3.按照有关规定，受理处置党员和群众检举举报，开展谈话提醒、约谈函询；对政府采购过程中出现违反党章和其他党内法规的案件进行检查、处理。</w:t>
      </w:r>
    </w:p>
    <w:p>
      <w:pPr>
        <w:spacing w:line="580" w:lineRule="exact"/>
        <w:ind w:firstLine="642" w:firstLineChars="200"/>
        <w:rPr>
          <w:rFonts w:hint="eastAsia" w:ascii="楷体_GB2312" w:eastAsia="楷体_GB2312" w:cs="楷体_GB2312"/>
          <w:b/>
          <w:bCs w:val="0"/>
        </w:rPr>
      </w:pPr>
      <w:r>
        <w:rPr>
          <w:rFonts w:hint="eastAsia" w:ascii="楷体_GB2312" w:eastAsia="楷体_GB2312" w:cs="楷体_GB2312"/>
          <w:b/>
          <w:bCs w:val="0"/>
        </w:rPr>
        <w:t>（六）法规部门</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法规部门是负责本单位法制工作的部门</w:t>
      </w:r>
      <w:r>
        <w:rPr>
          <w:rFonts w:hint="eastAsia" w:ascii="仿宋_GB2312" w:hAnsi="仿宋_GB2312" w:eastAsia="仿宋_GB2312" w:cs="仿宋_GB2312"/>
          <w:bCs/>
          <w:lang w:eastAsia="zh-CN"/>
        </w:rPr>
        <w:t>（没有专门法规部门的，需指定一至两名熟悉法律人员负责），</w:t>
      </w:r>
      <w:r>
        <w:rPr>
          <w:rFonts w:hint="eastAsia" w:ascii="仿宋_GB2312" w:hAnsi="仿宋_GB2312" w:eastAsia="仿宋_GB2312" w:cs="仿宋_GB2312"/>
          <w:bCs/>
        </w:rPr>
        <w:t>主要负责本单位政府采购法律风险防范，具体职责如下：</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1.负责组织防范本单位政府采购法律风险防范，提出健全完善内控制度机制的意见建议；</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2.负责本单位政府采购有关事项的合法性审查，参与单位内部决策，履行部门职责，对项目采购过程中涉及的采购需求、采购文件、委托代理协议、采购合同、询问质疑和信访举报处理、配合投诉答复等事项进行合法性审查，出具审查意见。</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3.负责处理采购过程中或者合同履约过程中发生的纠纷。</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4.参与单位内部决策，履行部门职责，负责涉及本部门职能职责方面的资料准备、报送和内部报批报审等工作。</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5. 单位领导或者领导小组交办的其他工作事项。</w:t>
      </w:r>
    </w:p>
    <w:p>
      <w:pPr>
        <w:spacing w:line="580" w:lineRule="exact"/>
        <w:ind w:firstLine="642" w:firstLineChars="200"/>
        <w:rPr>
          <w:rFonts w:hint="eastAsia" w:ascii="楷体_GB2312" w:eastAsia="楷体_GB2312" w:cs="楷体_GB2312"/>
          <w:b/>
          <w:bCs w:val="0"/>
        </w:rPr>
      </w:pPr>
      <w:r>
        <w:rPr>
          <w:rFonts w:hint="eastAsia" w:ascii="楷体_GB2312" w:eastAsia="楷体_GB2312" w:cs="楷体_GB2312"/>
          <w:b/>
          <w:bCs w:val="0"/>
        </w:rPr>
        <w:t>（七）资产管理部门</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资产管理部门是负责本单位资产管理工作的部门，负责政府采购涉及资产的配置、登记和管理，具体职责如下：</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1.负责本单位政府采购资产的配置、预算等的审核管理工作。</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2.负责本单位通过政府采购取得的资产的接收、登记和管理。</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3.参与单位内部决策，履行部门职责，负责涉及本部门职能职责方面的资料准备、报送和内部报批报审等工作。</w:t>
      </w:r>
    </w:p>
    <w:p>
      <w:pPr>
        <w:widowControl/>
        <w:spacing w:line="580" w:lineRule="exact"/>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bCs/>
        </w:rPr>
        <w:t>4. 单位领导或者领导小组交办的其他工作事项。</w:t>
      </w:r>
    </w:p>
    <w:p>
      <w:pPr>
        <w:spacing w:line="580" w:lineRule="exact"/>
        <w:ind w:firstLine="642" w:firstLineChars="200"/>
        <w:rPr>
          <w:rFonts w:hint="eastAsia" w:ascii="楷体_GB2312" w:eastAsia="楷体_GB2312" w:cs="楷体_GB2312"/>
          <w:b/>
          <w:bCs w:val="0"/>
        </w:rPr>
      </w:pPr>
      <w:r>
        <w:rPr>
          <w:rFonts w:hint="eastAsia" w:ascii="楷体_GB2312" w:eastAsia="楷体_GB2312" w:cs="楷体_GB2312"/>
          <w:b/>
          <w:bCs w:val="0"/>
        </w:rPr>
        <w:t>（八）内部审计部门</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内部审计部门是指负责本单位内部审计工作的部门，主要对本单位政府采购内控制度执行和政府采购行为的合法合规性进行监督，具体职责如下：</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1.对政府采购内部决策执行的合法合规性进行监督，纠正违法违规行为；委派监督人员，对评审专家和供应商随机抽取解密、签到以及评审委员会评审等环节进行监督，纠正违法违规行为，反映违法违规问题。</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2.监督本单位政府采购内控制度的执行，纠正不按内控执行的行为，提出健全完善内控制度机制的意见建议。</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3.对接外部审计，组织报送涉及政府采购相关资料，组织涉及政府采购问题的整改。</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4.参与单位内部决策，履行部门职责，负责涉及本部门职能职责方面的资料准备、资料报送和内部报批报审等工作。</w:t>
      </w:r>
    </w:p>
    <w:p>
      <w:pPr>
        <w:spacing w:line="58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5.单位领导或者领导小组交办的其他工作事项。</w:t>
      </w:r>
    </w:p>
    <w:p>
      <w:pPr>
        <w:spacing w:line="580" w:lineRule="exact"/>
        <w:ind w:firstLine="642" w:firstLineChars="200"/>
        <w:rPr>
          <w:rFonts w:hint="eastAsia" w:ascii="仿宋_GB2312" w:hAnsi="仿宋_GB2312" w:eastAsia="仿宋_GB2312" w:cs="仿宋_GB2312"/>
          <w:bCs/>
        </w:rPr>
      </w:pPr>
      <w:r>
        <w:rPr>
          <w:rFonts w:hint="eastAsia" w:eastAsia="仿宋"/>
          <w:b/>
          <w:bCs/>
        </w:rPr>
        <w:t>提示：</w:t>
      </w:r>
      <w:r>
        <w:rPr>
          <w:rFonts w:hint="eastAsia" w:ascii="仿宋_GB2312" w:hAnsi="仿宋_GB2312" w:eastAsia="仿宋_GB2312" w:cs="仿宋_GB2312"/>
          <w:bCs/>
        </w:rPr>
        <w:t>1.单位可根据本单位内设机构职能职责，合理分配以上职责分工，可以新增或者细化职责。2.单位同一部门承担以上多个部门职责的，可以将职责在现有部门之间适当调配，或者在本部门内部设置为岗位职责，实现内部岗位分离、相互监督制约。 3.归口部门的职责贯穿政府采购活动的全过程，涉及采购人的所有主体责任；明确为其他部门负责的工作事项，归口部门要负责指导和协调，没有明确的事项，均由归口部门负责，并实现内部监督制约。</w:t>
      </w:r>
    </w:p>
    <w:p>
      <w:pPr>
        <w:spacing w:line="580" w:lineRule="exact"/>
        <w:ind w:left="640"/>
        <w:rPr>
          <w:rFonts w:hint="eastAsia" w:ascii="黑体" w:eastAsia="黑体" w:cs="黑体"/>
          <w:bCs/>
        </w:rPr>
      </w:pPr>
      <w:r>
        <w:rPr>
          <w:rFonts w:hint="eastAsia" w:ascii="黑体" w:eastAsia="黑体" w:cs="黑体"/>
          <w:bCs/>
        </w:rPr>
        <w:t>五、内部决策流程</w:t>
      </w:r>
    </w:p>
    <w:p>
      <w:pPr>
        <w:spacing w:line="580" w:lineRule="exact"/>
        <w:ind w:firstLine="640"/>
        <w:rPr>
          <w:rFonts w:hint="eastAsia" w:ascii="仿宋_GB2312" w:hAnsi="仿宋_GB2312" w:eastAsia="仿宋_GB2312" w:cs="仿宋_GB2312"/>
          <w:bCs/>
        </w:rPr>
      </w:pPr>
      <w:r>
        <w:rPr>
          <w:rFonts w:hint="eastAsia" w:ascii="仿宋_GB2312" w:hAnsi="仿宋_GB2312" w:eastAsia="仿宋_GB2312" w:cs="仿宋_GB2312"/>
          <w:bCs/>
        </w:rPr>
        <w:t>按照“三重一大”决策制度要求，规范高效决策，结合政府采购项目预算金额、采购事项重要程度、风险防控要求等因素，将决策程序分为一般决策程序、领导小组会议决策程序、单位办公会决策程序、党委（党组）会决策程序等四类。</w:t>
      </w:r>
    </w:p>
    <w:p>
      <w:pPr>
        <w:spacing w:line="580" w:lineRule="exact"/>
        <w:ind w:firstLine="642" w:firstLineChars="200"/>
        <w:rPr>
          <w:rFonts w:hint="eastAsia" w:ascii="楷体_GB2312" w:eastAsia="楷体_GB2312" w:cs="楷体_GB2312"/>
          <w:b/>
          <w:bCs w:val="0"/>
        </w:rPr>
      </w:pPr>
      <w:r>
        <w:rPr>
          <w:rFonts w:hint="eastAsia" w:ascii="楷体_GB2312" w:eastAsia="楷体_GB2312" w:cs="楷体_GB2312"/>
          <w:b/>
          <w:bCs w:val="0"/>
        </w:rPr>
        <w:t>（一）一般决策程序</w:t>
      </w:r>
    </w:p>
    <w:p>
      <w:pPr>
        <w:spacing w:line="580" w:lineRule="exact"/>
        <w:ind w:firstLine="640"/>
        <w:rPr>
          <w:rFonts w:hint="eastAsia" w:ascii="仿宋_GB2312" w:hAnsi="仿宋_GB2312" w:eastAsia="仿宋_GB2312" w:cs="仿宋_GB2312"/>
          <w:bCs/>
          <w:lang w:eastAsia="zh-CN"/>
        </w:rPr>
      </w:pPr>
      <w:r>
        <w:rPr>
          <w:rFonts w:hint="eastAsia" w:ascii="仿宋_GB2312" w:hAnsi="仿宋_GB2312" w:eastAsia="仿宋_GB2312" w:cs="仿宋_GB2312"/>
          <w:bCs/>
        </w:rPr>
        <w:t>1.部门内部决策，主要</w:t>
      </w:r>
      <w:r>
        <w:rPr>
          <w:rFonts w:hint="eastAsia" w:ascii="仿宋_GB2312" w:hAnsi="仿宋_GB2312" w:eastAsia="仿宋_GB2312" w:cs="仿宋_GB2312"/>
          <w:bCs/>
          <w:lang w:eastAsia="zh-CN"/>
        </w:rPr>
        <w:t>适用于</w:t>
      </w:r>
      <w:r>
        <w:rPr>
          <w:rFonts w:hint="eastAsia" w:ascii="仿宋_GB2312" w:hAnsi="仿宋_GB2312" w:eastAsia="仿宋_GB2312" w:cs="仿宋_GB2312"/>
          <w:bCs/>
        </w:rPr>
        <w:t>部门职责范围内的事项，需要部门确认、审核、提交等事项，由部门根据不同事项确定部门内部决策程序</w:t>
      </w:r>
      <w:r>
        <w:rPr>
          <w:rFonts w:hint="eastAsia" w:ascii="仿宋_GB2312" w:hAnsi="仿宋_GB2312" w:eastAsia="仿宋_GB2312" w:cs="仿宋_GB2312"/>
          <w:bCs/>
          <w:lang w:eastAsia="zh-CN"/>
        </w:rPr>
        <w:t>。</w:t>
      </w:r>
      <w:r>
        <w:rPr>
          <w:rFonts w:hint="eastAsia" w:ascii="仿宋_GB2312" w:hAnsi="仿宋_GB2312" w:eastAsia="仿宋_GB2312" w:cs="仿宋_GB2312"/>
          <w:bCs/>
        </w:rPr>
        <w:t>部门内部办理、复核、审定的审核签字或者部门内部会议审议等方式进行决策。</w:t>
      </w:r>
    </w:p>
    <w:p>
      <w:pPr>
        <w:spacing w:line="580" w:lineRule="exact"/>
        <w:ind w:firstLine="640"/>
        <w:rPr>
          <w:rFonts w:hint="eastAsia" w:ascii="仿宋_GB2312" w:hAnsi="仿宋_GB2312" w:eastAsia="仿宋_GB2312" w:cs="仿宋_GB2312"/>
          <w:bCs/>
          <w:lang w:eastAsia="zh-CN"/>
        </w:rPr>
      </w:pPr>
      <w:r>
        <w:rPr>
          <w:rFonts w:hint="eastAsia" w:ascii="仿宋_GB2312" w:hAnsi="仿宋_GB2312" w:eastAsia="仿宋_GB2312" w:cs="仿宋_GB2312"/>
          <w:bCs/>
        </w:rPr>
        <w:t>2.部门会签（会商）决策</w:t>
      </w:r>
      <w:r>
        <w:rPr>
          <w:rFonts w:hint="eastAsia" w:ascii="仿宋_GB2312" w:hAnsi="仿宋_GB2312" w:eastAsia="仿宋_GB2312" w:cs="仿宋_GB2312"/>
          <w:bCs/>
          <w:lang w:eastAsia="zh-CN"/>
        </w:rPr>
        <w:t>。</w:t>
      </w:r>
      <w:r>
        <w:rPr>
          <w:rFonts w:hint="eastAsia" w:ascii="仿宋_GB2312" w:hAnsi="仿宋_GB2312" w:eastAsia="仿宋_GB2312" w:cs="仿宋_GB2312"/>
          <w:bCs/>
        </w:rPr>
        <w:t>主要</w:t>
      </w:r>
      <w:r>
        <w:rPr>
          <w:rFonts w:hint="eastAsia" w:ascii="仿宋_GB2312" w:hAnsi="仿宋_GB2312" w:eastAsia="仿宋_GB2312" w:cs="仿宋_GB2312"/>
          <w:bCs/>
          <w:lang w:eastAsia="zh-CN"/>
        </w:rPr>
        <w:t>适用于</w:t>
      </w:r>
      <w:r>
        <w:rPr>
          <w:rFonts w:hint="eastAsia" w:ascii="仿宋_GB2312" w:hAnsi="仿宋_GB2312" w:eastAsia="仿宋_GB2312" w:cs="仿宋_GB2312"/>
          <w:bCs/>
        </w:rPr>
        <w:t>涉及两个以上部门职责的事项，此种方式是实现部门之间相互监督、相互制约的重要手段，</w:t>
      </w:r>
      <w:r>
        <w:rPr>
          <w:rFonts w:hint="eastAsia" w:ascii="仿宋_GB2312" w:hAnsi="仿宋_GB2312" w:eastAsia="仿宋_GB2312" w:cs="仿宋_GB2312"/>
          <w:bCs/>
          <w:lang w:eastAsia="zh-CN"/>
        </w:rPr>
        <w:t>应</w:t>
      </w:r>
      <w:r>
        <w:rPr>
          <w:rFonts w:hint="eastAsia" w:ascii="仿宋_GB2312" w:hAnsi="仿宋_GB2312" w:eastAsia="仿宋_GB2312" w:cs="仿宋_GB2312"/>
          <w:bCs/>
        </w:rPr>
        <w:t>在部门职责和流程中明确责任分工、审核要点和标准</w:t>
      </w:r>
      <w:r>
        <w:rPr>
          <w:rFonts w:hint="eastAsia" w:ascii="仿宋_GB2312" w:hAnsi="仿宋_GB2312" w:eastAsia="仿宋_GB2312" w:cs="仿宋_GB2312"/>
          <w:bCs/>
          <w:lang w:eastAsia="zh-CN"/>
        </w:rPr>
        <w:t>。</w:t>
      </w:r>
      <w:r>
        <w:rPr>
          <w:rFonts w:hint="eastAsia" w:ascii="仿宋_GB2312" w:hAnsi="仿宋_GB2312" w:eastAsia="仿宋_GB2312" w:cs="仿宋_GB2312"/>
          <w:bCs/>
        </w:rPr>
        <w:t>牵头部门草拟意见会签（会商）其他相关部门进行决策。</w:t>
      </w:r>
    </w:p>
    <w:p>
      <w:pPr>
        <w:spacing w:line="580" w:lineRule="exact"/>
        <w:ind w:firstLine="640"/>
        <w:rPr>
          <w:rFonts w:hint="eastAsia" w:ascii="仿宋_GB2312" w:hAnsi="仿宋_GB2312" w:eastAsia="仿宋_GB2312" w:cs="仿宋_GB2312"/>
          <w:bCs/>
        </w:rPr>
      </w:pPr>
      <w:r>
        <w:rPr>
          <w:rFonts w:hint="eastAsia" w:ascii="仿宋_GB2312" w:hAnsi="仿宋_GB2312" w:eastAsia="仿宋_GB2312" w:cs="仿宋_GB2312"/>
          <w:bCs/>
        </w:rPr>
        <w:t>3.单位领导审定决策，牵头部门草拟意见报分管领导或者主要领导审核签字进行决策。具体决策事项由各单位根据实际情况自行确定，明确相应的标准和要求。（如在一定数额内的采购项目实施方案及其采购需求和采购实施计划、以单位名义对外报送的文件资料或者开展的活动或者需要送更高层级决策的事项）</w:t>
      </w:r>
    </w:p>
    <w:p>
      <w:pPr>
        <w:spacing w:line="580" w:lineRule="exact"/>
        <w:ind w:firstLine="640"/>
        <w:rPr>
          <w:rFonts w:hint="eastAsia" w:ascii="仿宋_GB2312" w:hAnsi="仿宋_GB2312" w:eastAsia="仿宋_GB2312" w:cs="仿宋_GB2312"/>
          <w:bCs/>
          <w:lang w:eastAsia="zh-CN"/>
        </w:rPr>
      </w:pPr>
      <w:r>
        <w:rPr>
          <w:rFonts w:hint="eastAsia" w:ascii="楷体_GB2312" w:eastAsia="楷体_GB2312" w:cs="楷体_GB2312"/>
          <w:b/>
          <w:bCs w:val="0"/>
        </w:rPr>
        <w:t>（二）领导小组会议决策程序。</w:t>
      </w:r>
      <w:r>
        <w:rPr>
          <w:rFonts w:hint="eastAsia" w:ascii="仿宋_GB2312" w:hAnsi="仿宋_GB2312" w:eastAsia="仿宋_GB2312" w:cs="仿宋_GB2312"/>
          <w:bCs/>
        </w:rPr>
        <w:t>主要适用于纳入领导小组议事范围的决策事项，一般是较为重大且需要集体决策的事项，未设立领导小组的，此部分决策事项由单位行政办公会进行决策</w:t>
      </w:r>
      <w:r>
        <w:rPr>
          <w:rFonts w:hint="eastAsia" w:ascii="仿宋_GB2312" w:hAnsi="仿宋_GB2312" w:eastAsia="仿宋_GB2312" w:cs="仿宋_GB2312"/>
          <w:bCs/>
          <w:lang w:eastAsia="zh-CN"/>
        </w:rPr>
        <w:t>。</w:t>
      </w:r>
    </w:p>
    <w:p>
      <w:pPr>
        <w:spacing w:line="580" w:lineRule="exact"/>
        <w:ind w:firstLine="640"/>
        <w:rPr>
          <w:rFonts w:hint="eastAsia" w:ascii="仿宋_GB2312" w:hAnsi="仿宋_GB2312" w:eastAsia="仿宋_GB2312" w:cs="仿宋_GB2312"/>
          <w:bCs/>
        </w:rPr>
      </w:pPr>
      <w:r>
        <w:rPr>
          <w:rFonts w:hint="eastAsia" w:ascii="仿宋_GB2312" w:hAnsi="仿宋_GB2312" w:eastAsia="仿宋_GB2312" w:cs="仿宋_GB2312"/>
          <w:bCs/>
        </w:rPr>
        <w:t>由牵头部门报领导小组组长同意或者领导小组组长召集，明确审议议题和审议事项，小组各成员单位根据职责对审议事项进行审议、独立发表意见，综合各方意见后作出决策。（</w:t>
      </w:r>
      <w:r>
        <w:rPr>
          <w:rFonts w:hint="eastAsia" w:ascii="仿宋_GB2312" w:hAnsi="仿宋_GB2312" w:eastAsia="仿宋_GB2312" w:cs="仿宋_GB2312"/>
          <w:b/>
          <w:bCs w:val="0"/>
        </w:rPr>
        <w:t>提示</w:t>
      </w:r>
      <w:r>
        <w:rPr>
          <w:rFonts w:hint="eastAsia" w:ascii="仿宋_GB2312" w:hAnsi="仿宋_GB2312" w:eastAsia="仿宋_GB2312" w:cs="仿宋_GB2312"/>
          <w:bCs/>
        </w:rPr>
        <w:t>：具体决策事项由各单位根据实际情况自行确定，主要在小组议事规则中进行明确。如在一定数额以内的或者具有一定社会影响的采购项目的实施方案以及项目采购需求和采购实施计划，采购方式变更、社会代理机构选择、签订补充合同以及需要更高层级决策的重大事项要纳入决策范畴）</w:t>
      </w:r>
    </w:p>
    <w:p>
      <w:pPr>
        <w:spacing w:line="580" w:lineRule="exact"/>
        <w:ind w:firstLine="640"/>
        <w:rPr>
          <w:rFonts w:hint="eastAsia" w:ascii="楷体_GB2312" w:eastAsia="楷体_GB2312" w:cs="楷体_GB2312"/>
          <w:b/>
          <w:bCs w:val="0"/>
        </w:rPr>
      </w:pPr>
      <w:r>
        <w:rPr>
          <w:rFonts w:hint="eastAsia" w:ascii="楷体_GB2312" w:eastAsia="楷体_GB2312" w:cs="楷体_GB2312"/>
          <w:b/>
          <w:bCs w:val="0"/>
        </w:rPr>
        <w:t>（三）单位办公会决策程序</w:t>
      </w:r>
    </w:p>
    <w:p>
      <w:pPr>
        <w:spacing w:line="580" w:lineRule="exact"/>
        <w:ind w:firstLine="640"/>
        <w:rPr>
          <w:rFonts w:hint="eastAsia" w:ascii="仿宋_GB2312" w:hAnsi="仿宋_GB2312" w:eastAsia="仿宋_GB2312" w:cs="仿宋_GB2312"/>
          <w:bCs/>
        </w:rPr>
      </w:pPr>
      <w:r>
        <w:rPr>
          <w:rFonts w:hint="eastAsia" w:ascii="仿宋_GB2312" w:hAnsi="仿宋_GB2312" w:eastAsia="仿宋_GB2312" w:cs="仿宋_GB2312"/>
          <w:bCs/>
        </w:rPr>
        <w:t>由牵头部门报行政负责人同意或者行政负责人召集，明确审议议题和审议事项，单位行政领导和相关部门对审议事项进行审议、独立发表意见，综合各方意见后作出决策。（</w:t>
      </w:r>
      <w:r>
        <w:rPr>
          <w:rFonts w:hint="eastAsia" w:ascii="仿宋_GB2312" w:hAnsi="仿宋_GB2312" w:eastAsia="仿宋_GB2312" w:cs="仿宋_GB2312"/>
          <w:b/>
          <w:bCs w:val="0"/>
        </w:rPr>
        <w:t>提示</w:t>
      </w:r>
      <w:r>
        <w:rPr>
          <w:rFonts w:hint="eastAsia" w:ascii="仿宋_GB2312" w:hAnsi="仿宋_GB2312" w:eastAsia="仿宋_GB2312" w:cs="仿宋_GB2312"/>
          <w:bCs/>
        </w:rPr>
        <w:t>：具体决策事项由各单位根据实际情况自行确定，主要在行政办公会议事规则中进行明确。如在一定数额以内的或者具有较大社会影响的采购项目的实施方案以及项目采购需求和采购实施计划，涉及政府采购内控制度机制的调整变动，采购进口产品、单一来源采购、采购预算调整、审计反馈问题整改以及需要送党委（党组）会议决策的重大事项）</w:t>
      </w:r>
    </w:p>
    <w:p>
      <w:pPr>
        <w:spacing w:line="580" w:lineRule="exact"/>
        <w:ind w:firstLine="640"/>
        <w:rPr>
          <w:rFonts w:hint="eastAsia" w:ascii="楷体_GB2312" w:eastAsia="楷体_GB2312" w:cs="楷体_GB2312"/>
          <w:b/>
          <w:bCs w:val="0"/>
        </w:rPr>
      </w:pPr>
      <w:r>
        <w:rPr>
          <w:rFonts w:hint="eastAsia" w:ascii="楷体_GB2312" w:eastAsia="楷体_GB2312" w:cs="楷体_GB2312"/>
          <w:b/>
          <w:bCs w:val="0"/>
        </w:rPr>
        <w:t>（四）党委（党组）会决策程序</w:t>
      </w:r>
    </w:p>
    <w:p>
      <w:pPr>
        <w:spacing w:line="580" w:lineRule="exact"/>
        <w:ind w:firstLine="640"/>
        <w:rPr>
          <w:rFonts w:hint="eastAsia" w:ascii="仿宋_GB2312" w:hAnsi="仿宋_GB2312" w:eastAsia="仿宋_GB2312" w:cs="仿宋_GB2312"/>
          <w:bCs/>
        </w:rPr>
      </w:pPr>
      <w:r>
        <w:rPr>
          <w:rFonts w:hint="eastAsia" w:ascii="仿宋_GB2312" w:hAnsi="仿宋_GB2312" w:eastAsia="仿宋_GB2312" w:cs="仿宋_GB2312"/>
          <w:bCs/>
        </w:rPr>
        <w:t>由牵头部门报党委（党组）负责人同意或者党委（党组）负责人召集，明确审议议题和审议事项，单位党委（党组）领导和相关部门对审议事项进行审议、独立发表意见，综合各方意见后作出决策。（</w:t>
      </w:r>
      <w:r>
        <w:rPr>
          <w:rFonts w:hint="eastAsia" w:ascii="仿宋_GB2312" w:hAnsi="仿宋_GB2312" w:eastAsia="仿宋_GB2312" w:cs="仿宋_GB2312"/>
          <w:b/>
          <w:bCs w:val="0"/>
        </w:rPr>
        <w:t>提示</w:t>
      </w:r>
      <w:r>
        <w:rPr>
          <w:rFonts w:hint="eastAsia" w:ascii="仿宋_GB2312" w:hAnsi="仿宋_GB2312" w:eastAsia="仿宋_GB2312" w:cs="仿宋_GB2312"/>
          <w:bCs/>
        </w:rPr>
        <w:t>：具体决策事项由各单位根据实际情况自行确定，主要在党委党组会议事规则中进行明确。如达到一定数额标准或者具有较大社会影响的采购项目的实施方案以及项目采购需求和采购实施计划，涉及政府采购内控制度机制的重大调整变动，达到一定数额的进口产品采购、单一来源采购、采购预算调整，年度采购预算安排和采购政策落实情况、巡视巡察反馈问题整改以及需要对外报送的重大事项）</w:t>
      </w:r>
    </w:p>
    <w:p>
      <w:pPr>
        <w:widowControl/>
        <w:spacing w:line="580" w:lineRule="exact"/>
        <w:ind w:firstLine="642" w:firstLineChars="200"/>
        <w:jc w:val="left"/>
        <w:rPr>
          <w:rFonts w:hint="eastAsia" w:ascii="仿宋_GB2312" w:hAnsi="仿宋_GB2312" w:eastAsia="仿宋_GB2312" w:cs="仿宋_GB2312"/>
          <w:bCs/>
        </w:rPr>
      </w:pPr>
      <w:r>
        <w:rPr>
          <w:rFonts w:hint="eastAsia" w:eastAsia="仿宋"/>
          <w:b/>
          <w:bCs/>
        </w:rPr>
        <w:t>提示：</w:t>
      </w:r>
      <w:r>
        <w:rPr>
          <w:rFonts w:hint="eastAsia" w:ascii="仿宋_GB2312" w:hAnsi="仿宋_GB2312" w:eastAsia="仿宋_GB2312" w:cs="仿宋_GB2312"/>
          <w:bCs/>
        </w:rPr>
        <w:t>1.以上列举决策事项并未包含采购实践中所有决策事项，单位结合实际进行细化；2.以上在流程管理中提到的决策事项，建议对应的决策层级供单位在制定内控制度过程中参考；3.合理设置不同决策层级对应的决策事项，在实现内部控制的基础上，要兼顾效率，一般情况下，决策层级越高对应决策事项的数量越少。</w:t>
      </w:r>
    </w:p>
    <w:p>
      <w:pPr>
        <w:spacing w:line="580" w:lineRule="exact"/>
        <w:ind w:firstLine="640" w:firstLineChars="200"/>
        <w:rPr>
          <w:rFonts w:hint="eastAsia" w:ascii="黑体" w:eastAsia="黑体" w:cs="黑体"/>
          <w:bCs/>
        </w:rPr>
      </w:pPr>
      <w:r>
        <w:rPr>
          <w:rFonts w:hint="eastAsia" w:ascii="黑体" w:eastAsia="黑体" w:cs="黑体"/>
          <w:bCs/>
        </w:rPr>
        <w:t>六、岗位设置及风险控制要求</w:t>
      </w:r>
    </w:p>
    <w:p>
      <w:pPr>
        <w:spacing w:line="580" w:lineRule="exact"/>
        <w:ind w:firstLine="642" w:firstLineChars="200"/>
        <w:rPr>
          <w:rFonts w:hint="eastAsia" w:ascii="楷体_GB2312" w:eastAsia="楷体_GB2312" w:cs="楷体_GB2312"/>
          <w:b/>
          <w:bCs w:val="0"/>
        </w:rPr>
      </w:pPr>
      <w:r>
        <w:rPr>
          <w:rFonts w:hint="eastAsia" w:ascii="楷体_GB2312" w:eastAsia="楷体_GB2312" w:cs="楷体_GB2312"/>
          <w:b/>
          <w:bCs w:val="0"/>
        </w:rPr>
        <w:t>（一）岗位设置要求</w:t>
      </w:r>
    </w:p>
    <w:p>
      <w:pPr>
        <w:widowControl/>
        <w:spacing w:line="580" w:lineRule="exact"/>
        <w:ind w:firstLine="640" w:firstLineChars="200"/>
        <w:jc w:val="left"/>
        <w:rPr>
          <w:rFonts w:hint="eastAsia" w:ascii="仿宋_GB2312" w:hAnsi="仿宋_GB2312" w:eastAsia="仿宋_GB2312" w:cs="仿宋_GB2312"/>
          <w:bCs/>
        </w:rPr>
      </w:pPr>
      <w:r>
        <w:rPr>
          <w:rFonts w:hint="eastAsia" w:ascii="仿宋_GB2312" w:hAnsi="仿宋_GB2312" w:eastAsia="仿宋_GB2312" w:cs="仿宋_GB2312"/>
          <w:bCs/>
        </w:rPr>
        <w:t>归口管理部门应明确政府采购专管员，负责本单位政府采购工作的组织和协调；主管预算单位归口管理部门的专管员还要负责指导和协调下属单位政府采购工作。</w:t>
      </w:r>
    </w:p>
    <w:p>
      <w:pPr>
        <w:widowControl/>
        <w:spacing w:line="580" w:lineRule="exact"/>
        <w:ind w:firstLine="640" w:firstLineChars="200"/>
        <w:jc w:val="left"/>
        <w:rPr>
          <w:rFonts w:hint="eastAsia" w:ascii="仿宋_GB2312" w:hAnsi="仿宋_GB2312" w:eastAsia="仿宋_GB2312" w:cs="仿宋_GB2312"/>
          <w:bCs/>
        </w:rPr>
      </w:pPr>
      <w:r>
        <w:rPr>
          <w:rFonts w:hint="eastAsia" w:ascii="仿宋_GB2312" w:hAnsi="仿宋_GB2312" w:eastAsia="仿宋_GB2312" w:cs="仿宋_GB2312"/>
          <w:bCs/>
        </w:rPr>
        <w:t>业务需求部门应明确一名工作人员，负责项目采购过程中的沟通协调工作；明确负责采购需求制定的工作人员，负责组织协调采购需求编制工作。</w:t>
      </w:r>
    </w:p>
    <w:p>
      <w:pPr>
        <w:spacing w:line="580" w:lineRule="exact"/>
        <w:ind w:firstLine="642" w:firstLineChars="200"/>
        <w:rPr>
          <w:rFonts w:hint="eastAsia" w:ascii="楷体_GB2312" w:eastAsia="楷体_GB2312" w:cs="楷体_GB2312"/>
          <w:b/>
          <w:bCs w:val="0"/>
        </w:rPr>
      </w:pPr>
      <w:r>
        <w:rPr>
          <w:rFonts w:hint="eastAsia" w:ascii="楷体_GB2312" w:eastAsia="楷体_GB2312" w:cs="楷体_GB2312"/>
          <w:b/>
          <w:bCs w:val="0"/>
        </w:rPr>
        <w:t>（二）风险防控机制</w:t>
      </w:r>
    </w:p>
    <w:p>
      <w:pPr>
        <w:widowControl/>
        <w:spacing w:line="580" w:lineRule="exact"/>
        <w:ind w:firstLine="640" w:firstLineChars="200"/>
        <w:jc w:val="left"/>
        <w:rPr>
          <w:rFonts w:hint="eastAsia" w:ascii="仿宋_GB2312" w:hAnsi="仿宋_GB2312" w:eastAsia="仿宋_GB2312" w:cs="仿宋_GB2312"/>
          <w:bCs/>
        </w:rPr>
      </w:pPr>
      <w:r>
        <w:rPr>
          <w:rFonts w:hint="eastAsia" w:ascii="仿宋_GB2312" w:hAnsi="仿宋_GB2312" w:eastAsia="仿宋_GB2312" w:cs="仿宋_GB2312"/>
          <w:bCs/>
        </w:rPr>
        <w:t>1.风险分类包括法律风险、廉政风险、舆情风险。（</w:t>
      </w:r>
      <w:r>
        <w:rPr>
          <w:rFonts w:hint="eastAsia" w:ascii="仿宋_GB2312" w:hAnsi="仿宋_GB2312" w:eastAsia="仿宋_GB2312" w:cs="仿宋_GB2312"/>
          <w:b/>
          <w:bCs w:val="0"/>
        </w:rPr>
        <w:t>提示</w:t>
      </w:r>
      <w:r>
        <w:rPr>
          <w:rFonts w:hint="eastAsia" w:ascii="仿宋_GB2312" w:hAnsi="仿宋_GB2312" w:eastAsia="仿宋_GB2312" w:cs="仿宋_GB2312"/>
          <w:bCs/>
        </w:rPr>
        <w:t>：法律风险重点对照采购法及其实施条例的法律责任中涉及采购人及其工作人员的责任；廉政风险重点是单位党委党组的廉政风险和参与采购活动的公职人员的廉政风险；舆情风险主要是采购过程中采购信息公开发布引起社会关注而产生的舆情风险）</w:t>
      </w:r>
    </w:p>
    <w:p>
      <w:pPr>
        <w:widowControl/>
        <w:spacing w:line="580" w:lineRule="exact"/>
        <w:ind w:firstLine="640" w:firstLineChars="200"/>
        <w:jc w:val="left"/>
        <w:rPr>
          <w:rFonts w:hint="eastAsia" w:ascii="仿宋_GB2312" w:hAnsi="仿宋_GB2312" w:eastAsia="仿宋_GB2312" w:cs="仿宋_GB2312"/>
          <w:bCs/>
        </w:rPr>
      </w:pPr>
      <w:r>
        <w:rPr>
          <w:rFonts w:hint="eastAsia" w:ascii="仿宋_GB2312" w:hAnsi="仿宋_GB2312" w:eastAsia="仿宋_GB2312" w:cs="仿宋_GB2312"/>
          <w:bCs/>
        </w:rPr>
        <w:t>各部门要依据部门职责，认真梳理不同业务、环节、岗位需要重点控制的风险事项,划分风险等级,建立风险台账和防范制度机制；合理设置岗位，细化内部人员岗位分工，明确经办、审核岗位的工作要求和执行标准。（</w:t>
      </w:r>
      <w:r>
        <w:rPr>
          <w:rFonts w:hint="eastAsia" w:ascii="仿宋_GB2312" w:hAnsi="仿宋_GB2312" w:eastAsia="仿宋_GB2312" w:cs="仿宋_GB2312"/>
          <w:b/>
          <w:bCs w:val="0"/>
        </w:rPr>
        <w:t>提示</w:t>
      </w:r>
      <w:r>
        <w:rPr>
          <w:rFonts w:hint="eastAsia" w:ascii="仿宋_GB2312" w:hAnsi="仿宋_GB2312" w:eastAsia="仿宋_GB2312" w:cs="仿宋_GB2312"/>
          <w:bCs/>
        </w:rPr>
        <w:t>：岗位设置及风险控制，是对单位内设部门的内控管理提出的细化要求，内设部门对照内控制度的职责分工进行细化明确）</w:t>
      </w:r>
    </w:p>
    <w:p>
      <w:pPr>
        <w:widowControl/>
        <w:spacing w:line="580" w:lineRule="exact"/>
        <w:ind w:firstLine="640" w:firstLineChars="200"/>
        <w:jc w:val="left"/>
        <w:rPr>
          <w:rFonts w:hint="eastAsia" w:ascii="仿宋_GB2312" w:hAnsi="仿宋_GB2312" w:eastAsia="仿宋_GB2312" w:cs="仿宋_GB2312"/>
          <w:bCs/>
        </w:rPr>
      </w:pPr>
      <w:r>
        <w:rPr>
          <w:rFonts w:hint="eastAsia" w:ascii="仿宋_GB2312" w:hAnsi="仿宋_GB2312" w:eastAsia="仿宋_GB2312" w:cs="仿宋_GB2312"/>
          <w:bCs/>
        </w:rPr>
        <w:t>建立岗位之间相互监督制约的机制。采购需求制定与内部审核、采购文件编制与复核、合同签订与验收等岗位原则上应当分开设置，评审现场组织、单一来源采购项目议价、合同签订、履约验收等相关业务,原则上应当由2人以上共同办理,并明确主要负责人员。（</w:t>
      </w:r>
      <w:r>
        <w:rPr>
          <w:rFonts w:hint="eastAsia" w:ascii="仿宋_GB2312" w:hAnsi="仿宋_GB2312" w:eastAsia="仿宋_GB2312" w:cs="仿宋_GB2312"/>
          <w:b/>
          <w:bCs w:val="0"/>
        </w:rPr>
        <w:t>提示</w:t>
      </w:r>
      <w:r>
        <w:rPr>
          <w:rFonts w:hint="eastAsia" w:ascii="仿宋_GB2312" w:hAnsi="仿宋_GB2312" w:eastAsia="仿宋_GB2312" w:cs="仿宋_GB2312"/>
          <w:bCs/>
        </w:rPr>
        <w:t>：合同签订、验收和保管人员可以分别由归口管理部门、业务需求部门、资产管理部门等进行明确，也可以在同一部门，但负责采购需求制定的人员不得负责采购需求的审核，负责合同签订的人员不得负责验收工作，负责验收的人员不得负责保管）。</w:t>
      </w:r>
    </w:p>
    <w:p>
      <w:pPr>
        <w:widowControl/>
        <w:spacing w:line="580" w:lineRule="exact"/>
        <w:ind w:firstLine="640" w:firstLineChars="200"/>
        <w:jc w:val="left"/>
        <w:rPr>
          <w:rFonts w:hint="eastAsia" w:ascii="仿宋_GB2312" w:hAnsi="仿宋_GB2312" w:eastAsia="仿宋_GB2312" w:cs="仿宋_GB2312"/>
          <w:bCs/>
        </w:rPr>
      </w:pPr>
      <w:r>
        <w:rPr>
          <w:rFonts w:hint="eastAsia" w:ascii="仿宋_GB2312" w:hAnsi="仿宋_GB2312" w:eastAsia="仿宋_GB2312" w:cs="仿宋_GB2312"/>
          <w:bCs/>
        </w:rPr>
        <w:t>建立轮岗交流制度,归口管理部门、业务需求部门要根据政府采购岗位风险等级设定轮岗周期,风险等级高的岗位原则上5年轮岗，不具备轮岗条件的，期满后进行内部专项审计。业务需求部门要建立健全政府采购在岗监督、离岗审查和项目责任追溯制度。</w:t>
      </w:r>
    </w:p>
    <w:p>
      <w:pPr>
        <w:widowControl/>
        <w:spacing w:line="580" w:lineRule="exact"/>
        <w:ind w:firstLine="642" w:firstLineChars="200"/>
        <w:jc w:val="left"/>
        <w:rPr>
          <w:rFonts w:hint="eastAsia" w:ascii="仿宋_GB2312" w:hAnsi="仿宋_GB2312" w:eastAsia="仿宋_GB2312" w:cs="仿宋_GB2312"/>
          <w:bCs/>
        </w:rPr>
      </w:pPr>
      <w:r>
        <w:rPr>
          <w:rFonts w:hint="eastAsia" w:ascii="仿宋_GB2312" w:hAnsi="仿宋_GB2312" w:eastAsia="仿宋_GB2312" w:cs="仿宋_GB2312"/>
          <w:b/>
          <w:bCs w:val="0"/>
        </w:rPr>
        <w:t>提示</w:t>
      </w:r>
      <w:r>
        <w:rPr>
          <w:rFonts w:hint="eastAsia" w:ascii="仿宋_GB2312" w:hAnsi="仿宋_GB2312" w:eastAsia="仿宋_GB2312" w:cs="仿宋_GB2312"/>
          <w:bCs/>
        </w:rPr>
        <w:t>：其他相关部门，根据职能职责，明确涉及相关业务办理的人员和岗位，涉及使用内控管理信息系统的，要重点强化人员身份验证、岗位业务授权、系统操作记录、电子档案管理等方面的内部管理</w:t>
      </w:r>
    </w:p>
    <w:p>
      <w:pPr>
        <w:tabs>
          <w:tab w:val="left" w:pos="606"/>
        </w:tabs>
        <w:spacing w:line="580" w:lineRule="exact"/>
        <w:ind w:left="640"/>
        <w:rPr>
          <w:rFonts w:hint="eastAsia" w:ascii="黑体" w:eastAsia="黑体" w:cs="黑体"/>
          <w:bCs/>
        </w:rPr>
      </w:pPr>
      <w:r>
        <w:rPr>
          <w:rFonts w:hint="eastAsia" w:ascii="黑体" w:eastAsia="黑体" w:cs="黑体"/>
          <w:bCs/>
        </w:rPr>
        <w:tab/>
      </w:r>
      <w:r>
        <w:rPr>
          <w:rFonts w:hint="eastAsia" w:ascii="黑体" w:eastAsia="黑体" w:cs="黑体"/>
          <w:bCs/>
        </w:rPr>
        <w:t>七、采购流程及要求</w:t>
      </w:r>
    </w:p>
    <w:p>
      <w:pPr>
        <w:widowControl/>
        <w:spacing w:line="580" w:lineRule="exact"/>
        <w:ind w:firstLine="640" w:firstLineChars="200"/>
        <w:jc w:val="left"/>
        <w:rPr>
          <w:rFonts w:hint="eastAsia" w:ascii="仿宋_GB2312" w:hAnsi="仿宋_GB2312" w:eastAsia="仿宋_GB2312" w:cs="仿宋_GB2312"/>
          <w:bCs/>
        </w:rPr>
      </w:pPr>
      <w:r>
        <w:rPr>
          <w:rFonts w:hint="eastAsia" w:ascii="仿宋_GB2312" w:hAnsi="仿宋_GB2312" w:eastAsia="仿宋_GB2312" w:cs="仿宋_GB2312"/>
          <w:bCs/>
        </w:rPr>
        <w:t>根据国家和我省现行政府采购法律法规规章制度规定，对照采购人需要落实的主体责任和履行的职责，制定本单位内部采购流程及要求。</w:t>
      </w:r>
    </w:p>
    <w:p>
      <w:pPr>
        <w:spacing w:line="580" w:lineRule="exact"/>
        <w:ind w:firstLine="640"/>
        <w:rPr>
          <w:rFonts w:hint="eastAsia" w:ascii="楷体_GB2312" w:eastAsia="楷体_GB2312" w:cs="楷体_GB2312"/>
          <w:b/>
          <w:bCs w:val="0"/>
        </w:rPr>
      </w:pPr>
      <w:r>
        <w:rPr>
          <w:rFonts w:hint="eastAsia" w:ascii="楷体_GB2312" w:eastAsia="楷体_GB2312" w:cs="楷体_GB2312"/>
          <w:b/>
          <w:bCs w:val="0"/>
        </w:rPr>
        <w:t>（一）编制政府采购预算</w:t>
      </w:r>
    </w:p>
    <w:p>
      <w:pPr>
        <w:spacing w:line="580" w:lineRule="exact"/>
        <w:ind w:firstLine="640"/>
        <w:rPr>
          <w:rFonts w:hint="eastAsia" w:ascii="仿宋_GB2312" w:hAnsi="仿宋_GB2312" w:eastAsia="仿宋_GB2312" w:cs="仿宋_GB2312"/>
          <w:bCs/>
        </w:rPr>
      </w:pPr>
      <w:r>
        <w:rPr>
          <w:rFonts w:hint="eastAsia" w:ascii="仿宋_GB2312" w:hAnsi="仿宋_GB2312" w:eastAsia="仿宋_GB2312" w:cs="仿宋_GB2312"/>
          <w:b/>
          <w:bCs w:val="0"/>
        </w:rPr>
        <w:t>1.相关制度依据</w:t>
      </w:r>
      <w:r>
        <w:rPr>
          <w:rFonts w:hint="eastAsia" w:ascii="仿宋_GB2312" w:hAnsi="仿宋_GB2312" w:eastAsia="仿宋_GB2312" w:cs="仿宋_GB2312"/>
          <w:b/>
          <w:bCs w:val="0"/>
          <w:lang w:eastAsia="zh-CN"/>
        </w:rPr>
        <w:t>和编制原则</w:t>
      </w:r>
      <w:r>
        <w:rPr>
          <w:rFonts w:hint="eastAsia" w:ascii="仿宋_GB2312" w:hAnsi="仿宋_GB2312" w:eastAsia="仿宋_GB2312" w:cs="仿宋_GB2312"/>
          <w:b/>
          <w:bCs w:val="0"/>
        </w:rPr>
        <w:t>。</w:t>
      </w:r>
      <w:r>
        <w:rPr>
          <w:rFonts w:hint="eastAsia" w:ascii="仿宋_GB2312" w:hAnsi="仿宋_GB2312" w:eastAsia="仿宋_GB2312" w:cs="仿宋_GB2312"/>
          <w:bCs/>
        </w:rPr>
        <w:t>采购法第三十三条、</w:t>
      </w:r>
      <w:r>
        <w:rPr>
          <w:rFonts w:hint="eastAsia" w:ascii="仿宋_GB2312" w:hAnsi="仿宋_GB2312" w:eastAsia="仿宋_GB2312" w:cs="仿宋_GB2312"/>
          <w:bCs/>
          <w:lang w:eastAsia="zh-CN"/>
        </w:rPr>
        <w:t>新乡市财政局</w:t>
      </w:r>
      <w:r>
        <w:rPr>
          <w:rFonts w:hint="eastAsia" w:ascii="仿宋_GB2312" w:hAnsi="仿宋_GB2312" w:eastAsia="仿宋_GB2312" w:cs="仿宋_GB2312"/>
          <w:bCs/>
        </w:rPr>
        <w:t>当年印发的</w:t>
      </w:r>
      <w:r>
        <w:rPr>
          <w:rFonts w:hint="eastAsia" w:ascii="仿宋_GB2312" w:hAnsi="仿宋_GB2312" w:eastAsia="仿宋_GB2312" w:cs="仿宋_GB2312"/>
          <w:bCs/>
          <w:lang w:eastAsia="zh-CN"/>
        </w:rPr>
        <w:t>市级</w:t>
      </w:r>
      <w:r>
        <w:rPr>
          <w:rFonts w:hint="eastAsia" w:ascii="仿宋_GB2312" w:hAnsi="仿宋_GB2312" w:eastAsia="仿宋_GB2312" w:cs="仿宋_GB2312"/>
          <w:bCs/>
        </w:rPr>
        <w:t>部门预算编制通知、经省政府同意后发布的</w:t>
      </w:r>
      <w:r>
        <w:rPr>
          <w:rFonts w:hint="eastAsia" w:ascii="仿宋_GB2312" w:hAnsi="仿宋_GB2312" w:eastAsia="仿宋_GB2312" w:cs="仿宋_GB2312"/>
          <w:bCs/>
          <w:lang w:eastAsia="zh-CN"/>
        </w:rPr>
        <w:t>当年</w:t>
      </w:r>
      <w:r>
        <w:rPr>
          <w:rFonts w:hint="eastAsia" w:ascii="仿宋_GB2312" w:hAnsi="仿宋_GB2312" w:eastAsia="仿宋_GB2312" w:cs="仿宋_GB2312"/>
          <w:bCs/>
        </w:rPr>
        <w:t>《</w:t>
      </w:r>
      <w:r>
        <w:rPr>
          <w:rFonts w:hint="eastAsia" w:ascii="仿宋_GB2312" w:hAnsi="仿宋_GB2312" w:eastAsia="仿宋_GB2312" w:cs="仿宋_GB2312"/>
          <w:bCs/>
          <w:lang w:eastAsia="zh-CN"/>
        </w:rPr>
        <w:t>河南</w:t>
      </w:r>
      <w:r>
        <w:rPr>
          <w:rFonts w:hint="eastAsia" w:ascii="仿宋_GB2312" w:hAnsi="仿宋_GB2312" w:eastAsia="仿宋_GB2312" w:cs="仿宋_GB2312"/>
          <w:bCs/>
        </w:rPr>
        <w:t>省政府集中采购目录及标准》</w:t>
      </w:r>
      <w:r>
        <w:rPr>
          <w:rFonts w:hint="eastAsia" w:ascii="仿宋_GB2312" w:hAnsi="仿宋_GB2312" w:eastAsia="仿宋_GB2312" w:cs="仿宋_GB2312"/>
          <w:bCs/>
          <w:lang w:eastAsia="zh-CN"/>
        </w:rPr>
        <w:t>、</w:t>
      </w:r>
      <w:r>
        <w:rPr>
          <w:rFonts w:hint="eastAsia" w:ascii="仿宋_GB2312" w:hAnsi="仿宋_GB2312" w:eastAsia="仿宋_GB2312" w:cs="仿宋_GB2312"/>
          <w:bCs/>
        </w:rPr>
        <w:t>《政府采购促进中小企业发展管理办法》（财库〔2020〕46号）。</w:t>
      </w:r>
      <w:r>
        <w:rPr>
          <w:rFonts w:hint="eastAsia" w:eastAsia="仿宋"/>
          <w:bCs/>
        </w:rPr>
        <w:t>（</w:t>
      </w:r>
      <w:r>
        <w:rPr>
          <w:rFonts w:hint="eastAsia" w:eastAsia="仿宋"/>
          <w:b/>
          <w:bCs/>
        </w:rPr>
        <w:t>提示：</w:t>
      </w:r>
      <w:r>
        <w:rPr>
          <w:rFonts w:hint="eastAsia" w:ascii="仿宋_GB2312" w:hAnsi="仿宋_GB2312" w:eastAsia="仿宋_GB2312" w:cs="仿宋_GB2312"/>
          <w:bCs/>
        </w:rPr>
        <w:t>涉及的相关制度依据调整后，要及时更新完善内控制度要求）</w:t>
      </w:r>
    </w:p>
    <w:p>
      <w:pPr>
        <w:spacing w:line="580" w:lineRule="exact"/>
        <w:ind w:firstLine="640"/>
        <w:rPr>
          <w:rFonts w:hint="default" w:ascii="仿宋_GB2312" w:hAnsi="仿宋_GB2312" w:eastAsia="仿宋_GB2312" w:cs="仿宋_GB2312"/>
          <w:bCs/>
          <w:lang w:val="en-US" w:eastAsia="zh-CN"/>
        </w:rPr>
      </w:pPr>
      <w:r>
        <w:rPr>
          <w:rFonts w:hint="eastAsia" w:ascii="仿宋_GB2312" w:hAnsi="仿宋_GB2312" w:eastAsia="仿宋_GB2312" w:cs="仿宋_GB2312"/>
          <w:bCs/>
          <w:lang w:eastAsia="zh-CN"/>
        </w:rPr>
        <w:t>政府采购预算编制需遵循：需求合理、物有所值；同步编制，统一批复；调控引导，落实政策；强化预算，不编不采；调整追加，科学规范；资金落实，加快执行；规范管理，项目明晰；花钱问效，无效追责的原则，严格落实“过紧日子”“厉行节约，反对浪费”等精神。</w:t>
      </w:r>
    </w:p>
    <w:p>
      <w:pPr>
        <w:widowControl/>
        <w:spacing w:line="580" w:lineRule="exact"/>
        <w:ind w:firstLine="642" w:firstLineChars="200"/>
        <w:jc w:val="left"/>
        <w:rPr>
          <w:rFonts w:hint="eastAsia" w:ascii="仿宋_GB2312" w:hAnsi="仿宋_GB2312" w:eastAsia="仿宋_GB2312" w:cs="仿宋_GB2312"/>
          <w:bCs/>
          <w:lang w:eastAsia="zh-CN"/>
        </w:rPr>
      </w:pPr>
      <w:r>
        <w:rPr>
          <w:rFonts w:hint="eastAsia" w:ascii="仿宋_GB2312" w:hAnsi="仿宋_GB2312" w:eastAsia="仿宋_GB2312" w:cs="仿宋_GB2312"/>
          <w:b/>
          <w:bCs w:val="0"/>
          <w:lang w:eastAsia="zh-CN"/>
        </w:rPr>
        <w:t>2.职责分工。</w:t>
      </w:r>
      <w:r>
        <w:rPr>
          <w:rFonts w:hint="eastAsia" w:ascii="仿宋_GB2312" w:hAnsi="仿宋_GB2312" w:eastAsia="仿宋_GB2312" w:cs="仿宋_GB2312"/>
          <w:bCs/>
          <w:lang w:eastAsia="zh-CN"/>
        </w:rPr>
        <w:t>业务需求部门负责提出项目需求，提供预算编制的基础材料及费用构成明细，提出涉及的政府采购事项和对应的预算；归口管理部门负责审核预算项目中涉及的政府采购预算；财务部门负责组织政府采购预算的汇总、审核、编制、报送和调整（剂）。</w:t>
      </w:r>
    </w:p>
    <w:p>
      <w:pPr>
        <w:widowControl/>
        <w:spacing w:line="580" w:lineRule="exact"/>
        <w:ind w:firstLine="642" w:firstLineChars="200"/>
        <w:jc w:val="left"/>
        <w:rPr>
          <w:rFonts w:hint="eastAsia" w:ascii="仿宋_GB2312" w:hAnsi="仿宋_GB2312" w:eastAsia="仿宋_GB2312" w:cs="仿宋_GB2312"/>
          <w:b/>
          <w:bCs w:val="0"/>
          <w:lang w:eastAsia="zh-CN"/>
        </w:rPr>
      </w:pPr>
      <w:r>
        <w:rPr>
          <w:rFonts w:hint="eastAsia" w:ascii="仿宋_GB2312" w:hAnsi="仿宋_GB2312" w:eastAsia="仿宋_GB2312" w:cs="仿宋_GB2312"/>
          <w:b/>
          <w:bCs w:val="0"/>
          <w:lang w:eastAsia="zh-CN"/>
        </w:rPr>
        <w:t>3.基本流程。</w:t>
      </w:r>
    </w:p>
    <w:p>
      <w:pPr>
        <w:widowControl/>
        <w:spacing w:line="580" w:lineRule="exact"/>
        <w:ind w:firstLine="642" w:firstLineChars="200"/>
        <w:jc w:val="left"/>
        <w:rPr>
          <w:rFonts w:hint="eastAsia" w:ascii="仿宋_GB2312" w:hAnsi="仿宋_GB2312" w:eastAsia="仿宋_GB2312" w:cs="仿宋_GB2312"/>
          <w:bCs/>
          <w:lang w:eastAsia="zh-CN"/>
        </w:rPr>
      </w:pPr>
      <w:r>
        <w:rPr>
          <w:rFonts w:hint="eastAsia" w:ascii="仿宋_GB2312" w:hAnsi="仿宋_GB2312" w:eastAsia="仿宋_GB2312" w:cs="仿宋_GB2312"/>
          <w:b/>
          <w:bCs w:val="0"/>
          <w:lang w:eastAsia="zh-CN"/>
        </w:rPr>
        <w:t>（1）提出项目预算需求。</w:t>
      </w:r>
      <w:r>
        <w:rPr>
          <w:rFonts w:hint="eastAsia" w:ascii="仿宋_GB2312" w:hAnsi="仿宋_GB2312" w:eastAsia="仿宋_GB2312" w:cs="仿宋_GB2312"/>
          <w:bCs/>
          <w:lang w:eastAsia="zh-CN"/>
        </w:rPr>
        <w:t>各单位可根据实际，区分项目属性确定不同的编制要求，对于常年实施的项目，可依据上一期经费测算标准，结合实际作适当调整后，确定项目预算需求；对于一次性项目，要严格测算项目经费需求及构成明细。业务需求部门根据单位部门预算编制工作要求，结合实际工作需求并经过市场调查，同类项目历史成交情况、“货比三家”情况等，测算项目经费构成，提出本年度项目预算需求，履行决策程序后，报财务部门初审、汇总。</w:t>
      </w:r>
    </w:p>
    <w:p>
      <w:pPr>
        <w:widowControl/>
        <w:spacing w:line="580" w:lineRule="exact"/>
        <w:ind w:firstLine="642" w:firstLineChars="200"/>
        <w:jc w:val="left"/>
        <w:rPr>
          <w:rFonts w:hint="eastAsia" w:ascii="仿宋_GB2312" w:hAnsi="仿宋_GB2312" w:eastAsia="仿宋_GB2312" w:cs="仿宋_GB2312"/>
          <w:bCs/>
          <w:lang w:eastAsia="zh-CN"/>
        </w:rPr>
      </w:pPr>
      <w:r>
        <w:rPr>
          <w:rFonts w:hint="eastAsia" w:ascii="仿宋_GB2312" w:hAnsi="仿宋_GB2312" w:eastAsia="仿宋_GB2312" w:cs="仿宋_GB2312"/>
          <w:b/>
          <w:bCs w:val="0"/>
          <w:lang w:eastAsia="zh-CN"/>
        </w:rPr>
        <w:t>（2）审核项目预算。</w:t>
      </w:r>
      <w:r>
        <w:rPr>
          <w:rFonts w:hint="eastAsia" w:ascii="仿宋_GB2312" w:hAnsi="仿宋_GB2312" w:eastAsia="仿宋_GB2312" w:cs="仿宋_GB2312"/>
          <w:bCs/>
          <w:lang w:eastAsia="zh-CN"/>
        </w:rPr>
        <w:t>财务部门根据单位预算编制管理要求，对业务需求部门提交的项目预算申请进行审核，对金额较大、技术复杂、专业性强的一次性项目，委托第三方专业机构进行预算审查。不符合要求的，不予纳入预算安排，并反馈业务需求部门；需要补充完善的，反馈业务需求部门进行说明或者补充材料。</w:t>
      </w:r>
    </w:p>
    <w:p>
      <w:pPr>
        <w:widowControl/>
        <w:spacing w:line="580" w:lineRule="exact"/>
        <w:ind w:firstLine="642" w:firstLineChars="200"/>
        <w:jc w:val="left"/>
        <w:rPr>
          <w:rFonts w:hint="eastAsia" w:ascii="仿宋_GB2312" w:hAnsi="仿宋_GB2312" w:eastAsia="仿宋_GB2312" w:cs="仿宋_GB2312"/>
          <w:bCs/>
          <w:lang w:eastAsia="zh-CN"/>
        </w:rPr>
      </w:pPr>
      <w:r>
        <w:rPr>
          <w:rFonts w:hint="eastAsia" w:ascii="仿宋_GB2312" w:hAnsi="仿宋_GB2312" w:eastAsia="仿宋_GB2312" w:cs="仿宋_GB2312"/>
          <w:b/>
          <w:bCs w:val="0"/>
          <w:lang w:eastAsia="zh-CN"/>
        </w:rPr>
        <w:t>（3）编制采购预算。</w:t>
      </w:r>
      <w:r>
        <w:rPr>
          <w:rFonts w:hint="eastAsia" w:ascii="仿宋_GB2312" w:hAnsi="仿宋_GB2312" w:eastAsia="仿宋_GB2312" w:cs="仿宋_GB2312"/>
          <w:bCs/>
          <w:lang w:eastAsia="zh-CN"/>
        </w:rPr>
        <w:t>经财务部门审核，符合要求的项目，反馈业务需求部门和归口管理部门。对于其中涉及采购货物、工程或者服务的，由业务需求部门根据政府采购认定标准，梳理涉及政府采购的事项确定对应的采购品目和预算金额，送归口管理部门审核。归口管理部门进行审核后，符合要求的，汇总报财务部门；不符合要求的，反馈业务需求部门进行补充完善。</w:t>
      </w:r>
    </w:p>
    <w:p>
      <w:pPr>
        <w:widowControl/>
        <w:spacing w:line="580" w:lineRule="exact"/>
        <w:ind w:firstLine="642" w:firstLineChars="200"/>
        <w:jc w:val="left"/>
        <w:rPr>
          <w:rFonts w:hint="eastAsia" w:ascii="仿宋_GB2312" w:hAnsi="仿宋_GB2312" w:eastAsia="仿宋_GB2312" w:cs="仿宋_GB2312"/>
          <w:bCs/>
          <w:lang w:eastAsia="zh-CN"/>
        </w:rPr>
      </w:pPr>
      <w:r>
        <w:rPr>
          <w:rFonts w:hint="eastAsia" w:ascii="仿宋_GB2312" w:hAnsi="仿宋_GB2312" w:eastAsia="仿宋_GB2312" w:cs="仿宋_GB2312"/>
          <w:b/>
          <w:bCs w:val="0"/>
          <w:lang w:eastAsia="zh-CN"/>
        </w:rPr>
        <w:t>（4）确定项目预算需求。</w:t>
      </w:r>
      <w:r>
        <w:rPr>
          <w:rFonts w:hint="eastAsia" w:ascii="仿宋_GB2312" w:hAnsi="仿宋_GB2312" w:eastAsia="仿宋_GB2312" w:cs="仿宋_GB2312"/>
          <w:bCs/>
          <w:lang w:eastAsia="zh-CN"/>
        </w:rPr>
        <w:t>财务部门汇总预算项目及涉及的采购预算，履行决策程序，按规定向主管预算单位、财政局申报。</w:t>
      </w:r>
    </w:p>
    <w:p>
      <w:pPr>
        <w:spacing w:line="580" w:lineRule="exact"/>
        <w:ind w:firstLine="640"/>
        <w:rPr>
          <w:rFonts w:hint="eastAsia" w:eastAsia="仿宋"/>
          <w:b/>
          <w:bCs/>
        </w:rPr>
      </w:pPr>
      <w:r>
        <w:rPr>
          <w:rFonts w:hint="eastAsia" w:ascii="仿宋_GB2312" w:hAnsi="仿宋_GB2312" w:eastAsia="仿宋_GB2312" w:cs="仿宋_GB2312"/>
          <w:b/>
          <w:bCs w:val="0"/>
          <w:lang w:eastAsia="zh-CN"/>
        </w:rPr>
        <w:t>4.预留采购份额专门面向中小企业采购。</w:t>
      </w:r>
    </w:p>
    <w:p>
      <w:pPr>
        <w:widowControl/>
        <w:spacing w:line="580" w:lineRule="exact"/>
        <w:ind w:firstLine="640" w:firstLineChars="200"/>
        <w:jc w:val="left"/>
        <w:rPr>
          <w:rFonts w:hint="eastAsia" w:ascii="仿宋_GB2312" w:hAnsi="仿宋_GB2312" w:eastAsia="仿宋_GB2312" w:cs="仿宋_GB2312"/>
          <w:bCs/>
          <w:lang w:eastAsia="zh-CN"/>
        </w:rPr>
      </w:pPr>
      <w:r>
        <w:rPr>
          <w:rFonts w:hint="eastAsia" w:ascii="仿宋_GB2312" w:hAnsi="仿宋_GB2312" w:eastAsia="仿宋_GB2312" w:cs="仿宋_GB2312"/>
          <w:bCs/>
          <w:lang w:eastAsia="zh-CN"/>
        </w:rPr>
        <w:t>根据《财政部工业和信息化部关于印发&lt;政府采购促进中小企业发展管理办法&gt;的通知》（财库〔2020〕46号）的规定，主管预算单位负责统筹落实本部门预留份额面向中小企业采购政策。</w:t>
      </w:r>
    </w:p>
    <w:p>
      <w:pPr>
        <w:widowControl/>
        <w:spacing w:line="580" w:lineRule="exact"/>
        <w:ind w:firstLine="640" w:firstLineChars="200"/>
        <w:jc w:val="left"/>
        <w:rPr>
          <w:rFonts w:hint="eastAsia" w:ascii="仿宋_GB2312" w:hAnsi="仿宋_GB2312" w:eastAsia="仿宋_GB2312" w:cs="仿宋_GB2312"/>
          <w:bCs/>
          <w:lang w:eastAsia="zh-CN"/>
        </w:rPr>
      </w:pPr>
      <w:r>
        <w:rPr>
          <w:rFonts w:hint="eastAsia" w:ascii="仿宋_GB2312" w:hAnsi="仿宋_GB2312" w:eastAsia="仿宋_GB2312" w:cs="仿宋_GB2312"/>
          <w:bCs/>
          <w:lang w:eastAsia="zh-CN"/>
        </w:rPr>
        <w:t>除《办法》规定可以不专门面向中小企业采购的情形外，对采购预算在 200 万元以下的货物和服务、400 万元以下的工程政府采购项目，原则上都专门面向中小企业采购；超过200 万元的货物和服务、超过400 万元的工程采购项目，预留部分份额专门面向中小企业采购，并确保预留该部分采购项目预算总额的30%以上专门面向中小企业采购，其中预留给小微企业的比例不低于60%。</w:t>
      </w:r>
    </w:p>
    <w:p>
      <w:pPr>
        <w:widowControl/>
        <w:spacing w:line="580" w:lineRule="exact"/>
        <w:ind w:firstLine="640" w:firstLineChars="200"/>
        <w:jc w:val="left"/>
        <w:rPr>
          <w:rFonts w:hint="eastAsia" w:ascii="仿宋_GB2312" w:hAnsi="仿宋_GB2312" w:eastAsia="仿宋_GB2312" w:cs="仿宋_GB2312"/>
          <w:bCs/>
          <w:lang w:eastAsia="zh-CN"/>
        </w:rPr>
      </w:pPr>
      <w:r>
        <w:rPr>
          <w:rFonts w:hint="eastAsia" w:ascii="仿宋_GB2312" w:hAnsi="仿宋_GB2312" w:eastAsia="仿宋_GB2312" w:cs="仿宋_GB2312"/>
          <w:bCs/>
          <w:lang w:eastAsia="zh-CN"/>
        </w:rPr>
        <w:t>业务需求部门应当结合项目实际情况，在确定采购品目后，根据《办法》第二、三、四条的规定，根据市场情况确定是否可以专门面向中小企业采购。对经过市场调查，符合《办法》第六条的规定且中小企业确实无法承接的项目，书面向财政部门说明情况并在计划备案时备注说明情况。</w:t>
      </w:r>
    </w:p>
    <w:p>
      <w:pPr>
        <w:spacing w:line="580" w:lineRule="exact"/>
        <w:ind w:firstLine="640"/>
        <w:rPr>
          <w:rFonts w:hint="eastAsia" w:ascii="仿宋_GB2312" w:hAnsi="仿宋_GB2312" w:eastAsia="仿宋_GB2312" w:cs="仿宋_GB2312"/>
          <w:b/>
          <w:bCs w:val="0"/>
          <w:lang w:eastAsia="zh-CN"/>
        </w:rPr>
      </w:pPr>
      <w:r>
        <w:rPr>
          <w:rFonts w:hint="eastAsia" w:ascii="仿宋_GB2312" w:hAnsi="仿宋_GB2312" w:eastAsia="仿宋_GB2312" w:cs="仿宋_GB2312"/>
          <w:b/>
          <w:bCs w:val="0"/>
          <w:lang w:eastAsia="zh-CN"/>
        </w:rPr>
        <w:t>5. 执行中追加、调剂预算、提前采购和紧急采购</w:t>
      </w:r>
    </w:p>
    <w:p>
      <w:pPr>
        <w:widowControl/>
        <w:spacing w:line="580" w:lineRule="exact"/>
        <w:ind w:firstLine="640" w:firstLineChars="200"/>
        <w:jc w:val="left"/>
        <w:rPr>
          <w:rFonts w:hint="eastAsia" w:ascii="仿宋_GB2312" w:hAnsi="仿宋_GB2312" w:eastAsia="仿宋_GB2312" w:cs="仿宋_GB2312"/>
          <w:bCs/>
          <w:lang w:eastAsia="zh-CN"/>
        </w:rPr>
      </w:pPr>
      <w:r>
        <w:rPr>
          <w:rFonts w:hint="eastAsia" w:ascii="仿宋_GB2312" w:hAnsi="仿宋_GB2312" w:eastAsia="仿宋_GB2312" w:cs="仿宋_GB2312"/>
          <w:bCs/>
          <w:lang w:eastAsia="zh-CN"/>
        </w:rPr>
        <w:t>执行中需要追加预算的，由业务需求部门提出并提供相应依据，财务部门审核后，履行决策程序，报主管预算单位、财政局。</w:t>
      </w:r>
    </w:p>
    <w:p>
      <w:pPr>
        <w:widowControl/>
        <w:spacing w:line="580" w:lineRule="exact"/>
        <w:ind w:firstLine="640" w:firstLineChars="200"/>
        <w:jc w:val="left"/>
        <w:rPr>
          <w:rFonts w:hint="eastAsia" w:ascii="仿宋_GB2312" w:hAnsi="仿宋_GB2312" w:eastAsia="仿宋_GB2312" w:cs="仿宋_GB2312"/>
          <w:bCs/>
          <w:lang w:eastAsia="zh-CN"/>
        </w:rPr>
      </w:pPr>
      <w:r>
        <w:rPr>
          <w:rFonts w:hint="eastAsia" w:ascii="仿宋_GB2312" w:hAnsi="仿宋_GB2312" w:eastAsia="仿宋_GB2312" w:cs="仿宋_GB2312"/>
          <w:bCs/>
          <w:lang w:eastAsia="zh-CN"/>
        </w:rPr>
        <w:t>需要调剂预算的，应当符合市级预算调剂管理办法规定，由业务需求部门提出并提供相应依据，财务部门审核后，履行决策程序（</w:t>
      </w:r>
      <w:r>
        <w:rPr>
          <w:rFonts w:hint="eastAsia" w:ascii="仿宋_GB2312" w:hAnsi="仿宋_GB2312" w:eastAsia="仿宋_GB2312" w:cs="仿宋_GB2312"/>
          <w:b/>
          <w:bCs w:val="0"/>
          <w:lang w:eastAsia="zh-CN"/>
        </w:rPr>
        <w:t>提示</w:t>
      </w:r>
      <w:r>
        <w:rPr>
          <w:rFonts w:hint="eastAsia" w:ascii="仿宋_GB2312" w:hAnsi="仿宋_GB2312" w:eastAsia="仿宋_GB2312" w:cs="仿宋_GB2312"/>
          <w:bCs/>
          <w:lang w:eastAsia="zh-CN"/>
        </w:rPr>
        <w:t>：重点加强对将政府采购预算调整为非政府采购预算的审核，建议一般事项经领导小组会议或者单位行政办公会审议，重要事项最终经单位党委党组会议审议），报主管预算单位、财政局。</w:t>
      </w:r>
    </w:p>
    <w:p>
      <w:pPr>
        <w:widowControl/>
        <w:spacing w:line="580" w:lineRule="exact"/>
        <w:ind w:firstLine="640" w:firstLineChars="200"/>
        <w:jc w:val="left"/>
        <w:rPr>
          <w:rFonts w:hint="eastAsia" w:ascii="仿宋_GB2312" w:hAnsi="仿宋_GB2312" w:eastAsia="仿宋_GB2312" w:cs="仿宋_GB2312"/>
          <w:bCs/>
          <w:lang w:eastAsia="zh-CN"/>
        </w:rPr>
      </w:pPr>
      <w:r>
        <w:rPr>
          <w:rFonts w:hint="eastAsia" w:ascii="仿宋_GB2312" w:hAnsi="仿宋_GB2312" w:eastAsia="仿宋_GB2312" w:cs="仿宋_GB2312"/>
          <w:bCs/>
          <w:lang w:eastAsia="zh-CN"/>
        </w:rPr>
        <w:t>对符合财政部门规定可以提前采购的项目或者可以签订三年合同履行期限的服务项目，由归口管理部门组织业务需求部门申报，财务部门统筹预算安排，履行决策程序，金额较大、一次性项目或者批量申请的建议通过单位行政办公会或者党委党组会审议，向主管预算单位、财政局申请提前采购预算指标或者同意签订三年履行期限合同。（</w:t>
      </w:r>
      <w:r>
        <w:rPr>
          <w:rFonts w:hint="eastAsia" w:ascii="仿宋_GB2312" w:hAnsi="仿宋_GB2312" w:eastAsia="仿宋_GB2312" w:cs="仿宋_GB2312"/>
          <w:b/>
          <w:bCs w:val="0"/>
          <w:lang w:eastAsia="zh-CN"/>
        </w:rPr>
        <w:t>提示</w:t>
      </w:r>
      <w:r>
        <w:rPr>
          <w:rFonts w:hint="eastAsia" w:ascii="仿宋_GB2312" w:hAnsi="仿宋_GB2312" w:eastAsia="仿宋_GB2312" w:cs="仿宋_GB2312"/>
          <w:bCs/>
          <w:lang w:eastAsia="zh-CN"/>
        </w:rPr>
        <w:t>：重点审核未来预算是否能够足额保障，申请签订不超过三年履行期限合同的是否符合签订不超过三年履行期限合同的条件）</w:t>
      </w:r>
    </w:p>
    <w:p>
      <w:pPr>
        <w:widowControl/>
        <w:spacing w:line="580" w:lineRule="exact"/>
        <w:ind w:firstLine="640" w:firstLineChars="200"/>
        <w:jc w:val="left"/>
        <w:rPr>
          <w:rFonts w:hint="eastAsia" w:ascii="仿宋_GB2312" w:hAnsi="仿宋_GB2312" w:eastAsia="仿宋_GB2312" w:cs="仿宋_GB2312"/>
          <w:bCs/>
          <w:lang w:eastAsia="zh-CN"/>
        </w:rPr>
      </w:pPr>
      <w:r>
        <w:rPr>
          <w:rFonts w:hint="eastAsia" w:ascii="仿宋_GB2312" w:hAnsi="仿宋_GB2312" w:eastAsia="仿宋_GB2312" w:cs="仿宋_GB2312"/>
          <w:bCs/>
          <w:lang w:eastAsia="zh-CN"/>
        </w:rPr>
        <w:t>紧急采购指</w:t>
      </w:r>
      <w:r>
        <w:rPr>
          <w:rFonts w:hint="eastAsia" w:ascii="仿宋_GB2312" w:hAnsi="仿宋_GB2312" w:eastAsia="仿宋_GB2312" w:cs="仿宋_GB2312"/>
          <w:bCs/>
          <w:lang w:val="en-US" w:eastAsia="zh-CN"/>
        </w:rPr>
        <w:t>对因严重自然灾害和其他不可抗力事件导致需要紧急实施的政府采购，履行内部程序后，可不再执行政府采购相关规定。</w:t>
      </w:r>
    </w:p>
    <w:p>
      <w:pPr>
        <w:spacing w:line="580" w:lineRule="exact"/>
        <w:ind w:firstLine="642" w:firstLineChars="200"/>
        <w:rPr>
          <w:rFonts w:hint="eastAsia" w:ascii="楷体_GB2312" w:eastAsia="楷体_GB2312" w:cs="楷体_GB2312"/>
          <w:b/>
          <w:bCs w:val="0"/>
        </w:rPr>
      </w:pPr>
      <w:r>
        <w:rPr>
          <w:rFonts w:hint="eastAsia" w:ascii="楷体_GB2312" w:eastAsia="楷体_GB2312" w:cs="楷体_GB2312"/>
          <w:b/>
          <w:bCs w:val="0"/>
        </w:rPr>
        <w:t>（二）公开采购意向</w:t>
      </w:r>
    </w:p>
    <w:p>
      <w:pPr>
        <w:tabs>
          <w:tab w:val="left" w:pos="0"/>
        </w:tabs>
        <w:spacing w:line="580" w:lineRule="exact"/>
        <w:ind w:firstLine="642" w:firstLineChars="200"/>
        <w:rPr>
          <w:rFonts w:hint="eastAsia" w:ascii="仿宋_GB2312" w:hAnsi="仿宋_GB2312" w:eastAsia="仿宋_GB2312" w:cs="仿宋_GB2312"/>
          <w:bCs/>
          <w:lang w:val="en-US" w:eastAsia="zh-CN"/>
        </w:rPr>
      </w:pPr>
      <w:r>
        <w:rPr>
          <w:rFonts w:hint="eastAsia" w:ascii="仿宋_GB2312" w:hAnsi="仿宋_GB2312" w:eastAsia="仿宋_GB2312" w:cs="仿宋_GB2312"/>
          <w:b/>
          <w:bCs/>
        </w:rPr>
        <w:t>1.相关制度依据。</w:t>
      </w:r>
      <w:r>
        <w:rPr>
          <w:rFonts w:hint="eastAsia" w:ascii="仿宋_GB2312" w:hAnsi="仿宋_GB2312" w:eastAsia="仿宋_GB2312" w:cs="仿宋_GB2312"/>
          <w:bCs/>
          <w:lang w:val="en-US" w:eastAsia="zh-CN"/>
        </w:rPr>
        <w:t>财政部关于政府采购意向公开的规定、《新乡市财政局关于转发&lt;河南省财政厅关于开展政府采购意向公开工作的通知&gt;的通知》。</w:t>
      </w:r>
    </w:p>
    <w:p>
      <w:pPr>
        <w:widowControl/>
        <w:spacing w:line="580" w:lineRule="exact"/>
        <w:ind w:firstLine="642" w:firstLineChars="200"/>
        <w:jc w:val="left"/>
        <w:rPr>
          <w:rFonts w:hint="eastAsia" w:ascii="仿宋_GB2312" w:hAnsi="仿宋_GB2312" w:eastAsia="仿宋_GB2312" w:cs="仿宋_GB2312"/>
          <w:bCs/>
          <w:lang w:val="en-US" w:eastAsia="zh-CN"/>
        </w:rPr>
      </w:pPr>
      <w:r>
        <w:rPr>
          <w:rFonts w:hint="eastAsia" w:ascii="仿宋_GB2312" w:hAnsi="仿宋_GB2312" w:eastAsia="仿宋_GB2312" w:cs="仿宋_GB2312"/>
          <w:b/>
          <w:bCs/>
        </w:rPr>
        <w:t>2.职责分工。</w:t>
      </w:r>
      <w:r>
        <w:rPr>
          <w:rFonts w:hint="eastAsia" w:ascii="仿宋_GB2312" w:hAnsi="仿宋_GB2312" w:eastAsia="仿宋_GB2312" w:cs="仿宋_GB2312"/>
          <w:bCs/>
          <w:lang w:val="en-US" w:eastAsia="zh-CN"/>
        </w:rPr>
        <w:t>归口管理部门负责组织公开本单位采购意向；业务需求部门负责提供采购意向公开内容。</w:t>
      </w:r>
    </w:p>
    <w:p>
      <w:pPr>
        <w:widowControl/>
        <w:spacing w:line="580" w:lineRule="exact"/>
        <w:ind w:firstLine="642" w:firstLineChars="200"/>
        <w:jc w:val="left"/>
        <w:rPr>
          <w:rFonts w:hint="eastAsia" w:ascii="仿宋_GB2312" w:hAnsi="仿宋_GB2312" w:eastAsia="仿宋_GB2312" w:cs="仿宋_GB2312"/>
          <w:b/>
          <w:bCs/>
        </w:rPr>
      </w:pPr>
      <w:r>
        <w:rPr>
          <w:rFonts w:hint="eastAsia" w:ascii="仿宋_GB2312" w:hAnsi="仿宋_GB2312" w:eastAsia="仿宋_GB2312" w:cs="仿宋_GB2312"/>
          <w:b/>
          <w:bCs/>
        </w:rPr>
        <w:t>3.基本流程。</w:t>
      </w:r>
    </w:p>
    <w:p>
      <w:pPr>
        <w:widowControl/>
        <w:spacing w:line="580" w:lineRule="exact"/>
        <w:ind w:firstLine="642" w:firstLineChars="200"/>
        <w:jc w:val="left"/>
        <w:rPr>
          <w:rFonts w:hint="eastAsia" w:ascii="仿宋_GB2312" w:hAnsi="仿宋_GB2312" w:eastAsia="仿宋_GB2312" w:cs="仿宋_GB2312"/>
          <w:bCs/>
          <w:lang w:val="en-US" w:eastAsia="zh-CN"/>
        </w:rPr>
      </w:pPr>
      <w:r>
        <w:rPr>
          <w:rFonts w:hint="eastAsia" w:ascii="仿宋_GB2312" w:hAnsi="仿宋_GB2312" w:eastAsia="仿宋_GB2312" w:cs="仿宋_GB2312"/>
          <w:b/>
          <w:bCs w:val="0"/>
          <w:lang w:val="en-US" w:eastAsia="zh-CN"/>
        </w:rPr>
        <w:t>（1）确定意向公开内容。</w:t>
      </w:r>
      <w:r>
        <w:rPr>
          <w:rFonts w:hint="eastAsia" w:ascii="仿宋_GB2312" w:hAnsi="仿宋_GB2312" w:eastAsia="仿宋_GB2312" w:cs="仿宋_GB2312"/>
          <w:bCs/>
          <w:lang w:val="en-US" w:eastAsia="zh-CN"/>
        </w:rPr>
        <w:t>业务需求部门根据批复的采购预算，结合项目实施安排，确定采购项目名称、采购品目、主要标的、预算金额、计划实施时间、供应商资格要求等意向信息，履行决策程序，报归口管理部门。</w:t>
      </w:r>
    </w:p>
    <w:p>
      <w:pPr>
        <w:widowControl/>
        <w:spacing w:line="580" w:lineRule="exact"/>
        <w:ind w:firstLine="642" w:firstLineChars="200"/>
        <w:jc w:val="left"/>
        <w:rPr>
          <w:rFonts w:hint="eastAsia" w:ascii="仿宋_GB2312" w:hAnsi="仿宋_GB2312" w:eastAsia="仿宋_GB2312" w:cs="仿宋_GB2312"/>
          <w:bCs/>
          <w:lang w:val="en-US" w:eastAsia="zh-CN"/>
        </w:rPr>
      </w:pPr>
      <w:r>
        <w:rPr>
          <w:rFonts w:hint="eastAsia" w:ascii="仿宋_GB2312" w:hAnsi="仿宋_GB2312" w:eastAsia="仿宋_GB2312" w:cs="仿宋_GB2312"/>
          <w:b/>
          <w:bCs w:val="0"/>
          <w:lang w:val="en-US" w:eastAsia="zh-CN"/>
        </w:rPr>
        <w:t>（2）发布采购意向。</w:t>
      </w:r>
      <w:r>
        <w:rPr>
          <w:rFonts w:hint="eastAsia" w:ascii="仿宋_GB2312" w:hAnsi="仿宋_GB2312" w:eastAsia="仿宋_GB2312" w:cs="仿宋_GB2312"/>
          <w:bCs/>
          <w:lang w:val="en-US" w:eastAsia="zh-CN"/>
        </w:rPr>
        <w:t>归口管理部门汇总、审核业务需求部门提交的采购意向信息，拟公开的采购意向信息应与批复的采购预算信息和本单位采购实施进度安排一致，应符合财政部门信息发布管理要求，登录相关业务系统录入、发布采购意向信息。审核不符合规定的，反馈业务需求部门进行补充完善。</w:t>
      </w:r>
    </w:p>
    <w:p>
      <w:pPr>
        <w:widowControl/>
        <w:spacing w:line="580" w:lineRule="exact"/>
        <w:ind w:firstLine="642" w:firstLineChars="200"/>
        <w:jc w:val="left"/>
        <w:rPr>
          <w:rFonts w:hint="eastAsia" w:ascii="仿宋_GB2312" w:hAnsi="仿宋_GB2312" w:eastAsia="仿宋_GB2312" w:cs="仿宋_GB2312"/>
          <w:bCs/>
          <w:lang w:val="en-US" w:eastAsia="zh-CN"/>
        </w:rPr>
      </w:pPr>
      <w:r>
        <w:rPr>
          <w:rFonts w:hint="eastAsia" w:ascii="仿宋_GB2312" w:hAnsi="仿宋_GB2312" w:eastAsia="仿宋_GB2312" w:cs="仿宋_GB2312"/>
          <w:b/>
          <w:bCs w:val="0"/>
          <w:lang w:val="en-US" w:eastAsia="zh-CN"/>
        </w:rPr>
        <w:t>（3）防范处置风险。</w:t>
      </w:r>
      <w:r>
        <w:rPr>
          <w:rFonts w:hint="eastAsia" w:ascii="仿宋_GB2312" w:hAnsi="仿宋_GB2312" w:eastAsia="仿宋_GB2312" w:cs="仿宋_GB2312"/>
          <w:bCs/>
          <w:lang w:val="en-US" w:eastAsia="zh-CN"/>
        </w:rPr>
        <w:t>发现存在不能通过替换、隐藏、删除等方式处理的涉密敏感信息，履行决策程序，提交发布，并建立应急处置预案。</w:t>
      </w:r>
    </w:p>
    <w:p>
      <w:pPr>
        <w:tabs>
          <w:tab w:val="left" w:pos="0"/>
        </w:tabs>
        <w:spacing w:line="580" w:lineRule="exact"/>
        <w:ind w:firstLine="642" w:firstLineChars="200"/>
        <w:rPr>
          <w:rFonts w:hint="eastAsia" w:ascii="楷体_GB2312" w:eastAsia="楷体_GB2312" w:cs="楷体_GB2312"/>
          <w:b/>
          <w:bCs w:val="0"/>
        </w:rPr>
      </w:pPr>
      <w:r>
        <w:rPr>
          <w:rFonts w:hint="eastAsia" w:ascii="楷体_GB2312" w:eastAsia="楷体_GB2312" w:cs="楷体_GB2312"/>
          <w:b/>
          <w:bCs w:val="0"/>
        </w:rPr>
        <w:t>（三）制定采购需求</w:t>
      </w:r>
    </w:p>
    <w:p>
      <w:pPr>
        <w:spacing w:line="580" w:lineRule="exact"/>
        <w:ind w:firstLine="640"/>
        <w:rPr>
          <w:rFonts w:hint="eastAsia" w:ascii="仿宋_GB2312" w:hAnsi="仿宋_GB2312" w:eastAsia="仿宋_GB2312" w:cs="仿宋_GB2312"/>
          <w:bCs/>
        </w:rPr>
      </w:pPr>
      <w:r>
        <w:rPr>
          <w:rFonts w:hint="eastAsia" w:ascii="仿宋_GB2312" w:hAnsi="仿宋_GB2312" w:eastAsia="仿宋_GB2312" w:cs="仿宋_GB2312"/>
          <w:b/>
          <w:bCs/>
        </w:rPr>
        <w:t>1.相关制度依据</w:t>
      </w:r>
      <w:r>
        <w:rPr>
          <w:rFonts w:hint="eastAsia" w:ascii="仿宋_GB2312" w:hAnsi="仿宋_GB2312" w:eastAsia="仿宋_GB2312" w:cs="仿宋_GB2312"/>
          <w:b/>
          <w:bCs/>
          <w:lang w:eastAsia="zh-CN"/>
        </w:rPr>
        <w:t>和要求</w:t>
      </w:r>
      <w:r>
        <w:rPr>
          <w:rFonts w:hint="eastAsia" w:ascii="仿宋_GB2312" w:hAnsi="仿宋_GB2312" w:eastAsia="仿宋_GB2312" w:cs="仿宋_GB2312"/>
          <w:b/>
          <w:bCs/>
        </w:rPr>
        <w:t>。</w:t>
      </w:r>
      <w:r>
        <w:rPr>
          <w:rFonts w:hint="eastAsia" w:ascii="仿宋_GB2312" w:hAnsi="仿宋_GB2312" w:eastAsia="仿宋_GB2312" w:cs="仿宋_GB2312"/>
          <w:bCs/>
        </w:rPr>
        <w:t>采购法实施条例第十一条、十五条，《政府采购需求管理办法》（财库〔2021〕22号）</w:t>
      </w:r>
      <w:r>
        <w:rPr>
          <w:rFonts w:hint="eastAsia" w:ascii="仿宋_GB2312" w:hAnsi="仿宋_GB2312" w:eastAsia="仿宋_GB2312" w:cs="仿宋_GB2312"/>
          <w:bCs/>
          <w:lang w:eastAsia="zh-CN"/>
        </w:rPr>
        <w:t>、《新乡市政府采购需求和履约验收管理暂行办法》</w:t>
      </w:r>
      <w:r>
        <w:rPr>
          <w:rFonts w:hint="eastAsia" w:ascii="仿宋_GB2312" w:hAnsi="仿宋_GB2312" w:eastAsia="仿宋_GB2312" w:cs="仿宋_GB2312"/>
          <w:bCs/>
        </w:rPr>
        <w:t>。</w:t>
      </w:r>
    </w:p>
    <w:p>
      <w:pPr>
        <w:spacing w:line="580" w:lineRule="exact"/>
        <w:ind w:firstLine="640"/>
        <w:rPr>
          <w:rFonts w:hint="eastAsia" w:ascii="仿宋_GB2312" w:hAnsi="仿宋_GB2312" w:eastAsia="仿宋_GB2312" w:cs="仿宋_GB2312"/>
          <w:bCs/>
          <w:lang w:eastAsia="zh-CN"/>
        </w:rPr>
      </w:pPr>
      <w:r>
        <w:rPr>
          <w:rFonts w:hint="eastAsia" w:ascii="仿宋_GB2312" w:hAnsi="仿宋_GB2312" w:eastAsia="仿宋_GB2312" w:cs="仿宋_GB2312"/>
          <w:bCs/>
          <w:lang w:eastAsia="zh-CN"/>
        </w:rPr>
        <w:t>采购人应切实履行采购需求管理主体责任，按照需求管理办法规定开展需求管理各项工作，对采购需求和采购实施计划的合法性、合规性、合理性负责。主要预算单位同时负责指导本部门采购需求管理工作。</w:t>
      </w:r>
    </w:p>
    <w:p>
      <w:pPr>
        <w:spacing w:line="580" w:lineRule="exact"/>
        <w:ind w:firstLine="640"/>
        <w:rPr>
          <w:rFonts w:hint="eastAsia" w:ascii="仿宋_GB2312" w:hAnsi="仿宋_GB2312" w:eastAsia="仿宋_GB2312" w:cs="仿宋_GB2312"/>
          <w:bCs/>
          <w:lang w:eastAsia="zh-CN"/>
        </w:rPr>
      </w:pPr>
      <w:r>
        <w:rPr>
          <w:rFonts w:hint="eastAsia" w:ascii="仿宋_GB2312" w:hAnsi="仿宋_GB2312" w:eastAsia="仿宋_GB2312" w:cs="仿宋_GB2312"/>
          <w:b/>
          <w:bCs/>
        </w:rPr>
        <w:t>2.职责分工。</w:t>
      </w:r>
      <w:r>
        <w:rPr>
          <w:rFonts w:hint="eastAsia" w:ascii="仿宋_GB2312" w:hAnsi="仿宋_GB2312" w:eastAsia="仿宋_GB2312" w:cs="仿宋_GB2312"/>
          <w:bCs/>
          <w:lang w:eastAsia="zh-CN"/>
        </w:rPr>
        <w:t>业务需求部门负责采购需求的编制，归口管理部门负责组织采购需求的审查。</w:t>
      </w:r>
    </w:p>
    <w:p>
      <w:pPr>
        <w:spacing w:line="580" w:lineRule="exact"/>
        <w:ind w:firstLine="640"/>
        <w:rPr>
          <w:rFonts w:hint="eastAsia" w:ascii="仿宋_GB2312" w:hAnsi="仿宋_GB2312" w:eastAsia="仿宋_GB2312" w:cs="仿宋_GB2312"/>
          <w:bCs/>
          <w:lang w:eastAsia="zh-CN"/>
        </w:rPr>
      </w:pPr>
      <w:r>
        <w:rPr>
          <w:rFonts w:hint="eastAsia" w:ascii="仿宋_GB2312" w:hAnsi="仿宋_GB2312" w:eastAsia="仿宋_GB2312" w:cs="仿宋_GB2312"/>
          <w:b/>
          <w:bCs/>
        </w:rPr>
        <w:t>3.基本流程。</w:t>
      </w:r>
      <w:r>
        <w:rPr>
          <w:rFonts w:hint="eastAsia" w:ascii="仿宋_GB2312" w:hAnsi="仿宋_GB2312" w:eastAsia="仿宋_GB2312" w:cs="仿宋_GB2312"/>
          <w:bCs/>
          <w:lang w:eastAsia="zh-CN"/>
        </w:rPr>
        <w:t>采购需求应当依据批复的部门预算（工程项目概预算）编制。采购需求包括技术、商务等要求。</w:t>
      </w:r>
    </w:p>
    <w:p>
      <w:pPr>
        <w:spacing w:line="580" w:lineRule="exact"/>
        <w:ind w:firstLine="640"/>
        <w:rPr>
          <w:rFonts w:hint="eastAsia" w:ascii="仿宋_GB2312" w:hAnsi="仿宋_GB2312" w:eastAsia="仿宋_GB2312" w:cs="仿宋_GB2312"/>
          <w:bCs/>
          <w:lang w:eastAsia="zh-CN"/>
        </w:rPr>
      </w:pPr>
      <w:r>
        <w:rPr>
          <w:rFonts w:hint="eastAsia" w:ascii="仿宋_GB2312" w:hAnsi="仿宋_GB2312" w:eastAsia="仿宋_GB2312" w:cs="仿宋_GB2312"/>
          <w:b/>
          <w:bCs w:val="0"/>
          <w:lang w:eastAsia="zh-CN"/>
        </w:rPr>
        <w:t>（1）提出采购需求。</w:t>
      </w:r>
      <w:r>
        <w:rPr>
          <w:rFonts w:hint="eastAsia" w:ascii="仿宋_GB2312" w:hAnsi="仿宋_GB2312" w:eastAsia="仿宋_GB2312" w:cs="仿宋_GB2312"/>
          <w:bCs/>
          <w:lang w:eastAsia="zh-CN"/>
        </w:rPr>
        <w:t>业务需求部门负责采购需求编制，开展需求调查，提出采购需求，履行决策程序，形成书面《政府采购项目采购需求》（附件</w:t>
      </w:r>
      <w:r>
        <w:rPr>
          <w:rFonts w:hint="eastAsia" w:ascii="仿宋_GB2312" w:hAnsi="仿宋_GB2312" w:eastAsia="仿宋_GB2312" w:cs="仿宋_GB2312"/>
          <w:bCs/>
          <w:lang w:val="en-US" w:eastAsia="zh-CN"/>
        </w:rPr>
        <w:t>3</w:t>
      </w:r>
      <w:r>
        <w:rPr>
          <w:rFonts w:hint="eastAsia" w:ascii="仿宋_GB2312" w:hAnsi="仿宋_GB2312" w:eastAsia="仿宋_GB2312" w:cs="仿宋_GB2312"/>
          <w:bCs/>
          <w:lang w:eastAsia="zh-CN"/>
        </w:rPr>
        <w:t>）报归口管理部门。（提示：业务需求部门要严格按照《政府采购需求管理办法》规定的内容和要求，编制采购需求；履行决策程序过程中，重点对需要审查的事项进行审核）</w:t>
      </w:r>
    </w:p>
    <w:p>
      <w:pPr>
        <w:spacing w:line="580" w:lineRule="exact"/>
        <w:ind w:firstLine="640"/>
        <w:rPr>
          <w:rFonts w:hint="eastAsia" w:ascii="仿宋_GB2312" w:hAnsi="仿宋_GB2312" w:eastAsia="仿宋_GB2312" w:cs="仿宋_GB2312"/>
          <w:bCs/>
          <w:lang w:eastAsia="zh-CN"/>
        </w:rPr>
      </w:pPr>
      <w:r>
        <w:rPr>
          <w:rFonts w:hint="eastAsia" w:ascii="仿宋_GB2312" w:hAnsi="仿宋_GB2312" w:eastAsia="仿宋_GB2312" w:cs="仿宋_GB2312"/>
          <w:bCs/>
          <w:lang w:eastAsia="zh-CN"/>
        </w:rPr>
        <w:t>业务需求部门可以自行组织编制采购需求，也可以委托采购代理机构或者其他第三方机构编制。委托采购代理机构或者第三方机构编制的采购需求，需经业务需求部门逐一审核确认，并由业务需求部门对其提出的采购需求负责。</w:t>
      </w:r>
    </w:p>
    <w:p>
      <w:pPr>
        <w:spacing w:line="580" w:lineRule="exact"/>
        <w:ind w:firstLine="640"/>
        <w:rPr>
          <w:rFonts w:hint="eastAsia" w:ascii="仿宋_GB2312" w:hAnsi="仿宋_GB2312" w:eastAsia="仿宋_GB2312" w:cs="仿宋_GB2312"/>
          <w:bCs/>
          <w:lang w:eastAsia="zh-CN"/>
        </w:rPr>
      </w:pPr>
      <w:r>
        <w:rPr>
          <w:rFonts w:hint="eastAsia" w:ascii="仿宋_GB2312" w:hAnsi="仿宋_GB2312" w:eastAsia="仿宋_GB2312" w:cs="仿宋_GB2312"/>
          <w:b/>
          <w:bCs w:val="0"/>
          <w:lang w:eastAsia="zh-CN"/>
        </w:rPr>
        <w:t>（2）审查采购需求。</w:t>
      </w:r>
      <w:r>
        <w:rPr>
          <w:rFonts w:hint="eastAsia" w:ascii="仿宋_GB2312" w:hAnsi="仿宋_GB2312" w:eastAsia="仿宋_GB2312" w:cs="仿宋_GB2312"/>
          <w:bCs/>
          <w:lang w:eastAsia="zh-CN"/>
        </w:rPr>
        <w:t>归口管理部门负责组织需求审查，依据《政府采购需求管理办法》规定的审查标准进行审查，形成审查意见后，履行决策程序，反馈业务需求部门。如需修改的，由业务需求部门修改后，报归口管理部门组织重新审查。</w:t>
      </w:r>
    </w:p>
    <w:p>
      <w:pPr>
        <w:spacing w:line="580" w:lineRule="exact"/>
        <w:ind w:firstLine="640"/>
        <w:rPr>
          <w:rFonts w:hint="eastAsia" w:ascii="仿宋_GB2312" w:hAnsi="仿宋_GB2312" w:eastAsia="仿宋_GB2312" w:cs="仿宋_GB2312"/>
          <w:bCs/>
          <w:lang w:eastAsia="zh-CN"/>
        </w:rPr>
      </w:pPr>
      <w:r>
        <w:rPr>
          <w:rFonts w:hint="eastAsia" w:ascii="仿宋_GB2312" w:hAnsi="仿宋_GB2312" w:eastAsia="仿宋_GB2312" w:cs="仿宋_GB2312"/>
          <w:bCs/>
          <w:lang w:eastAsia="zh-CN"/>
        </w:rPr>
        <w:t>归口管理部门可以委托采购代理机构或者其他第三方机构进行需求审查，但不得委托参与采购需求编制的采购代理机构或者其他第三方机构。归口管理部门对委托采购代理机构或者其他第三方机构是否按《办法》规定的程序和要求出具审查意见负责。</w:t>
      </w:r>
    </w:p>
    <w:p>
      <w:pPr>
        <w:spacing w:line="580" w:lineRule="exact"/>
        <w:ind w:firstLine="640"/>
        <w:rPr>
          <w:rFonts w:hint="eastAsia" w:ascii="仿宋_GB2312" w:hAnsi="仿宋_GB2312" w:eastAsia="仿宋_GB2312" w:cs="仿宋_GB2312"/>
          <w:bCs/>
          <w:lang w:eastAsia="zh-CN"/>
        </w:rPr>
      </w:pPr>
      <w:r>
        <w:rPr>
          <w:rFonts w:hint="eastAsia" w:ascii="仿宋_GB2312" w:hAnsi="仿宋_GB2312" w:eastAsia="仿宋_GB2312" w:cs="仿宋_GB2312"/>
          <w:b/>
          <w:bCs w:val="0"/>
          <w:lang w:eastAsia="zh-CN"/>
        </w:rPr>
        <w:t>（3）确定采购需求。</w:t>
      </w:r>
      <w:r>
        <w:rPr>
          <w:rFonts w:hint="eastAsia" w:ascii="仿宋_GB2312" w:hAnsi="仿宋_GB2312" w:eastAsia="仿宋_GB2312" w:cs="仿宋_GB2312"/>
          <w:bCs/>
          <w:lang w:eastAsia="zh-CN"/>
        </w:rPr>
        <w:t>采购需求审查通过后，业务需求部门负责组织履行决策程序，确定采购需求。（提示：主要审核是否按照规定开展审查，审查内容是否齐全）</w:t>
      </w:r>
    </w:p>
    <w:p>
      <w:pPr>
        <w:spacing w:line="580" w:lineRule="exact"/>
        <w:ind w:firstLine="640"/>
        <w:rPr>
          <w:rFonts w:hint="eastAsia" w:ascii="仿宋_GB2312" w:hAnsi="仿宋_GB2312" w:eastAsia="仿宋_GB2312" w:cs="仿宋_GB2312"/>
          <w:bCs/>
          <w:lang w:eastAsia="zh-CN"/>
        </w:rPr>
      </w:pPr>
      <w:r>
        <w:rPr>
          <w:rFonts w:hint="eastAsia" w:ascii="仿宋_GB2312" w:hAnsi="仿宋_GB2312" w:eastAsia="仿宋_GB2312" w:cs="仿宋_GB2312"/>
          <w:b/>
          <w:bCs w:val="0"/>
          <w:lang w:eastAsia="zh-CN"/>
        </w:rPr>
        <w:t>（4）采购需求调整。</w:t>
      </w:r>
      <w:r>
        <w:rPr>
          <w:rFonts w:hint="eastAsia" w:ascii="仿宋_GB2312" w:hAnsi="仿宋_GB2312" w:eastAsia="仿宋_GB2312" w:cs="仿宋_GB2312"/>
          <w:bCs/>
          <w:lang w:eastAsia="zh-CN"/>
        </w:rPr>
        <w:t>采购需求确定后，在后续开展采购活动的过程中需要调整的，由业务需求部门调整后，组织履行决策程序。调整内容较多的，在履行决策程序前，由归口管理部门组织审查。</w:t>
      </w:r>
    </w:p>
    <w:p>
      <w:pPr>
        <w:spacing w:line="580" w:lineRule="exact"/>
        <w:ind w:firstLine="640"/>
        <w:rPr>
          <w:rFonts w:hint="eastAsia" w:ascii="楷体_GB2312" w:eastAsia="楷体_GB2312" w:cs="楷体_GB2312"/>
          <w:b/>
          <w:bCs w:val="0"/>
        </w:rPr>
      </w:pPr>
      <w:r>
        <w:rPr>
          <w:rFonts w:hint="eastAsia" w:ascii="楷体_GB2312" w:eastAsia="楷体_GB2312" w:cs="楷体_GB2312"/>
          <w:b/>
          <w:bCs w:val="0"/>
        </w:rPr>
        <w:t>（四）编制采购实施计划</w:t>
      </w:r>
    </w:p>
    <w:p>
      <w:pPr>
        <w:autoSpaceDE w:val="0"/>
        <w:autoSpaceDN w:val="0"/>
        <w:adjustRightInd w:val="0"/>
        <w:spacing w:line="580" w:lineRule="exact"/>
        <w:ind w:firstLine="642" w:firstLineChars="200"/>
        <w:jc w:val="left"/>
        <w:rPr>
          <w:rFonts w:hint="eastAsia" w:ascii="仿宋_GB2312" w:hAnsi="仿宋_GB2312" w:eastAsia="仿宋_GB2312" w:cs="仿宋_GB2312"/>
          <w:bCs/>
        </w:rPr>
      </w:pPr>
      <w:r>
        <w:rPr>
          <w:rFonts w:hint="eastAsia" w:ascii="仿宋_GB2312" w:hAnsi="仿宋_GB2312" w:eastAsia="仿宋_GB2312" w:cs="仿宋_GB2312"/>
          <w:b/>
        </w:rPr>
        <w:t>1.相关制度依据。</w:t>
      </w:r>
      <w:r>
        <w:rPr>
          <w:rFonts w:hint="eastAsia" w:ascii="仿宋_GB2312" w:hAnsi="仿宋_GB2312" w:eastAsia="仿宋_GB2312" w:cs="仿宋_GB2312"/>
          <w:bCs/>
        </w:rPr>
        <w:t>采购法实施条例第二十九条，《政府采购需求管理办法》（财库〔2021〕22号）。</w:t>
      </w:r>
    </w:p>
    <w:p>
      <w:pPr>
        <w:spacing w:line="580" w:lineRule="exact"/>
        <w:ind w:firstLine="640"/>
        <w:rPr>
          <w:rFonts w:hint="eastAsia" w:ascii="仿宋_GB2312" w:hAnsi="仿宋_GB2312" w:eastAsia="仿宋_GB2312" w:cs="仿宋_GB2312"/>
          <w:bCs/>
        </w:rPr>
      </w:pPr>
      <w:r>
        <w:rPr>
          <w:rFonts w:hint="eastAsia" w:ascii="仿宋_GB2312" w:hAnsi="仿宋_GB2312" w:eastAsia="仿宋_GB2312" w:cs="仿宋_GB2312"/>
          <w:b/>
          <w:bCs/>
        </w:rPr>
        <w:t>2.职责分工。</w:t>
      </w:r>
      <w:r>
        <w:rPr>
          <w:rFonts w:hint="eastAsia" w:ascii="仿宋_GB2312" w:hAnsi="仿宋_GB2312" w:eastAsia="仿宋_GB2312" w:cs="仿宋_GB2312"/>
          <w:bCs/>
        </w:rPr>
        <w:t>业务需求部门负责编制采购实施计划，归口管理部门负责组织审查。</w:t>
      </w:r>
    </w:p>
    <w:p>
      <w:pPr>
        <w:spacing w:line="580" w:lineRule="exact"/>
        <w:ind w:firstLine="640"/>
        <w:rPr>
          <w:rFonts w:hint="eastAsia" w:ascii="仿宋_GB2312" w:hAnsi="仿宋_GB2312" w:eastAsia="仿宋_GB2312" w:cs="仿宋_GB2312"/>
          <w:bCs/>
        </w:rPr>
      </w:pPr>
      <w:r>
        <w:rPr>
          <w:rFonts w:hint="eastAsia" w:ascii="仿宋_GB2312" w:hAnsi="仿宋_GB2312" w:eastAsia="仿宋_GB2312" w:cs="仿宋_GB2312"/>
          <w:b/>
        </w:rPr>
        <w:t>3.基本流程。</w:t>
      </w:r>
      <w:r>
        <w:rPr>
          <w:rFonts w:hint="eastAsia" w:ascii="仿宋_GB2312" w:hAnsi="仿宋_GB2312" w:eastAsia="仿宋_GB2312" w:cs="仿宋_GB2312"/>
          <w:bCs/>
        </w:rPr>
        <w:t>采购实施计划应当根据法律法规、政府采购政策和国家有关规定，结合采购需求的特点确定。</w:t>
      </w:r>
    </w:p>
    <w:p>
      <w:pPr>
        <w:spacing w:line="580" w:lineRule="exact"/>
        <w:ind w:firstLine="640"/>
        <w:rPr>
          <w:rFonts w:hint="eastAsia" w:ascii="仿宋_GB2312" w:hAnsi="仿宋_GB2312" w:eastAsia="仿宋_GB2312" w:cs="仿宋_GB2312"/>
          <w:bCs/>
        </w:rPr>
      </w:pPr>
      <w:r>
        <w:rPr>
          <w:rFonts w:hint="eastAsia" w:ascii="仿宋_GB2312" w:hAnsi="仿宋_GB2312" w:eastAsia="仿宋_GB2312" w:cs="仿宋_GB2312"/>
          <w:b/>
          <w:bCs w:val="0"/>
        </w:rPr>
        <w:t>（1）拟定采购实施计划。</w:t>
      </w:r>
      <w:r>
        <w:rPr>
          <w:rFonts w:hint="eastAsia" w:ascii="仿宋_GB2312" w:hAnsi="仿宋_GB2312" w:eastAsia="仿宋_GB2312" w:cs="仿宋_GB2312"/>
          <w:bCs/>
        </w:rPr>
        <w:t>业务需求部门负责拟定采购实施计划，履行决策程序，</w:t>
      </w:r>
      <w:r>
        <w:rPr>
          <w:rFonts w:hint="eastAsia" w:ascii="仿宋_GB2312" w:hAnsi="仿宋_GB2312" w:eastAsia="仿宋_GB2312" w:cs="仿宋_GB2312"/>
          <w:bCs/>
          <w:lang w:eastAsia="zh-CN"/>
        </w:rPr>
        <w:t>形成书面《政府采购项目采购实施计划》（</w:t>
      </w:r>
      <w:r>
        <w:rPr>
          <w:rFonts w:hint="eastAsia" w:ascii="仿宋_GB2312" w:hAnsi="仿宋_GB2312" w:eastAsia="仿宋_GB2312" w:cs="仿宋_GB2312"/>
          <w:b/>
          <w:bCs w:val="0"/>
          <w:lang w:eastAsia="zh-CN"/>
        </w:rPr>
        <w:t>附件</w:t>
      </w:r>
      <w:r>
        <w:rPr>
          <w:rFonts w:hint="eastAsia" w:ascii="仿宋_GB2312" w:hAnsi="仿宋_GB2312" w:eastAsia="仿宋_GB2312" w:cs="仿宋_GB2312"/>
          <w:b/>
          <w:bCs w:val="0"/>
          <w:lang w:val="en-US" w:eastAsia="zh-CN"/>
        </w:rPr>
        <w:t>4</w:t>
      </w:r>
      <w:r>
        <w:rPr>
          <w:rFonts w:hint="eastAsia" w:ascii="仿宋_GB2312" w:hAnsi="仿宋_GB2312" w:eastAsia="仿宋_GB2312" w:cs="仿宋_GB2312"/>
          <w:bCs/>
          <w:lang w:eastAsia="zh-CN"/>
        </w:rPr>
        <w:t>）</w:t>
      </w:r>
      <w:r>
        <w:rPr>
          <w:rFonts w:hint="eastAsia" w:ascii="仿宋_GB2312" w:hAnsi="仿宋_GB2312" w:eastAsia="仿宋_GB2312" w:cs="仿宋_GB2312"/>
          <w:bCs/>
        </w:rPr>
        <w:t>报归口管理部门。（</w:t>
      </w:r>
      <w:r>
        <w:rPr>
          <w:rFonts w:hint="eastAsia" w:ascii="仿宋_GB2312" w:hAnsi="仿宋_GB2312" w:eastAsia="仿宋_GB2312" w:cs="仿宋_GB2312"/>
          <w:b/>
          <w:bCs/>
        </w:rPr>
        <w:t>提示：</w:t>
      </w:r>
      <w:r>
        <w:rPr>
          <w:rFonts w:hint="eastAsia" w:ascii="仿宋_GB2312" w:hAnsi="仿宋_GB2312" w:eastAsia="仿宋_GB2312" w:cs="仿宋_GB2312"/>
          <w:bCs/>
        </w:rPr>
        <w:t>业务需求部门要严格按照《政府采购需求管理办法》规定的内容和要求，编制采购实施计划；履行决策程序过程中，重点对需要审查的事项进行审核）</w:t>
      </w:r>
    </w:p>
    <w:p>
      <w:pPr>
        <w:spacing w:line="580" w:lineRule="exact"/>
        <w:ind w:firstLine="640"/>
        <w:rPr>
          <w:rFonts w:hint="eastAsia" w:ascii="仿宋_GB2312" w:hAnsi="仿宋_GB2312" w:eastAsia="仿宋_GB2312" w:cs="仿宋_GB2312"/>
          <w:bCs/>
        </w:rPr>
      </w:pPr>
      <w:r>
        <w:rPr>
          <w:rFonts w:hint="eastAsia" w:ascii="仿宋_GB2312" w:hAnsi="仿宋_GB2312" w:eastAsia="仿宋_GB2312" w:cs="仿宋_GB2312"/>
          <w:bCs/>
        </w:rPr>
        <w:t>业务需求部门可以自行组织编制采购实施计划，也可以委托采购代理机构或者其他第三方机构编制。业务需求部门对委托采购代理机构或者第三方机构编制的采购实施计划负责。</w:t>
      </w:r>
    </w:p>
    <w:p>
      <w:pPr>
        <w:numPr>
          <w:ilvl w:val="0"/>
          <w:numId w:val="1"/>
        </w:numPr>
        <w:spacing w:line="580" w:lineRule="exact"/>
        <w:ind w:firstLine="640"/>
        <w:rPr>
          <w:rFonts w:hint="eastAsia" w:ascii="仿宋_GB2312" w:hAnsi="仿宋_GB2312" w:eastAsia="仿宋_GB2312" w:cs="仿宋_GB2312"/>
          <w:bCs/>
        </w:rPr>
      </w:pPr>
      <w:r>
        <w:rPr>
          <w:rFonts w:hint="eastAsia" w:ascii="仿宋_GB2312" w:hAnsi="仿宋_GB2312" w:eastAsia="仿宋_GB2312" w:cs="仿宋_GB2312"/>
          <w:b/>
          <w:bCs w:val="0"/>
        </w:rPr>
        <w:t>审查采购实施计划。</w:t>
      </w:r>
      <w:r>
        <w:rPr>
          <w:rFonts w:hint="eastAsia" w:ascii="仿宋_GB2312" w:hAnsi="仿宋_GB2312" w:eastAsia="仿宋_GB2312" w:cs="仿宋_GB2312"/>
          <w:bCs/>
        </w:rPr>
        <w:t>归口管理部门负责组织审查采购实施计划，依据《政府采购需求管理办法》规定的审查标准进行审查，形成</w:t>
      </w:r>
      <w:r>
        <w:rPr>
          <w:rFonts w:hint="eastAsia" w:ascii="仿宋_GB2312" w:hAnsi="仿宋_GB2312" w:eastAsia="仿宋_GB2312" w:cs="仿宋_GB2312"/>
          <w:bCs/>
          <w:lang w:eastAsia="zh-CN"/>
        </w:rPr>
        <w:t>书面</w:t>
      </w:r>
      <w:r>
        <w:rPr>
          <w:rFonts w:hint="eastAsia" w:ascii="仿宋_GB2312" w:hAnsi="仿宋_GB2312" w:eastAsia="仿宋_GB2312" w:cs="仿宋_GB2312"/>
          <w:bCs/>
        </w:rPr>
        <w:t>审查意见</w:t>
      </w:r>
      <w:r>
        <w:rPr>
          <w:rFonts w:hint="eastAsia" w:ascii="仿宋_GB2312" w:hAnsi="仿宋_GB2312" w:eastAsia="仿宋_GB2312" w:cs="仿宋_GB2312"/>
          <w:bCs/>
          <w:lang w:eastAsia="zh-CN"/>
        </w:rPr>
        <w:t>《政府采购项目采购需求和采购实施计划一般性审查意见书》（附件</w:t>
      </w:r>
      <w:r>
        <w:rPr>
          <w:rFonts w:hint="eastAsia" w:ascii="仿宋_GB2312" w:hAnsi="仿宋_GB2312" w:eastAsia="仿宋_GB2312" w:cs="仿宋_GB2312"/>
          <w:bCs/>
          <w:lang w:val="en-US" w:eastAsia="zh-CN"/>
        </w:rPr>
        <w:t>5</w:t>
      </w:r>
      <w:r>
        <w:rPr>
          <w:rFonts w:hint="eastAsia" w:ascii="仿宋_GB2312" w:hAnsi="仿宋_GB2312" w:eastAsia="仿宋_GB2312" w:cs="仿宋_GB2312"/>
          <w:bCs/>
          <w:lang w:eastAsia="zh-CN"/>
        </w:rPr>
        <w:t>）</w:t>
      </w:r>
      <w:r>
        <w:rPr>
          <w:rFonts w:hint="eastAsia" w:ascii="仿宋_GB2312" w:hAnsi="仿宋_GB2312" w:eastAsia="仿宋_GB2312" w:cs="仿宋_GB2312"/>
          <w:bCs/>
        </w:rPr>
        <w:t>后，履行决策程序，</w:t>
      </w:r>
      <w:r>
        <w:rPr>
          <w:rFonts w:hint="eastAsia" w:ascii="仿宋_GB2312" w:hAnsi="仿宋_GB2312" w:eastAsia="仿宋_GB2312" w:cs="仿宋_GB2312"/>
          <w:bCs/>
          <w:lang w:eastAsia="zh-CN"/>
        </w:rPr>
        <w:t>需要进行重点审查的，形成书面《政府采购项目采购需求和采购实施计划重点审查意见书》（附件</w:t>
      </w:r>
      <w:r>
        <w:rPr>
          <w:rFonts w:hint="eastAsia" w:ascii="仿宋_GB2312" w:hAnsi="仿宋_GB2312" w:eastAsia="仿宋_GB2312" w:cs="仿宋_GB2312"/>
          <w:bCs/>
          <w:lang w:val="en-US" w:eastAsia="zh-CN"/>
        </w:rPr>
        <w:t>6</w:t>
      </w:r>
      <w:r>
        <w:rPr>
          <w:rFonts w:hint="eastAsia" w:ascii="仿宋_GB2312" w:hAnsi="仿宋_GB2312" w:eastAsia="仿宋_GB2312" w:cs="仿宋_GB2312"/>
          <w:bCs/>
          <w:lang w:eastAsia="zh-CN"/>
        </w:rPr>
        <w:t>）</w:t>
      </w:r>
      <w:r>
        <w:rPr>
          <w:rFonts w:hint="eastAsia" w:ascii="仿宋_GB2312" w:hAnsi="仿宋_GB2312" w:eastAsia="仿宋_GB2312" w:cs="仿宋_GB2312"/>
          <w:bCs/>
        </w:rPr>
        <w:t>反馈业务需求部门。如需修改的，由业务需求部门修改后，报归口管理部门重新审查。</w:t>
      </w:r>
    </w:p>
    <w:p>
      <w:pPr>
        <w:numPr>
          <w:ilvl w:val="0"/>
          <w:numId w:val="0"/>
        </w:numPr>
        <w:spacing w:line="580" w:lineRule="exact"/>
        <w:ind w:firstLine="642" w:firstLineChars="200"/>
        <w:rPr>
          <w:rFonts w:hint="eastAsia" w:ascii="仿宋_GB2312" w:hAnsi="仿宋_GB2312" w:eastAsia="仿宋_GB2312" w:cs="仿宋_GB2312"/>
          <w:bCs/>
          <w:lang w:eastAsia="zh-CN"/>
        </w:rPr>
      </w:pPr>
      <w:r>
        <w:rPr>
          <w:rFonts w:hint="eastAsia" w:ascii="仿宋_GB2312" w:hAnsi="仿宋_GB2312" w:eastAsia="仿宋_GB2312" w:cs="仿宋_GB2312"/>
          <w:b/>
          <w:bCs w:val="0"/>
          <w:lang w:eastAsia="zh-CN"/>
        </w:rPr>
        <w:t>注：</w:t>
      </w:r>
      <w:r>
        <w:rPr>
          <w:rFonts w:hint="eastAsia" w:ascii="仿宋_GB2312" w:hAnsi="仿宋_GB2312" w:eastAsia="仿宋_GB2312" w:cs="仿宋_GB2312"/>
          <w:bCs/>
          <w:lang w:eastAsia="zh-CN"/>
        </w:rPr>
        <w:t>建议将采购需求审查和采购实施计划审查合并实施，形成书面的审查意见。</w:t>
      </w:r>
    </w:p>
    <w:p>
      <w:pPr>
        <w:spacing w:line="580" w:lineRule="exact"/>
        <w:ind w:firstLine="640"/>
        <w:rPr>
          <w:rFonts w:hint="eastAsia" w:ascii="仿宋_GB2312" w:hAnsi="仿宋_GB2312" w:eastAsia="仿宋_GB2312" w:cs="仿宋_GB2312"/>
          <w:bCs/>
        </w:rPr>
      </w:pPr>
      <w:r>
        <w:rPr>
          <w:rFonts w:hint="eastAsia" w:ascii="仿宋_GB2312" w:hAnsi="仿宋_GB2312" w:eastAsia="仿宋_GB2312" w:cs="仿宋_GB2312"/>
          <w:bCs/>
        </w:rPr>
        <w:t>归口管理部门可以委托采购代理机构或者其他第三方机构进行需求审查，但不得委托参与采购需求编制的采购代理机构或者其他第三方机构。归口管理部门对委托采购代理机构或者其他第三方机构是否按《办法》规定的程序和要求出具审查意见负责。（</w:t>
      </w:r>
      <w:r>
        <w:rPr>
          <w:rFonts w:hint="eastAsia" w:ascii="仿宋_GB2312" w:hAnsi="仿宋_GB2312" w:eastAsia="仿宋_GB2312" w:cs="仿宋_GB2312"/>
          <w:b/>
          <w:bCs/>
        </w:rPr>
        <w:t>提示：</w:t>
      </w:r>
      <w:r>
        <w:rPr>
          <w:rFonts w:hint="eastAsia" w:ascii="仿宋_GB2312" w:hAnsi="仿宋_GB2312" w:eastAsia="仿宋_GB2312" w:cs="仿宋_GB2312"/>
          <w:bCs/>
        </w:rPr>
        <w:t>采购需求和采购实施计划编制两个环节可以合并执行，但要体现的是采购实施计划是依据采购需求编制）</w:t>
      </w:r>
    </w:p>
    <w:p>
      <w:pPr>
        <w:widowControl/>
        <w:spacing w:line="580" w:lineRule="exact"/>
        <w:ind w:firstLine="642" w:firstLineChars="200"/>
        <w:jc w:val="left"/>
        <w:rPr>
          <w:rFonts w:hint="eastAsia" w:ascii="仿宋_GB2312" w:hAnsi="仿宋_GB2312" w:eastAsia="仿宋_GB2312" w:cs="仿宋_GB2312"/>
          <w:bCs/>
        </w:rPr>
      </w:pPr>
      <w:r>
        <w:rPr>
          <w:rFonts w:hint="eastAsia" w:ascii="仿宋_GB2312" w:hAnsi="仿宋_GB2312" w:eastAsia="仿宋_GB2312" w:cs="仿宋_GB2312"/>
          <w:b/>
          <w:bCs w:val="0"/>
        </w:rPr>
        <w:t>（3）确定采购实施计划。</w:t>
      </w:r>
      <w:r>
        <w:rPr>
          <w:rFonts w:hint="eastAsia" w:ascii="仿宋_GB2312" w:hAnsi="仿宋_GB2312" w:eastAsia="仿宋_GB2312" w:cs="仿宋_GB2312"/>
          <w:bCs/>
        </w:rPr>
        <w:t>审查通过后，业务需求部门负责组织履行决策程序，确定采购实施计划。（</w:t>
      </w:r>
      <w:r>
        <w:rPr>
          <w:rFonts w:hint="eastAsia" w:ascii="仿宋_GB2312" w:hAnsi="仿宋_GB2312" w:eastAsia="仿宋_GB2312" w:cs="仿宋_GB2312"/>
          <w:b/>
          <w:bCs/>
        </w:rPr>
        <w:t>提示：</w:t>
      </w:r>
      <w:r>
        <w:rPr>
          <w:rFonts w:hint="eastAsia" w:ascii="仿宋_GB2312" w:hAnsi="仿宋_GB2312" w:eastAsia="仿宋_GB2312" w:cs="仿宋_GB2312"/>
          <w:bCs/>
        </w:rPr>
        <w:t>主要审核是否按照规定开展审查，审查内容是否完整）</w:t>
      </w:r>
    </w:p>
    <w:p>
      <w:pPr>
        <w:spacing w:line="580" w:lineRule="exact"/>
        <w:ind w:firstLine="640"/>
        <w:rPr>
          <w:rFonts w:hint="eastAsia" w:ascii="仿宋_GB2312" w:hAnsi="仿宋_GB2312" w:eastAsia="仿宋_GB2312" w:cs="仿宋_GB2312"/>
          <w:bCs/>
        </w:rPr>
      </w:pPr>
      <w:r>
        <w:rPr>
          <w:rFonts w:hint="eastAsia" w:ascii="仿宋_GB2312" w:hAnsi="仿宋_GB2312" w:eastAsia="仿宋_GB2312" w:cs="仿宋_GB2312"/>
          <w:b/>
          <w:bCs w:val="0"/>
        </w:rPr>
        <w:t>（4）采购实施计划调整。</w:t>
      </w:r>
      <w:r>
        <w:rPr>
          <w:rFonts w:hint="eastAsia" w:ascii="仿宋_GB2312" w:hAnsi="仿宋_GB2312" w:eastAsia="仿宋_GB2312" w:cs="仿宋_GB2312"/>
          <w:bCs/>
        </w:rPr>
        <w:t>采购实施计划确定后，在后续开展采购活动的过程中需要调整的，由业务需求部门负责调整，组织履行决策程序。调整内容较多的，在履行决策程序前，由归口管理部门组织审查。</w:t>
      </w:r>
    </w:p>
    <w:p>
      <w:pPr>
        <w:spacing w:line="580" w:lineRule="exact"/>
        <w:ind w:firstLine="640"/>
        <w:rPr>
          <w:rFonts w:hint="eastAsia" w:ascii="仿宋_GB2312" w:hAnsi="仿宋_GB2312" w:eastAsia="仿宋_GB2312" w:cs="仿宋_GB2312"/>
          <w:bCs/>
        </w:rPr>
      </w:pPr>
      <w:r>
        <w:rPr>
          <w:rFonts w:hint="eastAsia" w:ascii="仿宋_GB2312" w:hAnsi="仿宋_GB2312" w:eastAsia="仿宋_GB2312" w:cs="仿宋_GB2312"/>
          <w:b/>
          <w:bCs w:val="0"/>
        </w:rPr>
        <w:t>（5）采购计划备案。</w:t>
      </w:r>
      <w:r>
        <w:rPr>
          <w:rFonts w:hint="eastAsia" w:ascii="仿宋_GB2312" w:hAnsi="仿宋_GB2312" w:eastAsia="仿宋_GB2312" w:cs="仿宋_GB2312"/>
          <w:bCs/>
        </w:rPr>
        <w:t>根据</w:t>
      </w:r>
      <w:r>
        <w:rPr>
          <w:rFonts w:hint="eastAsia" w:ascii="仿宋_GB2312" w:hAnsi="仿宋_GB2312" w:eastAsia="仿宋_GB2312" w:cs="仿宋_GB2312"/>
          <w:bCs/>
          <w:lang w:eastAsia="zh-CN"/>
        </w:rPr>
        <w:t>财政局</w:t>
      </w:r>
      <w:r>
        <w:rPr>
          <w:rFonts w:hint="eastAsia" w:ascii="仿宋_GB2312" w:hAnsi="仿宋_GB2312" w:eastAsia="仿宋_GB2312" w:cs="仿宋_GB2312"/>
          <w:bCs/>
        </w:rPr>
        <w:t>规定的时间和格式要求编制采购计划进行备案。业务需求部门向归口管理部门提供采购计划备案所需填报事项，履行决策程序，报归口管理部门汇总、统筹、审核</w:t>
      </w:r>
      <w:r>
        <w:rPr>
          <w:rFonts w:hint="eastAsia" w:ascii="仿宋_GB2312" w:hAnsi="仿宋_GB2312" w:eastAsia="仿宋_GB2312" w:cs="仿宋_GB2312"/>
          <w:bCs/>
          <w:lang w:eastAsia="zh-CN"/>
        </w:rPr>
        <w:t>，属于资产管理事项范围的，应同时报单位资产部门审核</w:t>
      </w:r>
      <w:r>
        <w:rPr>
          <w:rFonts w:hint="eastAsia" w:ascii="仿宋_GB2312" w:hAnsi="仿宋_GB2312" w:eastAsia="仿宋_GB2312" w:cs="仿宋_GB2312"/>
          <w:bCs/>
        </w:rPr>
        <w:t>（</w:t>
      </w:r>
      <w:r>
        <w:rPr>
          <w:rFonts w:hint="eastAsia" w:ascii="仿宋_GB2312" w:hAnsi="仿宋_GB2312" w:eastAsia="仿宋_GB2312" w:cs="仿宋_GB2312"/>
          <w:b/>
          <w:bCs/>
        </w:rPr>
        <w:t>提示：</w:t>
      </w:r>
      <w:r>
        <w:rPr>
          <w:rFonts w:hint="eastAsia" w:ascii="仿宋_GB2312" w:hAnsi="仿宋_GB2312" w:eastAsia="仿宋_GB2312" w:cs="仿宋_GB2312"/>
          <w:bCs/>
        </w:rPr>
        <w:t>此处归口管理部门需要重点统筹项目实施时间、面向中小企业采购份额预留等，重点审核采购品目选择、采购代理机构类型、采购方式、数量、单价、金额以及有关情况说明等事项），交由</w:t>
      </w:r>
      <w:r>
        <w:rPr>
          <w:rFonts w:hint="eastAsia" w:ascii="仿宋_GB2312" w:hAnsi="仿宋_GB2312" w:eastAsia="仿宋_GB2312" w:cs="仿宋_GB2312"/>
          <w:bCs/>
          <w:lang w:eastAsia="zh-CN"/>
        </w:rPr>
        <w:t>归口</w:t>
      </w:r>
      <w:r>
        <w:rPr>
          <w:rFonts w:hint="eastAsia" w:ascii="仿宋_GB2312" w:hAnsi="仿宋_GB2312" w:eastAsia="仿宋_GB2312" w:cs="仿宋_GB2312"/>
          <w:bCs/>
        </w:rPr>
        <w:t>部门录入</w:t>
      </w:r>
      <w:r>
        <w:rPr>
          <w:rFonts w:hint="eastAsia" w:ascii="仿宋_GB2312" w:hAnsi="仿宋_GB2312" w:eastAsia="仿宋_GB2312" w:cs="仿宋_GB2312"/>
          <w:bCs/>
          <w:lang w:eastAsia="zh-CN"/>
        </w:rPr>
        <w:t>河南省电子化政府采购系统计划备案模块</w:t>
      </w:r>
      <w:r>
        <w:rPr>
          <w:rFonts w:hint="eastAsia" w:ascii="仿宋_GB2312" w:hAnsi="仿宋_GB2312" w:eastAsia="仿宋_GB2312" w:cs="仿宋_GB2312"/>
          <w:bCs/>
        </w:rPr>
        <w:t>，提交主管预算单位审核后，</w:t>
      </w:r>
      <w:r>
        <w:rPr>
          <w:rFonts w:hint="eastAsia" w:ascii="仿宋_GB2312" w:hAnsi="仿宋_GB2312" w:eastAsia="仿宋_GB2312" w:cs="仿宋_GB2312"/>
          <w:bCs/>
          <w:lang w:eastAsia="zh-CN"/>
        </w:rPr>
        <w:t>财政局</w:t>
      </w:r>
      <w:r>
        <w:rPr>
          <w:rFonts w:hint="eastAsia" w:ascii="仿宋_GB2312" w:hAnsi="仿宋_GB2312" w:eastAsia="仿宋_GB2312" w:cs="仿宋_GB2312"/>
          <w:bCs/>
        </w:rPr>
        <w:t>采购</w:t>
      </w:r>
      <w:r>
        <w:rPr>
          <w:rFonts w:hint="eastAsia" w:ascii="仿宋_GB2312" w:hAnsi="仿宋_GB2312" w:eastAsia="仿宋_GB2312" w:cs="仿宋_GB2312"/>
          <w:bCs/>
          <w:lang w:eastAsia="zh-CN"/>
        </w:rPr>
        <w:t>科进行</w:t>
      </w:r>
      <w:r>
        <w:rPr>
          <w:rFonts w:hint="eastAsia" w:ascii="仿宋_GB2312" w:hAnsi="仿宋_GB2312" w:eastAsia="仿宋_GB2312" w:cs="仿宋_GB2312"/>
          <w:bCs/>
        </w:rPr>
        <w:t>备案。</w:t>
      </w:r>
    </w:p>
    <w:p>
      <w:pPr>
        <w:spacing w:line="580" w:lineRule="exact"/>
        <w:ind w:firstLine="640"/>
        <w:rPr>
          <w:rFonts w:hint="eastAsia" w:ascii="仿宋_GB2312" w:hAnsi="仿宋_GB2312" w:eastAsia="仿宋_GB2312" w:cs="仿宋_GB2312"/>
        </w:rPr>
      </w:pPr>
      <w:r>
        <w:rPr>
          <w:rFonts w:hint="eastAsia" w:ascii="仿宋_GB2312" w:hAnsi="仿宋_GB2312" w:eastAsia="仿宋_GB2312" w:cs="仿宋_GB2312"/>
        </w:rPr>
        <w:t>采购实施计划内容应包括采购品目、项目名称、采购组织形式、委托代理机构类型、采购方式、项目名称、数量、金额、是否面向中小企业、是否政府购买服务、项目实施月份等。</w:t>
      </w:r>
    </w:p>
    <w:p>
      <w:pPr>
        <w:spacing w:line="580" w:lineRule="exact"/>
        <w:ind w:firstLine="640"/>
        <w:rPr>
          <w:rFonts w:hint="eastAsia" w:ascii="仿宋_GB2312" w:hAnsi="仿宋_GB2312" w:eastAsia="仿宋_GB2312" w:cs="仿宋_GB2312"/>
        </w:rPr>
      </w:pPr>
      <w:r>
        <w:rPr>
          <w:rFonts w:hint="eastAsia" w:ascii="仿宋_GB2312" w:hAnsi="仿宋_GB2312" w:eastAsia="仿宋_GB2312" w:cs="仿宋_GB2312"/>
        </w:rPr>
        <w:t>需要进行招标投标程序的政府采购工程项目</w:t>
      </w:r>
      <w:r>
        <w:rPr>
          <w:rFonts w:hint="eastAsia" w:ascii="仿宋_GB2312" w:hAnsi="仿宋_GB2312" w:eastAsia="仿宋_GB2312" w:cs="仿宋_GB2312"/>
          <w:lang w:eastAsia="zh-CN"/>
        </w:rPr>
        <w:t>具体执行按照招投标流程</w:t>
      </w:r>
      <w:r>
        <w:rPr>
          <w:rFonts w:hint="eastAsia" w:ascii="仿宋_GB2312" w:hAnsi="仿宋_GB2312" w:eastAsia="仿宋_GB2312" w:cs="仿宋_GB2312"/>
        </w:rPr>
        <w:t>。</w:t>
      </w:r>
    </w:p>
    <w:p>
      <w:pPr>
        <w:spacing w:line="580" w:lineRule="exact"/>
        <w:ind w:firstLine="640"/>
        <w:rPr>
          <w:rFonts w:hint="eastAsia" w:ascii="仿宋_GB2312" w:hAnsi="仿宋_GB2312" w:eastAsia="仿宋_GB2312" w:cs="仿宋_GB2312"/>
          <w:bCs/>
        </w:rPr>
      </w:pPr>
      <w:r>
        <w:rPr>
          <w:rFonts w:hint="eastAsia" w:ascii="仿宋_GB2312" w:hAnsi="仿宋_GB2312" w:eastAsia="仿宋_GB2312" w:cs="仿宋_GB2312"/>
          <w:b/>
          <w:bCs/>
        </w:rPr>
        <w:t>（6）采购执行。</w:t>
      </w:r>
      <w:r>
        <w:rPr>
          <w:rFonts w:hint="eastAsia" w:ascii="仿宋_GB2312" w:hAnsi="仿宋_GB2312" w:eastAsia="仿宋_GB2312" w:cs="仿宋_GB2312"/>
        </w:rPr>
        <w:t>需要开展采购活动前，归口管理部门登录</w:t>
      </w:r>
      <w:r>
        <w:rPr>
          <w:rFonts w:hint="eastAsia" w:ascii="仿宋_GB2312" w:hAnsi="仿宋_GB2312" w:eastAsia="仿宋_GB2312" w:cs="仿宋_GB2312"/>
          <w:lang w:eastAsia="zh-CN"/>
        </w:rPr>
        <w:t>电子化政府采购</w:t>
      </w:r>
      <w:r>
        <w:rPr>
          <w:rFonts w:hint="eastAsia" w:ascii="仿宋_GB2312" w:hAnsi="仿宋_GB2312" w:eastAsia="仿宋_GB2312" w:cs="仿宋_GB2312"/>
        </w:rPr>
        <w:t>系统，选择对应的采购计划推送至委托的采购代理机构。采购代理机构负责创建项目、组织实施</w:t>
      </w:r>
      <w:r>
        <w:rPr>
          <w:rFonts w:hint="eastAsia" w:ascii="仿宋_GB2312" w:hAnsi="仿宋_GB2312" w:eastAsia="仿宋_GB2312" w:cs="仿宋_GB2312"/>
          <w:lang w:eastAsia="zh-CN"/>
        </w:rPr>
        <w:t>进场交易</w:t>
      </w:r>
      <w:r>
        <w:rPr>
          <w:rFonts w:hint="eastAsia" w:ascii="仿宋_GB2312" w:hAnsi="仿宋_GB2312" w:eastAsia="仿宋_GB2312" w:cs="仿宋_GB2312"/>
        </w:rPr>
        <w:t>。</w:t>
      </w:r>
    </w:p>
    <w:p>
      <w:pPr>
        <w:spacing w:line="580" w:lineRule="exact"/>
        <w:ind w:firstLine="640"/>
        <w:rPr>
          <w:rFonts w:hint="eastAsia" w:ascii="仿宋_GB2312" w:hAnsi="仿宋_GB2312" w:eastAsia="仿宋_GB2312" w:cs="仿宋_GB2312"/>
          <w:bCs/>
        </w:rPr>
      </w:pPr>
      <w:r>
        <w:rPr>
          <w:rFonts w:hint="eastAsia" w:ascii="仿宋_GB2312" w:hAnsi="仿宋_GB2312" w:eastAsia="仿宋_GB2312" w:cs="仿宋_GB2312"/>
          <w:b/>
          <w:bCs/>
        </w:rPr>
        <w:t>（7）采购计划调整。</w:t>
      </w:r>
      <w:r>
        <w:rPr>
          <w:rFonts w:hint="eastAsia" w:ascii="仿宋_GB2312" w:hAnsi="仿宋_GB2312" w:eastAsia="仿宋_GB2312" w:cs="仿宋_GB2312"/>
        </w:rPr>
        <w:t>编</w:t>
      </w:r>
      <w:r>
        <w:rPr>
          <w:rFonts w:hint="eastAsia" w:ascii="仿宋_GB2312" w:hAnsi="仿宋_GB2312" w:eastAsia="仿宋_GB2312" w:cs="仿宋_GB2312"/>
          <w:bCs/>
        </w:rPr>
        <w:t>制采购实施计划时，若发现预算编制采购品目与实际采购内容不匹配的，在符合预算管理和资产管理规定的前提下，可根据实际情况调整采购品目。采购计划备案后，原则上不得调整（主要指采购方式、实施月份、预算金额等），确需调整的，在符合资产管理要求和预算管理要求的前提下，按照履行决策程序，根据职能分别由归口管理部门和财务部门向</w:t>
      </w:r>
      <w:r>
        <w:rPr>
          <w:rFonts w:hint="eastAsia" w:ascii="仿宋_GB2312" w:hAnsi="仿宋_GB2312" w:eastAsia="仿宋_GB2312" w:cs="仿宋_GB2312"/>
          <w:bCs/>
          <w:lang w:eastAsia="zh-CN"/>
        </w:rPr>
        <w:t>财政局</w:t>
      </w:r>
      <w:r>
        <w:rPr>
          <w:rFonts w:hint="eastAsia" w:ascii="仿宋_GB2312" w:hAnsi="仿宋_GB2312" w:eastAsia="仿宋_GB2312" w:cs="仿宋_GB2312"/>
          <w:bCs/>
        </w:rPr>
        <w:t>提出调整申请。</w:t>
      </w:r>
    </w:p>
    <w:p>
      <w:pPr>
        <w:spacing w:line="580" w:lineRule="exact"/>
        <w:ind w:firstLine="640"/>
        <w:rPr>
          <w:rFonts w:hint="eastAsia" w:ascii="楷体_GB2312" w:hAnsi="楷体_GB2312" w:eastAsia="楷体_GB2312" w:cs="楷体_GB2312"/>
          <w:b/>
          <w:bCs/>
        </w:rPr>
      </w:pPr>
      <w:r>
        <w:rPr>
          <w:rFonts w:hint="eastAsia" w:ascii="楷体_GB2312" w:hAnsi="楷体_GB2312" w:eastAsia="楷体_GB2312" w:cs="楷体_GB2312"/>
          <w:b/>
          <w:bCs/>
        </w:rPr>
        <w:t>（五）采购方式变更审核</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kern w:val="2"/>
          <w:sz w:val="32"/>
          <w:szCs w:val="32"/>
        </w:rPr>
        <w:t>1.相关制度依据。</w:t>
      </w:r>
      <w:r>
        <w:rPr>
          <w:rFonts w:hint="eastAsia" w:ascii="仿宋_GB2312" w:hAnsi="仿宋_GB2312" w:eastAsia="仿宋_GB2312" w:cs="仿宋_GB2312"/>
          <w:bCs/>
          <w:kern w:val="2"/>
          <w:sz w:val="32"/>
          <w:szCs w:val="32"/>
        </w:rPr>
        <w:t>采购法第三章、采购法实施条例第三章。</w:t>
      </w:r>
    </w:p>
    <w:p>
      <w:pPr>
        <w:pStyle w:val="6"/>
        <w:widowControl w:val="0"/>
        <w:spacing w:before="0" w:beforeAutospacing="0" w:after="0" w:afterAutospacing="0" w:line="580" w:lineRule="exact"/>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达到公开招标数额标准，项目符合公开招标之外采购方式适用情形需要采取公开招标之外采购方式的，应当向</w:t>
      </w:r>
      <w:r>
        <w:rPr>
          <w:rFonts w:hint="eastAsia" w:ascii="仿宋_GB2312" w:hAnsi="仿宋_GB2312" w:eastAsia="仿宋_GB2312" w:cs="仿宋_GB2312"/>
          <w:bCs/>
          <w:kern w:val="2"/>
          <w:sz w:val="32"/>
          <w:szCs w:val="32"/>
          <w:lang w:eastAsia="zh-CN"/>
        </w:rPr>
        <w:t>财政局</w:t>
      </w:r>
      <w:r>
        <w:rPr>
          <w:rFonts w:hint="eastAsia" w:ascii="仿宋_GB2312" w:hAnsi="仿宋_GB2312" w:eastAsia="仿宋_GB2312" w:cs="仿宋_GB2312"/>
          <w:bCs/>
          <w:kern w:val="2"/>
          <w:sz w:val="32"/>
          <w:szCs w:val="32"/>
        </w:rPr>
        <w:t>申请采购方式变更。</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采取单一来源采购方式的，均要组织论证、公示，达到公开招标数额标准的，报</w:t>
      </w:r>
      <w:r>
        <w:rPr>
          <w:rFonts w:hint="eastAsia" w:ascii="仿宋_GB2312" w:hAnsi="仿宋_GB2312" w:eastAsia="仿宋_GB2312" w:cs="仿宋_GB2312"/>
          <w:bCs/>
          <w:kern w:val="2"/>
          <w:sz w:val="32"/>
          <w:szCs w:val="32"/>
          <w:lang w:eastAsia="zh-CN"/>
        </w:rPr>
        <w:t>财政局</w:t>
      </w:r>
      <w:r>
        <w:rPr>
          <w:rFonts w:hint="eastAsia" w:ascii="仿宋_GB2312" w:hAnsi="仿宋_GB2312" w:eastAsia="仿宋_GB2312" w:cs="仿宋_GB2312"/>
          <w:bCs/>
          <w:kern w:val="2"/>
          <w:sz w:val="32"/>
          <w:szCs w:val="32"/>
        </w:rPr>
        <w:t>批准方式变更。（</w:t>
      </w:r>
      <w:r>
        <w:rPr>
          <w:rFonts w:hint="eastAsia" w:ascii="仿宋_GB2312" w:hAnsi="仿宋_GB2312" w:eastAsia="仿宋_GB2312" w:cs="仿宋_GB2312"/>
          <w:b/>
          <w:bCs/>
          <w:kern w:val="2"/>
          <w:sz w:val="32"/>
          <w:szCs w:val="32"/>
        </w:rPr>
        <w:t>提示：</w:t>
      </w:r>
      <w:r>
        <w:rPr>
          <w:rFonts w:hint="eastAsia" w:ascii="仿宋_GB2312" w:hAnsi="仿宋_GB2312" w:eastAsia="仿宋_GB2312" w:cs="仿宋_GB2312"/>
          <w:bCs/>
          <w:kern w:val="2"/>
          <w:sz w:val="32"/>
          <w:szCs w:val="32"/>
        </w:rPr>
        <w:t>采购方式选择要根据项目实际需求合理确定，不建议未达到公开招标数额标准的项目一律选择公开招标；也不建议达到公开招标数额标准，但选择公开招标之外采购方式更有利于实现项目采购目标的项目，不选择更适合的采购方式）</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sz w:val="32"/>
          <w:szCs w:val="32"/>
        </w:rPr>
      </w:pPr>
      <w:r>
        <w:rPr>
          <w:rFonts w:hint="eastAsia" w:ascii="仿宋_GB2312" w:hAnsi="仿宋_GB2312" w:eastAsia="仿宋_GB2312" w:cs="仿宋_GB2312"/>
          <w:b/>
          <w:bCs/>
          <w:kern w:val="2"/>
          <w:sz w:val="32"/>
          <w:szCs w:val="32"/>
        </w:rPr>
        <w:t>2.职责分工</w:t>
      </w:r>
      <w:r>
        <w:rPr>
          <w:rFonts w:hint="eastAsia" w:ascii="仿宋_GB2312" w:hAnsi="仿宋_GB2312" w:eastAsia="仿宋_GB2312" w:cs="仿宋_GB2312"/>
          <w:b/>
          <w:bCs/>
          <w:sz w:val="32"/>
          <w:szCs w:val="32"/>
        </w:rPr>
        <w:t>。</w:t>
      </w:r>
      <w:r>
        <w:rPr>
          <w:rFonts w:hint="eastAsia" w:ascii="仿宋_GB2312" w:hAnsi="仿宋_GB2312" w:eastAsia="仿宋_GB2312" w:cs="仿宋_GB2312"/>
          <w:bCs/>
          <w:sz w:val="32"/>
          <w:szCs w:val="32"/>
        </w:rPr>
        <w:t>业务需求部门负责提出申请并提供相关证明材料，归口管理部门负责组织论证、公示、申报等工作。</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3.基本流程。</w:t>
      </w:r>
      <w:r>
        <w:rPr>
          <w:rFonts w:hint="eastAsia" w:ascii="仿宋_GB2312" w:hAnsi="仿宋_GB2312" w:eastAsia="仿宋_GB2312" w:cs="仿宋_GB2312"/>
          <w:bCs/>
          <w:sz w:val="32"/>
          <w:szCs w:val="32"/>
        </w:rPr>
        <w:t>业务需求部门根据项目实际，提出采购方式变更需求并提供相关证明材料，履行决策程序，归口管理部门组织报主管预算单位、</w:t>
      </w:r>
      <w:r>
        <w:rPr>
          <w:rFonts w:hint="eastAsia" w:ascii="仿宋_GB2312" w:hAnsi="仿宋_GB2312" w:eastAsia="仿宋_GB2312" w:cs="仿宋_GB2312"/>
          <w:bCs/>
          <w:sz w:val="32"/>
          <w:szCs w:val="32"/>
          <w:lang w:eastAsia="zh-CN"/>
        </w:rPr>
        <w:t>财政局</w:t>
      </w:r>
      <w:r>
        <w:rPr>
          <w:rFonts w:hint="eastAsia" w:ascii="仿宋_GB2312" w:hAnsi="仿宋_GB2312" w:eastAsia="仿宋_GB2312" w:cs="仿宋_GB2312"/>
          <w:bCs/>
          <w:sz w:val="32"/>
          <w:szCs w:val="32"/>
        </w:rPr>
        <w:t>审核。采取单一来源采购方式的，业务需求部门提供相关证明材料后，归口管理部门组织专业人员进行论证、公示通过后，再履行决策程序。</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sz w:val="32"/>
          <w:szCs w:val="32"/>
        </w:rPr>
        <w:t>对未达到公开招标数额标准已采取公开招标方式采购废标的项目，需要采取公开招标之外的其他采购方式的，履行决策程序即可，无需报</w:t>
      </w:r>
      <w:r>
        <w:rPr>
          <w:rFonts w:hint="eastAsia" w:ascii="仿宋_GB2312" w:hAnsi="仿宋_GB2312" w:eastAsia="仿宋_GB2312" w:cs="仿宋_GB2312"/>
          <w:bCs/>
          <w:sz w:val="32"/>
          <w:szCs w:val="32"/>
          <w:lang w:eastAsia="zh-CN"/>
        </w:rPr>
        <w:t>财政局</w:t>
      </w:r>
      <w:r>
        <w:rPr>
          <w:rFonts w:hint="eastAsia" w:ascii="仿宋_GB2312" w:hAnsi="仿宋_GB2312" w:eastAsia="仿宋_GB2312" w:cs="仿宋_GB2312"/>
          <w:bCs/>
          <w:sz w:val="32"/>
          <w:szCs w:val="32"/>
        </w:rPr>
        <w:t>审批。采取单一来源采购方式的，要论证、公示通过后，再履行决策程序。（</w:t>
      </w:r>
      <w:r>
        <w:rPr>
          <w:rFonts w:hint="eastAsia" w:ascii="仿宋_GB2312" w:hAnsi="仿宋_GB2312" w:eastAsia="仿宋_GB2312" w:cs="仿宋_GB2312"/>
          <w:b/>
          <w:bCs/>
          <w:sz w:val="32"/>
          <w:szCs w:val="32"/>
        </w:rPr>
        <w:t>提示：</w:t>
      </w:r>
      <w:r>
        <w:rPr>
          <w:rFonts w:hint="eastAsia" w:ascii="仿宋_GB2312" w:hAnsi="仿宋_GB2312" w:eastAsia="仿宋_GB2312" w:cs="仿宋_GB2312"/>
          <w:bCs/>
          <w:sz w:val="32"/>
          <w:szCs w:val="32"/>
        </w:rPr>
        <w:t>单位内部审核决策环节和主管预算单位审核环节要重点对选择的采购方式是否符合法定采购方式的适用情形进行审核；审核提供的证明材料和所述项目实际情况是否属实，是否能支持方式变更的理由）</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kern w:val="2"/>
          <w:sz w:val="32"/>
          <w:szCs w:val="32"/>
        </w:rPr>
        <w:t>4.单一来源采购方式的选择。</w:t>
      </w:r>
      <w:r>
        <w:rPr>
          <w:rFonts w:hint="eastAsia" w:ascii="仿宋_GB2312" w:hAnsi="仿宋_GB2312" w:eastAsia="仿宋_GB2312" w:cs="仿宋_GB2312"/>
          <w:bCs/>
          <w:kern w:val="2"/>
          <w:sz w:val="32"/>
          <w:szCs w:val="32"/>
        </w:rPr>
        <w:t>坚持从严从紧的原则，审慎选择单一来源采购方式，对只能从唯一供应商处采购的，应当围绕采购法实施条例第二十七条“因货物或者服务使用不可替代的专利、专有技术，或者公共服务项目有特殊要求的，导致只能从某一特定供应商处采购”的规定情形，结合项目实际，论证供应商的唯一性，即全国范围内只有唯一供应商能够满足需求。</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归口管理部门负责组织不少于3名中级以上职称且与项目专业相关的专业人员（非本单位、非潜在供应商及其关联单位人员），对照单一来源采购的适用情形，围绕业务需求部门提出的采购需求，对供应商的唯一性进行完整、清晰的阐述，提出明确的建议；归口管理部门根据论证意见将专家论证意见及征求意见公示材料在</w:t>
      </w:r>
      <w:r>
        <w:rPr>
          <w:rFonts w:hint="eastAsia" w:ascii="仿宋_GB2312" w:hAnsi="仿宋_GB2312" w:eastAsia="仿宋_GB2312" w:cs="仿宋_GB2312"/>
          <w:bCs/>
          <w:kern w:val="2"/>
          <w:sz w:val="32"/>
          <w:szCs w:val="32"/>
          <w:lang w:eastAsia="zh-CN"/>
        </w:rPr>
        <w:t>新乡市</w:t>
      </w:r>
      <w:r>
        <w:rPr>
          <w:rFonts w:hint="eastAsia" w:ascii="仿宋_GB2312" w:hAnsi="仿宋_GB2312" w:eastAsia="仿宋_GB2312" w:cs="仿宋_GB2312"/>
          <w:bCs/>
          <w:kern w:val="2"/>
          <w:sz w:val="32"/>
          <w:szCs w:val="32"/>
        </w:rPr>
        <w:t>政府采购网发布并公示（不少于5个工作日），收到异议的相关事项和内容组织补充论证，论证后认为异议成立的，依法采取其他采购方式；论证后认为异议不成立的，应将异议不成立的论证意见再次进行公示，并将相关情况告知提出异议的供应商，再次公示，直至无异议为止。</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对因发生不可预见的紧急情况不能从其他供应商处采购的，应当具有充分的依据和理由。</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对保证原有采购项目一致性或者服务配套要求，需要继续从原供应商处添购的，添购金额不超过原合同金额的百分之十。</w:t>
      </w:r>
    </w:p>
    <w:p>
      <w:pPr>
        <w:spacing w:line="580" w:lineRule="exact"/>
        <w:ind w:firstLine="640"/>
        <w:rPr>
          <w:rFonts w:hint="eastAsia" w:ascii="楷体_GB2312" w:hAnsi="楷体_GB2312" w:eastAsia="楷体_GB2312" w:cs="楷体_GB2312"/>
          <w:b/>
        </w:rPr>
      </w:pPr>
      <w:r>
        <w:rPr>
          <w:rFonts w:hint="eastAsia" w:ascii="楷体_GB2312" w:hAnsi="楷体_GB2312" w:eastAsia="楷体_GB2312" w:cs="楷体_GB2312"/>
          <w:b/>
        </w:rPr>
        <w:t>（六）进口产品采购</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1.相关制度依据。</w:t>
      </w:r>
      <w:r>
        <w:rPr>
          <w:rFonts w:hint="eastAsia" w:ascii="仿宋_GB2312" w:hAnsi="仿宋_GB2312" w:eastAsia="仿宋_GB2312" w:cs="仿宋_GB2312"/>
          <w:bCs/>
          <w:kern w:val="2"/>
          <w:sz w:val="32"/>
          <w:szCs w:val="32"/>
        </w:rPr>
        <w:t>采购法第十条、财政部《政府采购进口产品管理办法》（财库﹝2007﹞119号）及有关规范性文件要求。</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政府采购应当采购本国产品，确需采购进口产品的，应当在采购前按规定报</w:t>
      </w:r>
      <w:r>
        <w:rPr>
          <w:rFonts w:hint="eastAsia" w:ascii="仿宋_GB2312" w:hAnsi="仿宋_GB2312" w:eastAsia="仿宋_GB2312" w:cs="仿宋_GB2312"/>
          <w:bCs/>
          <w:kern w:val="2"/>
          <w:sz w:val="32"/>
          <w:szCs w:val="32"/>
          <w:lang w:eastAsia="zh-CN"/>
        </w:rPr>
        <w:t>财政局</w:t>
      </w:r>
      <w:r>
        <w:rPr>
          <w:rFonts w:hint="eastAsia" w:ascii="仿宋_GB2312" w:hAnsi="仿宋_GB2312" w:eastAsia="仿宋_GB2312" w:cs="仿宋_GB2312"/>
          <w:bCs/>
          <w:kern w:val="2"/>
          <w:sz w:val="32"/>
          <w:szCs w:val="32"/>
        </w:rPr>
        <w:t>批准。（提示：采购进口产品的前提是采购单位合理的采购需求国产产品无法满足，只有进口产品才能满足）</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2.职责分工。</w:t>
      </w:r>
      <w:r>
        <w:rPr>
          <w:rFonts w:hint="eastAsia" w:ascii="仿宋_GB2312" w:hAnsi="仿宋_GB2312" w:eastAsia="仿宋_GB2312" w:cs="仿宋_GB2312"/>
          <w:bCs/>
          <w:kern w:val="2"/>
          <w:sz w:val="32"/>
          <w:szCs w:val="32"/>
        </w:rPr>
        <w:t>业务需求部门负责提出拟采购产品的主要技术参数指标功能和应用场景以及对应国产产品和进口产品情况，归口管理部门负责组织专家论证、申报工作。</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3.基本程序。</w:t>
      </w:r>
      <w:r>
        <w:rPr>
          <w:rFonts w:hint="eastAsia" w:ascii="仿宋_GB2312" w:hAnsi="仿宋_GB2312" w:eastAsia="仿宋_GB2312" w:cs="仿宋_GB2312"/>
          <w:bCs/>
          <w:kern w:val="2"/>
          <w:sz w:val="32"/>
          <w:szCs w:val="32"/>
        </w:rPr>
        <w:t>业务需求部门根据工作实际，提出需求的主要参数指标功能（提示：此处建议明确对应所需满足的具体工作需求，即应用场景）和通过市场调研了解的国产和进口产品对应的主要参数指标功能情况，采购需求的主要参数指标或者功能应当联系具体工作需求，并逐一说明满足具体哪项工作需要，提供相应的证明材料。归口管理部门根据业务需求部门提出的需求、提供的资料，组织专家进行论证（提示：专家论证应当对主要技术参数指标功能及应用场景的合理性，国内产品和进口产品的参数指标情况进行客观详细的论证，出具明确的论证意见），建议采购进口产品的，履行决策程序（提示：重点审核提出的技术参数功能指标和应用场景是否与工作实际需要相符，选择的论证专家是否与所采购的产品专业相关，是否存在超标准、豪华采购），确认论证结果。</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业务需求部门负责组织提供申请材料报归口管理部门，由归口管理部门报主管部门审核（提示：主管部门主要审核所提需求是否符合单位工作实际，是否符合国家规定的配备条件和数量要求）同意后，报</w:t>
      </w:r>
      <w:r>
        <w:rPr>
          <w:rFonts w:hint="eastAsia" w:ascii="仿宋_GB2312" w:hAnsi="仿宋_GB2312" w:eastAsia="仿宋_GB2312" w:cs="仿宋_GB2312"/>
          <w:bCs/>
          <w:kern w:val="2"/>
          <w:sz w:val="32"/>
          <w:szCs w:val="32"/>
          <w:lang w:eastAsia="zh-CN"/>
        </w:rPr>
        <w:t>财政局</w:t>
      </w:r>
      <w:r>
        <w:rPr>
          <w:rFonts w:hint="eastAsia" w:ascii="仿宋_GB2312" w:hAnsi="仿宋_GB2312" w:eastAsia="仿宋_GB2312" w:cs="仿宋_GB2312"/>
          <w:bCs/>
          <w:kern w:val="2"/>
          <w:sz w:val="32"/>
          <w:szCs w:val="32"/>
        </w:rPr>
        <w:t>批准。（提示：</w:t>
      </w:r>
      <w:r>
        <w:rPr>
          <w:rFonts w:hint="eastAsia" w:ascii="仿宋_GB2312" w:hAnsi="仿宋_GB2312" w:eastAsia="仿宋_GB2312" w:cs="仿宋_GB2312"/>
          <w:bCs/>
          <w:kern w:val="2"/>
          <w:sz w:val="32"/>
          <w:szCs w:val="32"/>
          <w:lang w:eastAsia="zh-CN"/>
        </w:rPr>
        <w:t>财政局</w:t>
      </w:r>
      <w:r>
        <w:rPr>
          <w:rFonts w:hint="eastAsia" w:ascii="仿宋_GB2312" w:hAnsi="仿宋_GB2312" w:eastAsia="仿宋_GB2312" w:cs="仿宋_GB2312"/>
          <w:bCs/>
          <w:kern w:val="2"/>
          <w:sz w:val="32"/>
          <w:szCs w:val="32"/>
        </w:rPr>
        <w:t>根据财政部进口产品审核有关要求进行审核，主要审核资料是否齐全，是否符合有关指导标准要求）</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lang w:eastAsia="zh-CN"/>
        </w:rPr>
        <w:t>财政局</w:t>
      </w:r>
      <w:r>
        <w:rPr>
          <w:rFonts w:hint="eastAsia" w:ascii="仿宋_GB2312" w:hAnsi="仿宋_GB2312" w:eastAsia="仿宋_GB2312" w:cs="仿宋_GB2312"/>
          <w:bCs/>
          <w:kern w:val="2"/>
          <w:sz w:val="32"/>
          <w:szCs w:val="32"/>
        </w:rPr>
        <w:t>批准意见，仅是明确在采购过程中明确允许提供进口产品参加采购活动，但不能限制符合需求的国产产品参与竞争。</w:t>
      </w:r>
    </w:p>
    <w:p>
      <w:pPr>
        <w:spacing w:line="580" w:lineRule="exact"/>
        <w:ind w:firstLine="640"/>
        <w:rPr>
          <w:rFonts w:hint="eastAsia" w:ascii="楷体_GB2312" w:hAnsi="楷体_GB2312" w:eastAsia="楷体_GB2312" w:cs="楷体_GB2312"/>
          <w:b/>
        </w:rPr>
      </w:pPr>
      <w:r>
        <w:rPr>
          <w:rFonts w:hint="eastAsia" w:ascii="楷体_GB2312" w:hAnsi="楷体_GB2312" w:eastAsia="楷体_GB2312" w:cs="楷体_GB2312"/>
          <w:b/>
        </w:rPr>
        <w:t>（七）委托采购代理机构</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1.相关制度规定。</w:t>
      </w:r>
      <w:r>
        <w:rPr>
          <w:rFonts w:hint="eastAsia" w:ascii="仿宋_GB2312" w:hAnsi="仿宋_GB2312" w:eastAsia="仿宋_GB2312" w:cs="仿宋_GB2312"/>
          <w:bCs/>
          <w:kern w:val="2"/>
          <w:sz w:val="32"/>
          <w:szCs w:val="32"/>
        </w:rPr>
        <w:t>采购法第十八、十九、二十条、《政府采购代理机构管理暂行办法》（财库﹝2018﹞ 2号）。</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2.职责分工。</w:t>
      </w:r>
      <w:r>
        <w:rPr>
          <w:rFonts w:hint="eastAsia" w:ascii="仿宋_GB2312" w:hAnsi="仿宋_GB2312" w:eastAsia="仿宋_GB2312" w:cs="仿宋_GB2312"/>
          <w:bCs/>
          <w:kern w:val="2"/>
          <w:sz w:val="32"/>
          <w:szCs w:val="32"/>
        </w:rPr>
        <w:t>归口管理部门负责采购代理机构的选择、委托、协调和日常管理。</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3.委托方式。</w:t>
      </w:r>
      <w:r>
        <w:rPr>
          <w:rFonts w:hint="eastAsia" w:ascii="仿宋_GB2312" w:hAnsi="仿宋_GB2312" w:eastAsia="仿宋_GB2312" w:cs="仿宋_GB2312"/>
          <w:bCs/>
          <w:kern w:val="2"/>
          <w:sz w:val="32"/>
          <w:szCs w:val="32"/>
        </w:rPr>
        <w:t>集采目录内的集中采购项目必须委托集中采购机构；集采目录外分散采购限额标准以上的分散采购项目可以委托集中采购机构，也可以委托社会代理机构，但</w:t>
      </w:r>
      <w:r>
        <w:rPr>
          <w:rFonts w:hint="eastAsia" w:ascii="仿宋_GB2312" w:hAnsi="仿宋_GB2312" w:eastAsia="仿宋_GB2312" w:cs="仿宋_GB2312"/>
          <w:bCs/>
          <w:kern w:val="2"/>
          <w:sz w:val="32"/>
          <w:szCs w:val="32"/>
          <w:lang w:eastAsia="zh-CN"/>
        </w:rPr>
        <w:t>建议</w:t>
      </w:r>
      <w:r>
        <w:rPr>
          <w:rFonts w:hint="eastAsia" w:ascii="仿宋_GB2312" w:hAnsi="仿宋_GB2312" w:eastAsia="仿宋_GB2312" w:cs="仿宋_GB2312"/>
          <w:bCs/>
          <w:kern w:val="2"/>
          <w:sz w:val="32"/>
          <w:szCs w:val="32"/>
        </w:rPr>
        <w:t>采取“一项目一委托”的方式进行委托，即一个项目签订一份委托代理协议。（提示：委托方式在采购计划编制环节确定，履行审核程序；具备编制采购文件、组织采购活动能力的单位，对分散采购项目可以自行组织实施，即委托采购代理机构完成的工作由本单位负责完成）</w:t>
      </w:r>
    </w:p>
    <w:p>
      <w:pPr>
        <w:spacing w:line="580" w:lineRule="exact"/>
        <w:ind w:firstLine="640"/>
        <w:rPr>
          <w:rFonts w:hint="eastAsia" w:eastAsia="仿宋"/>
          <w:b/>
        </w:rPr>
      </w:pPr>
      <w:r>
        <w:rPr>
          <w:rFonts w:hint="eastAsia" w:eastAsia="仿宋"/>
          <w:b/>
        </w:rPr>
        <w:t>4</w:t>
      </w:r>
      <w:r>
        <w:rPr>
          <w:rFonts w:eastAsia="仿宋"/>
          <w:b/>
        </w:rPr>
        <w:t>.</w:t>
      </w:r>
      <w:r>
        <w:rPr>
          <w:rFonts w:hint="eastAsia" w:eastAsia="仿宋"/>
          <w:b/>
        </w:rPr>
        <w:t>基本流程。</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（1）选择集中采购机构。</w:t>
      </w:r>
      <w:r>
        <w:rPr>
          <w:rFonts w:hint="eastAsia" w:ascii="仿宋_GB2312" w:hAnsi="仿宋_GB2312" w:eastAsia="仿宋_GB2312" w:cs="仿宋_GB2312"/>
          <w:bCs/>
          <w:kern w:val="2"/>
          <w:sz w:val="32"/>
          <w:szCs w:val="32"/>
        </w:rPr>
        <w:t>集中采购目录以内的采购项目必须委托集中采购机构，归口管理部门按照集中采购机构发布的集中采购目录实施方案</w:t>
      </w:r>
      <w:r>
        <w:rPr>
          <w:rFonts w:hint="eastAsia" w:ascii="仿宋_GB2312" w:hAnsi="仿宋_GB2312" w:eastAsia="仿宋_GB2312" w:cs="仿宋_GB2312"/>
          <w:bCs/>
          <w:kern w:val="2"/>
          <w:sz w:val="32"/>
          <w:szCs w:val="32"/>
          <w:lang w:eastAsia="zh-CN"/>
        </w:rPr>
        <w:t>（如果有）</w:t>
      </w:r>
      <w:r>
        <w:rPr>
          <w:rFonts w:hint="eastAsia" w:ascii="仿宋_GB2312" w:hAnsi="仿宋_GB2312" w:eastAsia="仿宋_GB2312" w:cs="仿宋_GB2312"/>
          <w:bCs/>
          <w:kern w:val="2"/>
          <w:sz w:val="32"/>
          <w:szCs w:val="32"/>
        </w:rPr>
        <w:t>的要求对接、办理项目委托事宜。经与集中采购机构协商一致，也可以将分散采购项目委托集中采购机构代理采购。</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（2）选择社会代理机构。</w:t>
      </w:r>
      <w:r>
        <w:rPr>
          <w:rFonts w:hint="eastAsia" w:ascii="仿宋_GB2312" w:hAnsi="仿宋_GB2312" w:eastAsia="仿宋_GB2312" w:cs="仿宋_GB2312"/>
          <w:bCs/>
          <w:kern w:val="2"/>
          <w:sz w:val="32"/>
          <w:szCs w:val="32"/>
        </w:rPr>
        <w:t>分散采购项目可以委托社会代理机构代理采购，采购人有权自行选择采购代理机构，任何单位和个人不得以任何方式为采购人指定采购代理机构。</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归口管理部门负责社会代理机构的选择工作，制定选择方案（</w:t>
      </w:r>
      <w:r>
        <w:rPr>
          <w:rFonts w:hint="eastAsia" w:ascii="仿宋_GB2312" w:hAnsi="仿宋_GB2312" w:eastAsia="仿宋_GB2312" w:cs="仿宋_GB2312"/>
          <w:b/>
          <w:bCs w:val="0"/>
          <w:kern w:val="2"/>
          <w:sz w:val="32"/>
          <w:szCs w:val="32"/>
        </w:rPr>
        <w:t>提示：</w:t>
      </w:r>
      <w:r>
        <w:rPr>
          <w:rFonts w:hint="eastAsia" w:ascii="仿宋_GB2312" w:hAnsi="仿宋_GB2312" w:eastAsia="仿宋_GB2312" w:cs="仿宋_GB2312"/>
          <w:bCs/>
          <w:kern w:val="2"/>
          <w:sz w:val="32"/>
          <w:szCs w:val="32"/>
        </w:rPr>
        <w:t>可以单独制定专门的社会代理机构选择管理制度），包括：选择标准（</w:t>
      </w:r>
      <w:r>
        <w:rPr>
          <w:rFonts w:hint="eastAsia" w:ascii="仿宋_GB2312" w:hAnsi="仿宋_GB2312" w:eastAsia="仿宋_GB2312" w:cs="仿宋_GB2312"/>
          <w:b/>
          <w:bCs w:val="0"/>
          <w:kern w:val="2"/>
          <w:sz w:val="32"/>
          <w:szCs w:val="32"/>
        </w:rPr>
        <w:t>提示：</w:t>
      </w:r>
      <w:r>
        <w:rPr>
          <w:rFonts w:hint="eastAsia" w:ascii="仿宋_GB2312" w:hAnsi="仿宋_GB2312" w:eastAsia="仿宋_GB2312" w:cs="仿宋_GB2312"/>
          <w:bCs/>
          <w:kern w:val="2"/>
          <w:sz w:val="32"/>
          <w:szCs w:val="32"/>
        </w:rPr>
        <w:t>单位根据项目实际，从财政部门的考核评价情况、承接类似项目的业绩、执行规范和效率、履约能力评价、软硬件条件、从业人员素质等角度入手，制定择优选择的标准）、邀请范围（</w:t>
      </w:r>
      <w:r>
        <w:rPr>
          <w:rFonts w:hint="eastAsia" w:ascii="仿宋_GB2312" w:hAnsi="仿宋_GB2312" w:eastAsia="仿宋_GB2312" w:cs="仿宋_GB2312"/>
          <w:b/>
          <w:bCs w:val="0"/>
          <w:kern w:val="2"/>
          <w:sz w:val="32"/>
          <w:szCs w:val="32"/>
        </w:rPr>
        <w:t>提示：</w:t>
      </w:r>
      <w:r>
        <w:rPr>
          <w:rFonts w:hint="eastAsia" w:ascii="仿宋_GB2312" w:hAnsi="仿宋_GB2312" w:eastAsia="仿宋_GB2312" w:cs="仿宋_GB2312"/>
          <w:bCs/>
          <w:kern w:val="2"/>
          <w:sz w:val="32"/>
          <w:szCs w:val="32"/>
        </w:rPr>
        <w:t>邀请在中国政府采购网登记的社会代理机构，可以定向邀请，也可以公开邀请）、程序、数量和履约条件（</w:t>
      </w:r>
      <w:r>
        <w:rPr>
          <w:rFonts w:hint="eastAsia" w:ascii="仿宋_GB2312" w:hAnsi="仿宋_GB2312" w:eastAsia="仿宋_GB2312" w:cs="仿宋_GB2312"/>
          <w:b/>
          <w:bCs w:val="0"/>
          <w:kern w:val="2"/>
          <w:sz w:val="32"/>
          <w:szCs w:val="32"/>
        </w:rPr>
        <w:t>提示：</w:t>
      </w:r>
      <w:r>
        <w:rPr>
          <w:rFonts w:hint="eastAsia" w:ascii="仿宋_GB2312" w:hAnsi="仿宋_GB2312" w:eastAsia="仿宋_GB2312" w:cs="仿宋_GB2312"/>
          <w:bCs/>
          <w:kern w:val="2"/>
          <w:sz w:val="32"/>
          <w:szCs w:val="32"/>
        </w:rPr>
        <w:t>对采购规模大、项目多的单位，</w:t>
      </w:r>
      <w:r>
        <w:rPr>
          <w:rFonts w:hint="eastAsia" w:ascii="仿宋_GB2312" w:hAnsi="仿宋_GB2312" w:eastAsia="仿宋_GB2312" w:cs="仿宋_GB2312"/>
          <w:bCs/>
          <w:kern w:val="2"/>
          <w:sz w:val="32"/>
          <w:szCs w:val="32"/>
          <w:lang w:eastAsia="zh-CN"/>
        </w:rPr>
        <w:t>建议</w:t>
      </w:r>
      <w:r>
        <w:rPr>
          <w:rFonts w:hint="eastAsia" w:ascii="仿宋_GB2312" w:hAnsi="仿宋_GB2312" w:eastAsia="仿宋_GB2312" w:cs="仿宋_GB2312"/>
          <w:bCs/>
          <w:kern w:val="2"/>
          <w:sz w:val="32"/>
          <w:szCs w:val="32"/>
        </w:rPr>
        <w:t>一次性选择多家采购代理机构，但要明确在项目委托环节确定项目代理机构的规则和标准），履行决策程序（</w:t>
      </w:r>
      <w:r>
        <w:rPr>
          <w:rFonts w:hint="eastAsia" w:ascii="仿宋_GB2312" w:hAnsi="仿宋_GB2312" w:eastAsia="仿宋_GB2312" w:cs="仿宋_GB2312"/>
          <w:b/>
          <w:bCs w:val="0"/>
          <w:kern w:val="2"/>
          <w:sz w:val="32"/>
          <w:szCs w:val="32"/>
        </w:rPr>
        <w:t>提示：</w:t>
      </w:r>
      <w:r>
        <w:rPr>
          <w:rFonts w:hint="eastAsia" w:ascii="仿宋_GB2312" w:hAnsi="仿宋_GB2312" w:eastAsia="仿宋_GB2312" w:cs="仿宋_GB2312"/>
          <w:bCs/>
          <w:kern w:val="2"/>
          <w:sz w:val="32"/>
          <w:szCs w:val="32"/>
        </w:rPr>
        <w:t>重点审核选择标准、邀请范围和履约条件是否符合项目实际需要，是否存在明显不合理条款），组织选择采购代理机构（</w:t>
      </w:r>
      <w:r>
        <w:rPr>
          <w:rFonts w:hint="eastAsia" w:ascii="仿宋_GB2312" w:hAnsi="仿宋_GB2312" w:eastAsia="仿宋_GB2312" w:cs="仿宋_GB2312"/>
          <w:b/>
          <w:bCs w:val="0"/>
          <w:kern w:val="2"/>
          <w:sz w:val="32"/>
          <w:szCs w:val="32"/>
        </w:rPr>
        <w:t>提示：</w:t>
      </w:r>
      <w:r>
        <w:rPr>
          <w:rFonts w:hint="eastAsia" w:ascii="仿宋_GB2312" w:hAnsi="仿宋_GB2312" w:eastAsia="仿宋_GB2312" w:cs="仿宋_GB2312"/>
          <w:bCs/>
          <w:kern w:val="2"/>
          <w:sz w:val="32"/>
          <w:szCs w:val="32"/>
        </w:rPr>
        <w:t>程序方面可以采取竞争性方式、也可以直接指定，由采购单位根据项目的实际情况自行确定，在此过程中要组织单位财务、内部审计、法制、业务需求等部门参与，加强监督制约），履行决策程序，确定社会代理机构。</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
          <w:bCs w:val="0"/>
          <w:kern w:val="2"/>
          <w:sz w:val="32"/>
          <w:szCs w:val="32"/>
        </w:rPr>
      </w:pPr>
      <w:r>
        <w:rPr>
          <w:rFonts w:hint="eastAsia" w:ascii="仿宋_GB2312" w:hAnsi="仿宋_GB2312" w:eastAsia="仿宋_GB2312" w:cs="仿宋_GB2312"/>
          <w:b/>
          <w:bCs w:val="0"/>
          <w:kern w:val="2"/>
          <w:sz w:val="32"/>
          <w:szCs w:val="32"/>
        </w:rPr>
        <w:t>提示：</w:t>
      </w:r>
      <w:r>
        <w:rPr>
          <w:rFonts w:hint="eastAsia" w:ascii="仿宋_GB2312" w:hAnsi="仿宋_GB2312" w:eastAsia="仿宋_GB2312" w:cs="仿宋_GB2312"/>
          <w:bCs/>
          <w:kern w:val="2"/>
          <w:sz w:val="32"/>
          <w:szCs w:val="32"/>
        </w:rPr>
        <w:t>选择采购代理机构的目的是协助采购人规范高效开展采购活动，在采购需求和采购实施计划编制、组织采购活动和履约验收等环节提供专业化的服务；范本中确定采购代理机构的程序要求仅供参考，并非强制要求采购单位要通过竞争性方式选择采购代理机构，采购项目数量少或者时间紧急时，采购人可以根据实际直接指定采购代理机构；对采购服务质量好、执业规范、专业能力强、履约评价优秀的采购代理机构，采购人可以履行决策程序后，直接选择其代理采购。</w:t>
      </w:r>
      <w:r>
        <w:rPr>
          <w:rFonts w:hint="eastAsia" w:ascii="仿宋_GB2312" w:hAnsi="仿宋_GB2312" w:eastAsia="仿宋_GB2312" w:cs="仿宋_GB2312"/>
          <w:b/>
          <w:bCs w:val="0"/>
          <w:kern w:val="2"/>
          <w:sz w:val="32"/>
          <w:szCs w:val="32"/>
        </w:rPr>
        <w:t>由于选择社会代理机构是采购活动中与市场主体交互的重要环节，此环节也是廉政风险和法律风险防控的重要环节。</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5.签订委托代理协议。</w:t>
      </w:r>
      <w:r>
        <w:rPr>
          <w:rFonts w:hint="eastAsia" w:ascii="仿宋_GB2312" w:hAnsi="仿宋_GB2312" w:eastAsia="仿宋_GB2312" w:cs="仿宋_GB2312"/>
          <w:bCs/>
          <w:kern w:val="2"/>
          <w:sz w:val="32"/>
          <w:szCs w:val="32"/>
        </w:rPr>
        <w:t>归口管理部门根据采购项目的委托事项，组织草拟委托代理协议，协议内容包括代理采购的范围、委托权限、期限及代理费用等。（</w:t>
      </w:r>
      <w:r>
        <w:rPr>
          <w:rFonts w:hint="eastAsia" w:ascii="仿宋_GB2312" w:hAnsi="仿宋_GB2312" w:eastAsia="仿宋_GB2312" w:cs="仿宋_GB2312"/>
          <w:b/>
          <w:bCs w:val="0"/>
          <w:kern w:val="2"/>
          <w:sz w:val="32"/>
          <w:szCs w:val="32"/>
        </w:rPr>
        <w:t>提示：</w:t>
      </w:r>
      <w:r>
        <w:rPr>
          <w:rFonts w:hint="eastAsia" w:ascii="仿宋_GB2312" w:hAnsi="仿宋_GB2312" w:eastAsia="仿宋_GB2312" w:cs="仿宋_GB2312"/>
          <w:bCs/>
          <w:kern w:val="2"/>
          <w:sz w:val="32"/>
          <w:szCs w:val="32"/>
        </w:rPr>
        <w:t>委托代理采购的范围由采购单位和采购代理机构协商确定，采购代理机构的主要职责包括编制采购文件，发布采购公告，发售采购文件，接收供应商投标/响应文件，组建评审委员会，组织开标、唱标、评标/谈判/磋商，发布采购结果公告，发出中标（成交）通知书，处理询问、质疑答复。另外，还可以委托采购代理机构协助采购需求和采购实施计划编制、履约验收等工作。需要注意的是，社会代理机构的代理费用要根据《</w:t>
      </w:r>
      <w:r>
        <w:rPr>
          <w:rFonts w:hint="eastAsia" w:ascii="仿宋_GB2312" w:hAnsi="仿宋_GB2312" w:eastAsia="仿宋_GB2312" w:cs="仿宋_GB2312"/>
          <w:bCs/>
          <w:kern w:val="2"/>
          <w:sz w:val="32"/>
          <w:szCs w:val="32"/>
          <w:lang w:eastAsia="zh-CN"/>
        </w:rPr>
        <w:t>新乡市政府采购领域营商环境提升方案（试行）</w:t>
      </w:r>
      <w:r>
        <w:rPr>
          <w:rFonts w:hint="eastAsia" w:ascii="仿宋_GB2312" w:hAnsi="仿宋_GB2312" w:eastAsia="仿宋_GB2312" w:cs="仿宋_GB2312"/>
          <w:bCs/>
          <w:kern w:val="2"/>
          <w:sz w:val="32"/>
          <w:szCs w:val="32"/>
        </w:rPr>
        <w:t>》的要求，按照采购人拟委托采购代理机构服务事项所需付出的成本加合理利润的原则确定，由采购人和采购代理机构在代理协议中予以明确，不建议采购人直接将委托代理费用作为选择采购代理机构的唯一标准）</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6.采购代理机构评价。</w:t>
      </w:r>
      <w:r>
        <w:rPr>
          <w:rFonts w:hint="eastAsia" w:ascii="仿宋_GB2312" w:hAnsi="仿宋_GB2312" w:eastAsia="仿宋_GB2312" w:cs="仿宋_GB2312"/>
          <w:bCs/>
          <w:kern w:val="2"/>
          <w:sz w:val="32"/>
          <w:szCs w:val="32"/>
        </w:rPr>
        <w:t>归口管理部门负责组织采购代理机构评价工作，会同业务需求部门共同对采购代理履约情况进行评价。（</w:t>
      </w:r>
      <w:r>
        <w:rPr>
          <w:rFonts w:hint="eastAsia" w:ascii="仿宋_GB2312" w:hAnsi="仿宋_GB2312" w:eastAsia="仿宋_GB2312" w:cs="仿宋_GB2312"/>
          <w:b/>
          <w:bCs w:val="0"/>
          <w:kern w:val="2"/>
          <w:sz w:val="32"/>
          <w:szCs w:val="32"/>
        </w:rPr>
        <w:t>提示：</w:t>
      </w:r>
      <w:r>
        <w:rPr>
          <w:rFonts w:hint="eastAsia" w:ascii="仿宋_GB2312" w:hAnsi="仿宋_GB2312" w:eastAsia="仿宋_GB2312" w:cs="仿宋_GB2312"/>
          <w:bCs/>
          <w:kern w:val="2"/>
          <w:sz w:val="32"/>
          <w:szCs w:val="32"/>
        </w:rPr>
        <w:t>涉及按照财政部门工作要求进行评价的事项要客观及时进行评价；还可以结合单位实际，建立对采购代理机构的内部评价机制，评价结果作为本单位后续选择采购代理机构的重要依据）</w:t>
      </w:r>
    </w:p>
    <w:p>
      <w:pPr>
        <w:spacing w:line="580" w:lineRule="exact"/>
        <w:ind w:firstLine="640"/>
        <w:rPr>
          <w:rFonts w:hint="eastAsia" w:ascii="楷体_GB2312" w:hAnsi="楷体_GB2312" w:eastAsia="楷体_GB2312" w:cs="楷体_GB2312"/>
          <w:b/>
        </w:rPr>
      </w:pPr>
      <w:r>
        <w:rPr>
          <w:rFonts w:hint="eastAsia" w:ascii="楷体_GB2312" w:hAnsi="楷体_GB2312" w:eastAsia="楷体_GB2312" w:cs="楷体_GB2312"/>
          <w:b/>
        </w:rPr>
        <w:t>（八）确认采购文件</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1.相关制度依据。</w:t>
      </w:r>
      <w:r>
        <w:rPr>
          <w:rFonts w:hint="eastAsia" w:ascii="仿宋_GB2312" w:hAnsi="仿宋_GB2312" w:eastAsia="仿宋_GB2312" w:cs="仿宋_GB2312"/>
          <w:bCs/>
          <w:kern w:val="2"/>
          <w:sz w:val="32"/>
          <w:szCs w:val="32"/>
        </w:rPr>
        <w:t>采购法实施条例第十五条。</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2.职责分工。</w:t>
      </w:r>
      <w:r>
        <w:rPr>
          <w:rFonts w:hint="eastAsia" w:ascii="仿宋_GB2312" w:hAnsi="仿宋_GB2312" w:eastAsia="仿宋_GB2312" w:cs="仿宋_GB2312"/>
          <w:bCs/>
          <w:kern w:val="2"/>
          <w:sz w:val="32"/>
          <w:szCs w:val="32"/>
        </w:rPr>
        <w:t>业务需求部门负责确认采购文件中涉及的采购需求和采购实施计划内容，归口管理部门负责确认涉及的其他内容。</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3.基本流程。</w:t>
      </w:r>
      <w:r>
        <w:rPr>
          <w:rFonts w:hint="eastAsia" w:ascii="仿宋_GB2312" w:hAnsi="仿宋_GB2312" w:eastAsia="仿宋_GB2312" w:cs="仿宋_GB2312"/>
          <w:bCs/>
          <w:kern w:val="2"/>
          <w:sz w:val="32"/>
          <w:szCs w:val="32"/>
        </w:rPr>
        <w:t>采购代理机构向归口管理部门反馈编制的采购文件后，归口管理部门会同业务需求部门核实、确认（</w:t>
      </w:r>
      <w:r>
        <w:rPr>
          <w:rFonts w:hint="eastAsia" w:ascii="仿宋_GB2312" w:hAnsi="仿宋_GB2312" w:eastAsia="仿宋_GB2312" w:cs="仿宋_GB2312"/>
          <w:b/>
          <w:bCs w:val="0"/>
          <w:kern w:val="2"/>
          <w:sz w:val="32"/>
          <w:szCs w:val="32"/>
        </w:rPr>
        <w:t>提示：</w:t>
      </w:r>
      <w:r>
        <w:rPr>
          <w:rFonts w:hint="eastAsia" w:ascii="仿宋_GB2312" w:hAnsi="仿宋_GB2312" w:eastAsia="仿宋_GB2312" w:cs="仿宋_GB2312"/>
          <w:bCs/>
          <w:kern w:val="2"/>
          <w:sz w:val="32"/>
          <w:szCs w:val="32"/>
        </w:rPr>
        <w:t>此环节重点审核采购文件内容与采购需求和采购实施计划内容及要求是否一致，对其他采购程序、规则等格式规范方面的内容可以在委托代理协议中明确由采购代理机构负责），核对、确认无误后，法规部门进行合法性审查（</w:t>
      </w:r>
      <w:r>
        <w:rPr>
          <w:rFonts w:hint="eastAsia" w:ascii="仿宋_GB2312" w:hAnsi="仿宋_GB2312" w:eastAsia="仿宋_GB2312" w:cs="仿宋_GB2312"/>
          <w:b/>
          <w:bCs w:val="0"/>
          <w:kern w:val="2"/>
          <w:sz w:val="32"/>
          <w:szCs w:val="32"/>
        </w:rPr>
        <w:t>提示：</w:t>
      </w:r>
      <w:r>
        <w:rPr>
          <w:rFonts w:hint="eastAsia" w:ascii="仿宋_GB2312" w:hAnsi="仿宋_GB2312" w:eastAsia="仿宋_GB2312" w:cs="仿宋_GB2312"/>
          <w:bCs/>
          <w:kern w:val="2"/>
          <w:sz w:val="32"/>
          <w:szCs w:val="32"/>
        </w:rPr>
        <w:t>重点对与采购需求和采购实施计划不一致的内容以及采购文件中涉及的法定时限及程序要求进行审查），归口管理部门组织履行决策程序，书面反馈采购代理机构。</w:t>
      </w:r>
    </w:p>
    <w:p>
      <w:pPr>
        <w:spacing w:line="580" w:lineRule="exact"/>
        <w:ind w:firstLine="640"/>
        <w:rPr>
          <w:rFonts w:hint="eastAsia" w:ascii="楷体_GB2312" w:hAnsi="楷体_GB2312" w:eastAsia="楷体_GB2312" w:cs="楷体_GB2312"/>
          <w:b/>
        </w:rPr>
      </w:pPr>
      <w:r>
        <w:rPr>
          <w:rFonts w:hint="eastAsia" w:ascii="楷体_GB2312" w:hAnsi="楷体_GB2312" w:eastAsia="楷体_GB2312" w:cs="楷体_GB2312"/>
          <w:b/>
        </w:rPr>
        <w:t>（九）公开采购信息</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1.相关制度规定。</w:t>
      </w:r>
      <w:r>
        <w:rPr>
          <w:rFonts w:hint="eastAsia" w:ascii="仿宋_GB2312" w:hAnsi="仿宋_GB2312" w:eastAsia="仿宋_GB2312" w:cs="仿宋_GB2312"/>
          <w:bCs/>
          <w:kern w:val="2"/>
          <w:sz w:val="32"/>
          <w:szCs w:val="32"/>
        </w:rPr>
        <w:t>《政府采购信息发布管理办法》（财政部令第101号）、</w:t>
      </w:r>
      <w:r>
        <w:rPr>
          <w:rFonts w:hint="eastAsia" w:ascii="仿宋_GB2312" w:hAnsi="仿宋_GB2312" w:eastAsia="仿宋_GB2312" w:cs="仿宋_GB2312"/>
          <w:bCs/>
          <w:kern w:val="2"/>
          <w:sz w:val="32"/>
          <w:szCs w:val="32"/>
          <w:lang w:eastAsia="zh-CN"/>
        </w:rPr>
        <w:t>《</w:t>
      </w:r>
      <w:r>
        <w:rPr>
          <w:rFonts w:hint="eastAsia" w:ascii="仿宋_GB2312" w:hAnsi="仿宋_GB2312" w:eastAsia="仿宋_GB2312" w:cs="仿宋_GB2312"/>
          <w:bCs/>
          <w:kern w:val="2"/>
          <w:sz w:val="32"/>
          <w:szCs w:val="32"/>
        </w:rPr>
        <w:t>新乡市财政局关于进一步做好政府采购信息公开有关工作的通知</w:t>
      </w:r>
      <w:r>
        <w:rPr>
          <w:rFonts w:hint="eastAsia" w:ascii="仿宋_GB2312" w:hAnsi="仿宋_GB2312" w:eastAsia="仿宋_GB2312" w:cs="仿宋_GB2312"/>
          <w:bCs/>
          <w:kern w:val="2"/>
          <w:sz w:val="32"/>
          <w:szCs w:val="32"/>
          <w:lang w:eastAsia="zh-CN"/>
        </w:rPr>
        <w:t>》</w:t>
      </w:r>
      <w:r>
        <w:rPr>
          <w:rFonts w:hint="eastAsia" w:ascii="仿宋_GB2312" w:hAnsi="仿宋_GB2312" w:eastAsia="仿宋_GB2312" w:cs="仿宋_GB2312"/>
          <w:bCs/>
          <w:kern w:val="2"/>
          <w:sz w:val="32"/>
          <w:szCs w:val="32"/>
        </w:rPr>
        <w:t>等。</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2.职责分工。</w:t>
      </w:r>
      <w:r>
        <w:rPr>
          <w:rFonts w:hint="eastAsia" w:ascii="仿宋_GB2312" w:hAnsi="仿宋_GB2312" w:eastAsia="仿宋_GB2312" w:cs="仿宋_GB2312"/>
          <w:bCs/>
          <w:kern w:val="2"/>
          <w:sz w:val="32"/>
          <w:szCs w:val="32"/>
        </w:rPr>
        <w:t>归口管理部门负责本单位政府采购信息的公开工作，确保依法及时完整公开信息，切实防范信息发布风险。</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3.基本流程。</w:t>
      </w:r>
      <w:r>
        <w:rPr>
          <w:rFonts w:hint="eastAsia" w:ascii="仿宋_GB2312" w:hAnsi="仿宋_GB2312" w:eastAsia="仿宋_GB2312" w:cs="仿宋_GB2312"/>
          <w:bCs/>
          <w:kern w:val="2"/>
          <w:sz w:val="32"/>
          <w:szCs w:val="32"/>
        </w:rPr>
        <w:t>归口管理部门拟订需要发布的信息内容（</w:t>
      </w:r>
      <w:r>
        <w:rPr>
          <w:rFonts w:hint="eastAsia" w:ascii="仿宋_GB2312" w:hAnsi="仿宋_GB2312" w:eastAsia="仿宋_GB2312" w:cs="仿宋_GB2312"/>
          <w:b/>
          <w:bCs w:val="0"/>
          <w:kern w:val="2"/>
          <w:sz w:val="32"/>
          <w:szCs w:val="32"/>
        </w:rPr>
        <w:t>提示：</w:t>
      </w:r>
      <w:r>
        <w:rPr>
          <w:rFonts w:hint="eastAsia" w:ascii="仿宋_GB2312" w:hAnsi="仿宋_GB2312" w:eastAsia="仿宋_GB2312" w:cs="仿宋_GB2312"/>
          <w:bCs/>
          <w:kern w:val="2"/>
          <w:sz w:val="32"/>
          <w:szCs w:val="32"/>
        </w:rPr>
        <w:t>主要包括采购意向信息、</w:t>
      </w:r>
      <w:r>
        <w:rPr>
          <w:rFonts w:hint="eastAsia" w:ascii="仿宋_GB2312" w:hAnsi="仿宋_GB2312" w:eastAsia="仿宋_GB2312" w:cs="仿宋_GB2312"/>
          <w:bCs/>
          <w:kern w:val="2"/>
          <w:sz w:val="32"/>
          <w:szCs w:val="32"/>
          <w:lang w:eastAsia="zh-CN"/>
        </w:rPr>
        <w:t>需求论证、</w:t>
      </w:r>
      <w:r>
        <w:rPr>
          <w:rFonts w:hint="eastAsia" w:ascii="仿宋_GB2312" w:hAnsi="仿宋_GB2312" w:eastAsia="仿宋_GB2312" w:cs="仿宋_GB2312"/>
          <w:bCs/>
          <w:kern w:val="2"/>
          <w:sz w:val="32"/>
          <w:szCs w:val="32"/>
        </w:rPr>
        <w:t>单一来源采购公示信息、合同公告、履约验收信息、</w:t>
      </w:r>
      <w:r>
        <w:rPr>
          <w:rFonts w:hint="eastAsia" w:ascii="仿宋_GB2312" w:hAnsi="仿宋_GB2312" w:eastAsia="仿宋_GB2312" w:cs="仿宋_GB2312"/>
          <w:bCs/>
          <w:kern w:val="2"/>
          <w:sz w:val="32"/>
          <w:szCs w:val="32"/>
          <w:lang w:eastAsia="zh-CN"/>
        </w:rPr>
        <w:t>网上商城</w:t>
      </w:r>
      <w:r>
        <w:rPr>
          <w:rFonts w:hint="eastAsia" w:ascii="仿宋_GB2312" w:hAnsi="仿宋_GB2312" w:eastAsia="仿宋_GB2312" w:cs="仿宋_GB2312"/>
          <w:bCs/>
          <w:kern w:val="2"/>
          <w:sz w:val="32"/>
          <w:szCs w:val="32"/>
        </w:rPr>
        <w:t>公告信息、面向中小企业采购执行情况等），信息内容涉及采购需求和采购实施计划内容的由业务需求部门确认，其他内容由归口管理部门确认，履行决策程序（</w:t>
      </w:r>
      <w:r>
        <w:rPr>
          <w:rFonts w:hint="eastAsia" w:ascii="仿宋_GB2312" w:hAnsi="仿宋_GB2312" w:eastAsia="仿宋_GB2312" w:cs="仿宋_GB2312"/>
          <w:b/>
          <w:bCs w:val="0"/>
          <w:kern w:val="2"/>
          <w:sz w:val="32"/>
          <w:szCs w:val="32"/>
        </w:rPr>
        <w:t>提示：</w:t>
      </w:r>
      <w:r>
        <w:rPr>
          <w:rFonts w:hint="eastAsia" w:ascii="仿宋_GB2312" w:hAnsi="仿宋_GB2312" w:eastAsia="仿宋_GB2312" w:cs="仿宋_GB2312"/>
          <w:bCs/>
          <w:kern w:val="2"/>
          <w:sz w:val="32"/>
          <w:szCs w:val="32"/>
        </w:rPr>
        <w:t>重点审核公开内容的要件是否齐全，时间是否及时，发布渠道是否正确，存在发布风险的，是否履行内部审查和风险评估程序以及是否建立应急处置预案），登录信息发布系统发布信息，归口管理部门要对发布后的信息进行核实、确认。</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4.内部审查和风险评估。</w:t>
      </w:r>
      <w:r>
        <w:rPr>
          <w:rFonts w:hint="eastAsia" w:ascii="仿宋_GB2312" w:hAnsi="仿宋_GB2312" w:eastAsia="仿宋_GB2312" w:cs="仿宋_GB2312"/>
          <w:bCs/>
          <w:kern w:val="2"/>
          <w:sz w:val="32"/>
          <w:szCs w:val="32"/>
        </w:rPr>
        <w:t>拟发布的政府采购信息存在涉密、敏感等情形时，属于采购人提供的信息，由归口管理部门牵头组织内部审查和风险评估，履行决策程序，出具评估报告。</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对应当纳入涉密政府采购管理的项目，严格执行涉密政府采购管理规定；对经审查评估发现存在信息发布风险，但确需发布的信息，应当按规定作隐藏或者规避处理，并建立应急处置预案，确保风险可控，经单位内部经办部门、分管领导和主要负责人三级审查评估并签署明确意见后，形成风险评估报告，在发布采购信息时提交备查；其他的政府采购信息，由归口管理部门督促采购代理机构按照</w:t>
      </w:r>
      <w:r>
        <w:rPr>
          <w:rFonts w:hint="eastAsia" w:ascii="仿宋_GB2312" w:hAnsi="仿宋_GB2312" w:eastAsia="仿宋_GB2312" w:cs="仿宋_GB2312"/>
          <w:bCs/>
          <w:kern w:val="2"/>
          <w:sz w:val="32"/>
          <w:szCs w:val="32"/>
          <w:lang w:eastAsia="zh-CN"/>
        </w:rPr>
        <w:t>财政局</w:t>
      </w:r>
      <w:r>
        <w:rPr>
          <w:rFonts w:hint="eastAsia" w:ascii="仿宋_GB2312" w:hAnsi="仿宋_GB2312" w:eastAsia="仿宋_GB2312" w:cs="仿宋_GB2312"/>
          <w:bCs/>
          <w:kern w:val="2"/>
          <w:sz w:val="32"/>
          <w:szCs w:val="32"/>
        </w:rPr>
        <w:t>关于信息发布管理的规定进行内部审核和风险评估。</w:t>
      </w:r>
    </w:p>
    <w:p>
      <w:pPr>
        <w:spacing w:line="580" w:lineRule="exact"/>
        <w:ind w:firstLine="640"/>
        <w:rPr>
          <w:rFonts w:hint="eastAsia" w:ascii="楷体_GB2312" w:hAnsi="楷体_GB2312" w:eastAsia="楷体_GB2312" w:cs="楷体_GB2312"/>
          <w:b/>
        </w:rPr>
      </w:pPr>
      <w:r>
        <w:rPr>
          <w:rFonts w:hint="eastAsia" w:ascii="楷体_GB2312" w:hAnsi="楷体_GB2312" w:eastAsia="楷体_GB2312" w:cs="楷体_GB2312"/>
          <w:b/>
        </w:rPr>
        <w:t>（十）邀请供应商</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1.相关制度规定。</w:t>
      </w:r>
      <w:r>
        <w:rPr>
          <w:rFonts w:hint="eastAsia" w:ascii="仿宋_GB2312" w:hAnsi="仿宋_GB2312" w:eastAsia="仿宋_GB2312" w:cs="仿宋_GB2312"/>
          <w:bCs/>
          <w:kern w:val="2"/>
          <w:sz w:val="32"/>
          <w:szCs w:val="32"/>
        </w:rPr>
        <w:t>采购法第三十四条、三十八条、四十条，《政府采购货物和服务招标投标管理办法》（财政部令第87号）第十四条，《政府采购非招标采购方式管理办法》（财政部令第74号）第十二条，《政府采购竞争性磋商采购方式管理暂行办法》（财库〔2014〕214号）第六条。</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2.职责分工。</w:t>
      </w:r>
      <w:r>
        <w:rPr>
          <w:rFonts w:hint="eastAsia" w:ascii="仿宋_GB2312" w:hAnsi="仿宋_GB2312" w:eastAsia="仿宋_GB2312" w:cs="仿宋_GB2312"/>
          <w:bCs/>
          <w:kern w:val="2"/>
          <w:sz w:val="32"/>
          <w:szCs w:val="32"/>
        </w:rPr>
        <w:t>业务需求部门结合项目实际，按照政府采购制度规定，在采购需求和采购实施计划编制环节确定邀请供应商的方式及供应商资格条件。</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
          <w:bCs w:val="0"/>
          <w:kern w:val="2"/>
          <w:sz w:val="32"/>
          <w:szCs w:val="32"/>
        </w:rPr>
      </w:pPr>
      <w:r>
        <w:rPr>
          <w:rFonts w:hint="eastAsia" w:ascii="仿宋_GB2312" w:hAnsi="仿宋_GB2312" w:eastAsia="仿宋_GB2312" w:cs="仿宋_GB2312"/>
          <w:b/>
          <w:bCs w:val="0"/>
          <w:kern w:val="2"/>
          <w:sz w:val="32"/>
          <w:szCs w:val="32"/>
        </w:rPr>
        <w:t>3.基本流程。</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（1）公告邀请供应商的项目。</w:t>
      </w:r>
      <w:r>
        <w:rPr>
          <w:rFonts w:hint="eastAsia" w:ascii="仿宋_GB2312" w:hAnsi="仿宋_GB2312" w:eastAsia="仿宋_GB2312" w:cs="仿宋_GB2312"/>
          <w:bCs/>
          <w:kern w:val="2"/>
          <w:sz w:val="32"/>
          <w:szCs w:val="32"/>
        </w:rPr>
        <w:t>采购人确认采购文件后，由采购代理机构负责在</w:t>
      </w:r>
      <w:r>
        <w:rPr>
          <w:rFonts w:hint="eastAsia" w:ascii="仿宋_GB2312" w:hAnsi="仿宋_GB2312" w:eastAsia="仿宋_GB2312" w:cs="仿宋_GB2312"/>
          <w:bCs/>
          <w:kern w:val="2"/>
          <w:sz w:val="32"/>
          <w:szCs w:val="32"/>
          <w:lang w:eastAsia="zh-CN"/>
        </w:rPr>
        <w:t>新乡市</w:t>
      </w:r>
      <w:r>
        <w:rPr>
          <w:rFonts w:hint="eastAsia" w:ascii="仿宋_GB2312" w:hAnsi="仿宋_GB2312" w:eastAsia="仿宋_GB2312" w:cs="仿宋_GB2312"/>
          <w:bCs/>
          <w:kern w:val="2"/>
          <w:sz w:val="32"/>
          <w:szCs w:val="32"/>
        </w:rPr>
        <w:t>政府采购网发布采购公告，公开邀请不特定供应商参加项目采购活动。</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（2）书面推荐供应商的项目。</w:t>
      </w:r>
      <w:r>
        <w:rPr>
          <w:rFonts w:hint="eastAsia" w:ascii="仿宋_GB2312" w:hAnsi="仿宋_GB2312" w:eastAsia="仿宋_GB2312" w:cs="仿宋_GB2312"/>
          <w:bCs/>
          <w:kern w:val="2"/>
          <w:sz w:val="32"/>
          <w:szCs w:val="32"/>
        </w:rPr>
        <w:t>采取竞争性谈判、竞争性磋商、询价采购方式的，由采购人和评审专家分别书面推荐3家以上符合项目资格条件的供应商，邀请参加项目采购活动。采取邀请招标的采购项目，由采购人书面推荐拟邀请的供应商的，备选的符合资格条件供应商总数不得少于拟随机抽取供应商总数的两倍。</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业务需求部门负责提供采购人书面推荐的供应商名单，并提供推荐理由，履行决策程序（</w:t>
      </w:r>
      <w:r>
        <w:rPr>
          <w:rFonts w:hint="eastAsia" w:ascii="仿宋_GB2312" w:hAnsi="仿宋_GB2312" w:eastAsia="仿宋_GB2312" w:cs="仿宋_GB2312"/>
          <w:b/>
          <w:bCs w:val="0"/>
          <w:kern w:val="2"/>
          <w:sz w:val="32"/>
          <w:szCs w:val="32"/>
        </w:rPr>
        <w:t>提示：</w:t>
      </w:r>
      <w:r>
        <w:rPr>
          <w:rFonts w:hint="eastAsia" w:ascii="仿宋_GB2312" w:hAnsi="仿宋_GB2312" w:eastAsia="仿宋_GB2312" w:cs="仿宋_GB2312"/>
          <w:bCs/>
          <w:kern w:val="2"/>
          <w:sz w:val="32"/>
          <w:szCs w:val="32"/>
        </w:rPr>
        <w:t>重点审核推荐的供应商是否满足资格条件、推荐理由是否充分、是否与项目需求密切相关，此环节要重点加强廉政风险防控），交归口管理部门报采购代理机构邀请供应商。</w:t>
      </w:r>
    </w:p>
    <w:p>
      <w:pPr>
        <w:spacing w:line="580" w:lineRule="exact"/>
        <w:ind w:firstLine="640"/>
        <w:rPr>
          <w:rFonts w:hint="eastAsia" w:ascii="楷体_GB2312" w:hAnsi="楷体_GB2312" w:eastAsia="楷体_GB2312" w:cs="楷体_GB2312"/>
          <w:b/>
        </w:rPr>
      </w:pPr>
      <w:r>
        <w:rPr>
          <w:rFonts w:hint="eastAsia" w:ascii="楷体_GB2312" w:hAnsi="楷体_GB2312" w:eastAsia="楷体_GB2312" w:cs="楷体_GB2312"/>
          <w:b/>
        </w:rPr>
        <w:t>（十一）发出（售）采购文件</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采购代理机构根据采购文件确定时间、途径，组织发出（售）采购文件。采购文件以电子文档形式提供的，应当免费提供；以纸质形式提供的，以弥补制作、邮寄成本为原则，不得以营利为目的，投标（响应）文件递交截止前，对已获取采购文件供应商信息进行保密管理。归口管理部门要监督采购代理机构是否按规定时间、途径及邀请范围发出（售）采购文件，是否对已获取采购文件供应商信息进行保密管理。</w:t>
      </w:r>
    </w:p>
    <w:p>
      <w:pPr>
        <w:spacing w:line="580" w:lineRule="exact"/>
        <w:ind w:firstLine="640"/>
        <w:rPr>
          <w:rFonts w:hint="eastAsia" w:ascii="楷体_GB2312" w:hAnsi="楷体_GB2312" w:eastAsia="楷体_GB2312" w:cs="楷体_GB2312"/>
          <w:b/>
        </w:rPr>
      </w:pPr>
      <w:r>
        <w:rPr>
          <w:rFonts w:hint="eastAsia" w:ascii="楷体_GB2312" w:hAnsi="楷体_GB2312" w:eastAsia="楷体_GB2312" w:cs="楷体_GB2312"/>
          <w:b/>
        </w:rPr>
        <w:t>（十二）供应商提交投标（响应）文件</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投标（响应）文件递交截止时间前，采购代理机构负责接收供应商密封（加密）递交的投标（响应）文件，并妥善保管，不得解封（密）、查看供应商投标（响应）文件，不得泄露已提交投标（响应）文件供应商信息。</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归口管理部门负责监督采购代理机构是否按规定接收、妥善保管供应商递交的投标（响应）文件，发现违法违规情形的，及时要求采购代理机构予以纠正。</w:t>
      </w:r>
    </w:p>
    <w:p>
      <w:pPr>
        <w:spacing w:line="580" w:lineRule="exact"/>
        <w:ind w:firstLine="640"/>
        <w:rPr>
          <w:rFonts w:hint="eastAsia" w:ascii="楷体_GB2312" w:hAnsi="楷体_GB2312" w:eastAsia="楷体_GB2312" w:cs="楷体_GB2312"/>
          <w:b/>
        </w:rPr>
      </w:pPr>
      <w:r>
        <w:rPr>
          <w:rFonts w:hint="eastAsia" w:ascii="楷体_GB2312" w:hAnsi="楷体_GB2312" w:eastAsia="楷体_GB2312" w:cs="楷体_GB2312"/>
          <w:b/>
        </w:rPr>
        <w:t>（十三）项目评审</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1.相关制度依据。</w:t>
      </w:r>
      <w:r>
        <w:rPr>
          <w:rFonts w:hint="eastAsia" w:ascii="仿宋_GB2312" w:hAnsi="仿宋_GB2312" w:eastAsia="仿宋_GB2312" w:cs="仿宋_GB2312"/>
          <w:bCs/>
          <w:kern w:val="2"/>
          <w:sz w:val="32"/>
          <w:szCs w:val="32"/>
        </w:rPr>
        <w:t>采购法实施条例第三十四条、三十九条、四十条、四十一条、四十二条、四十四条，《政府采购货物和服务招标投标管理办法》（财政部令第87号）第四十五条、四十七条、四十八条、六十四条、六十五条、六十六条、六十七条，《政府采购非招标采购方式管理办法》（财政部令第74号）第三十二条、四十一条、四十八条，《政府采购竞争性磋商采购方式管理暂行办法》（财库〔2014〕214号）第十四条、十六条、十七条、二十条，《财政部关于进一步规范政府采购评审工作有关问题的通知》（财库〔2012〕69号）等。</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2.职责分工。</w:t>
      </w:r>
      <w:r>
        <w:rPr>
          <w:rFonts w:hint="eastAsia" w:ascii="仿宋_GB2312" w:hAnsi="仿宋_GB2312" w:eastAsia="仿宋_GB2312" w:cs="仿宋_GB2312"/>
          <w:bCs/>
          <w:kern w:val="2"/>
          <w:sz w:val="32"/>
          <w:szCs w:val="32"/>
        </w:rPr>
        <w:t>归口管理部门负责组织委派资格审查工作人员、采购人代表、现场监督人员和自行选定的评审专家，采购需求部门负责确定资格审查工作人员、采购人代表和自行选择的评审专家，内审部门负责确定现场监督人员。（</w:t>
      </w:r>
      <w:r>
        <w:rPr>
          <w:rFonts w:hint="eastAsia" w:ascii="仿宋_GB2312" w:hAnsi="仿宋_GB2312" w:eastAsia="仿宋_GB2312" w:cs="仿宋_GB2312"/>
          <w:b/>
          <w:bCs w:val="0"/>
          <w:kern w:val="2"/>
          <w:sz w:val="32"/>
          <w:szCs w:val="32"/>
        </w:rPr>
        <w:t>提示：</w:t>
      </w:r>
      <w:r>
        <w:rPr>
          <w:rFonts w:hint="eastAsia" w:ascii="仿宋_GB2312" w:hAnsi="仿宋_GB2312" w:eastAsia="仿宋_GB2312" w:cs="仿宋_GB2312"/>
          <w:bCs/>
          <w:kern w:val="2"/>
          <w:sz w:val="32"/>
          <w:szCs w:val="32"/>
        </w:rPr>
        <w:t>确定相关人员名单后，要采取保密措施，防止人员信息提前泄露）</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
          <w:bCs w:val="0"/>
          <w:kern w:val="2"/>
          <w:sz w:val="32"/>
          <w:szCs w:val="32"/>
        </w:rPr>
      </w:pPr>
      <w:r>
        <w:rPr>
          <w:rFonts w:hint="eastAsia" w:ascii="仿宋_GB2312" w:hAnsi="仿宋_GB2312" w:eastAsia="仿宋_GB2312" w:cs="仿宋_GB2312"/>
          <w:b/>
          <w:bCs w:val="0"/>
          <w:kern w:val="2"/>
          <w:sz w:val="32"/>
          <w:szCs w:val="32"/>
        </w:rPr>
        <w:t>3.基本流程。</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（1）委派资格预审工作人员。</w:t>
      </w:r>
      <w:r>
        <w:rPr>
          <w:rFonts w:hint="eastAsia" w:ascii="仿宋_GB2312" w:hAnsi="仿宋_GB2312" w:eastAsia="仿宋_GB2312" w:cs="仿宋_GB2312"/>
          <w:bCs/>
          <w:kern w:val="2"/>
          <w:sz w:val="32"/>
          <w:szCs w:val="32"/>
        </w:rPr>
        <w:t>对由采购人负责资格预审的项目，业务需求部门负责确定项目资格预审工作人员，报归口管理部门组织出具委托手续。（</w:t>
      </w:r>
      <w:r>
        <w:rPr>
          <w:rFonts w:hint="eastAsia" w:ascii="仿宋_GB2312" w:hAnsi="仿宋_GB2312" w:eastAsia="仿宋_GB2312" w:cs="仿宋_GB2312"/>
          <w:b/>
          <w:bCs w:val="0"/>
          <w:kern w:val="2"/>
          <w:sz w:val="32"/>
          <w:szCs w:val="32"/>
        </w:rPr>
        <w:t>提示：</w:t>
      </w:r>
      <w:r>
        <w:rPr>
          <w:rFonts w:hint="eastAsia" w:ascii="仿宋_GB2312" w:hAnsi="仿宋_GB2312" w:eastAsia="仿宋_GB2312" w:cs="仿宋_GB2312"/>
          <w:bCs/>
          <w:kern w:val="2"/>
          <w:sz w:val="32"/>
          <w:szCs w:val="32"/>
        </w:rPr>
        <w:t>参加资格预审的人员要熟悉资格预审规则、项目相关的资格要求及资格证明；委派的资格预审工作人员代表采购人履行资格预审职责，由采购人承担不利后果）</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（2）委派采购人代表。</w:t>
      </w:r>
      <w:r>
        <w:rPr>
          <w:rFonts w:hint="eastAsia" w:ascii="仿宋_GB2312" w:hAnsi="仿宋_GB2312" w:eastAsia="仿宋_GB2312" w:cs="仿宋_GB2312"/>
          <w:bCs/>
          <w:kern w:val="2"/>
          <w:sz w:val="32"/>
          <w:szCs w:val="32"/>
        </w:rPr>
        <w:t>采购人代表原则上选派熟悉项目情况和政府采购评审规则及系统操作的人员参加。（</w:t>
      </w:r>
      <w:r>
        <w:rPr>
          <w:rFonts w:hint="eastAsia" w:ascii="仿宋_GB2312" w:hAnsi="仿宋_GB2312" w:eastAsia="仿宋_GB2312" w:cs="仿宋_GB2312"/>
          <w:b/>
          <w:bCs w:val="0"/>
          <w:kern w:val="2"/>
          <w:sz w:val="32"/>
          <w:szCs w:val="32"/>
        </w:rPr>
        <w:t>提示：</w:t>
      </w:r>
      <w:r>
        <w:rPr>
          <w:rFonts w:hint="eastAsia" w:ascii="仿宋_GB2312" w:hAnsi="仿宋_GB2312" w:eastAsia="仿宋_GB2312" w:cs="仿宋_GB2312"/>
          <w:bCs/>
          <w:kern w:val="2"/>
          <w:sz w:val="32"/>
          <w:szCs w:val="32"/>
        </w:rPr>
        <w:t>不建议委托非本单位人员作为采购人代表）项目评审开始前，业务需求部门负责确定采购人代表人选，报归口管理部门组织出具委托书。电子化评审项目，归口管理部门要在评审前为采购人代表办理CA证书及签章，并登录交易系统绑定用户身份及权限。（</w:t>
      </w:r>
      <w:r>
        <w:rPr>
          <w:rFonts w:hint="eastAsia" w:ascii="仿宋_GB2312" w:hAnsi="仿宋_GB2312" w:eastAsia="仿宋_GB2312" w:cs="仿宋_GB2312"/>
          <w:b/>
          <w:bCs w:val="0"/>
          <w:kern w:val="2"/>
          <w:sz w:val="32"/>
          <w:szCs w:val="32"/>
        </w:rPr>
        <w:t>提示：</w:t>
      </w:r>
      <w:r>
        <w:rPr>
          <w:rFonts w:hint="eastAsia" w:ascii="仿宋_GB2312" w:hAnsi="仿宋_GB2312" w:eastAsia="仿宋_GB2312" w:cs="仿宋_GB2312"/>
          <w:bCs/>
          <w:kern w:val="2"/>
          <w:sz w:val="32"/>
          <w:szCs w:val="32"/>
        </w:rPr>
        <w:t>采购人代表要严格遵守评审现场管理要求，依法独立评审，不得发表倾向性言论，干预评审；出现违法违规行为，将参照对评审专家的标准进行处理处罚）</w:t>
      </w:r>
    </w:p>
    <w:p>
      <w:pPr>
        <w:pStyle w:val="6"/>
        <w:widowControl w:val="0"/>
        <w:spacing w:before="0" w:beforeAutospacing="0" w:after="0" w:afterAutospacing="0" w:line="580" w:lineRule="exact"/>
        <w:ind w:firstLine="642"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（3）</w:t>
      </w:r>
      <w:r>
        <w:rPr>
          <w:rFonts w:hint="eastAsia" w:ascii="仿宋_GB2312" w:hAnsi="仿宋_GB2312" w:eastAsia="仿宋_GB2312" w:cs="仿宋_GB2312"/>
          <w:bCs/>
          <w:kern w:val="2"/>
          <w:sz w:val="32"/>
          <w:szCs w:val="32"/>
        </w:rPr>
        <w:t>委派监督人员。内审部门确定项目现场监督人员，报归口管理部门出具委托书。电子化采购项目可以实行在线监督。（</w:t>
      </w:r>
      <w:r>
        <w:rPr>
          <w:rFonts w:hint="eastAsia" w:ascii="仿宋_GB2312" w:hAnsi="仿宋_GB2312" w:eastAsia="仿宋_GB2312" w:cs="仿宋_GB2312"/>
          <w:b/>
          <w:bCs w:val="0"/>
          <w:kern w:val="2"/>
          <w:sz w:val="32"/>
          <w:szCs w:val="32"/>
        </w:rPr>
        <w:t>提示：</w:t>
      </w:r>
      <w:r>
        <w:rPr>
          <w:rFonts w:hint="eastAsia" w:ascii="仿宋_GB2312" w:hAnsi="仿宋_GB2312" w:eastAsia="仿宋_GB2312" w:cs="仿宋_GB2312"/>
          <w:bCs/>
          <w:kern w:val="2"/>
          <w:sz w:val="32"/>
          <w:szCs w:val="32"/>
        </w:rPr>
        <w:t>现场监督人员主要按照财政部门关于现场监督人员职责要求，监督采购代理机构、评审委员会成员是否按照规定组织采购活动、开展评审工作，及时纠正反映发现的违法违规行为，但不得干预依法开展的评审活动）</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（4）自行选定评审专家。</w:t>
      </w:r>
      <w:r>
        <w:rPr>
          <w:rFonts w:hint="eastAsia" w:ascii="仿宋_GB2312" w:hAnsi="仿宋_GB2312" w:eastAsia="仿宋_GB2312" w:cs="仿宋_GB2312"/>
          <w:bCs/>
          <w:kern w:val="2"/>
          <w:sz w:val="32"/>
          <w:szCs w:val="32"/>
        </w:rPr>
        <w:t>对技术复杂、专业性强的采购项目，通过随机方式难以确定合适评审专家的，经主管预算单位同意，采购人可以自行选定相应专业领域的评审专家。</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业务需求部门确定评审专家的名单及理由，履行决策程序，由归口管理部门报主管预算单位同意后，确定评审专家名单。</w:t>
      </w:r>
    </w:p>
    <w:p>
      <w:pPr>
        <w:spacing w:line="580" w:lineRule="exact"/>
        <w:ind w:firstLine="640"/>
        <w:rPr>
          <w:rFonts w:hint="eastAsia" w:ascii="楷体_GB2312" w:hAnsi="楷体_GB2312" w:eastAsia="楷体_GB2312" w:cs="楷体_GB2312"/>
          <w:b/>
        </w:rPr>
      </w:pPr>
      <w:r>
        <w:rPr>
          <w:rFonts w:hint="eastAsia" w:ascii="楷体_GB2312" w:hAnsi="楷体_GB2312" w:eastAsia="楷体_GB2312" w:cs="楷体_GB2312"/>
          <w:b/>
        </w:rPr>
        <w:t>（十四）确认采购结果</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1.相关制度依据。</w:t>
      </w:r>
      <w:r>
        <w:rPr>
          <w:rFonts w:hint="eastAsia" w:ascii="仿宋_GB2312" w:hAnsi="仿宋_GB2312" w:eastAsia="仿宋_GB2312" w:cs="仿宋_GB2312"/>
          <w:bCs/>
          <w:kern w:val="2"/>
          <w:sz w:val="32"/>
          <w:szCs w:val="32"/>
        </w:rPr>
        <w:t>采购法第三十八条、四十条，采购法实施条例第四十三条、四十九条，《政府采购货物和服务招标投标管理办法》（财政部令第87号）第六十八条，《政府采购非招标采购方式管理办法》（财政部令第74号）第二十二条、三十六条、四十九条，《政府采购竞争性磋商采购方式管理暂行办法》（财库〔2014〕214号）第二十八条。</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采购代理机构应当自评审结束之日起</w:t>
      </w:r>
      <w:r>
        <w:rPr>
          <w:rFonts w:hint="eastAsia" w:ascii="仿宋_GB2312" w:hAnsi="仿宋_GB2312" w:eastAsia="仿宋_GB2312" w:cs="仿宋_GB2312"/>
          <w:bCs/>
          <w:kern w:val="2"/>
          <w:sz w:val="32"/>
          <w:szCs w:val="32"/>
          <w:lang w:val="en-US" w:eastAsia="zh-CN"/>
        </w:rPr>
        <w:t>1</w:t>
      </w:r>
      <w:r>
        <w:rPr>
          <w:rFonts w:hint="eastAsia" w:ascii="仿宋_GB2312" w:hAnsi="仿宋_GB2312" w:eastAsia="仿宋_GB2312" w:cs="仿宋_GB2312"/>
          <w:bCs/>
          <w:kern w:val="2"/>
          <w:sz w:val="32"/>
          <w:szCs w:val="32"/>
        </w:rPr>
        <w:t>个工作日内将项目评审报告送交采购人。采购人应当自收到评审报告之日起</w:t>
      </w:r>
      <w:r>
        <w:rPr>
          <w:rFonts w:hint="eastAsia" w:ascii="仿宋_GB2312" w:hAnsi="仿宋_GB2312" w:eastAsia="仿宋_GB2312" w:cs="仿宋_GB2312"/>
          <w:bCs/>
          <w:kern w:val="2"/>
          <w:sz w:val="32"/>
          <w:szCs w:val="32"/>
          <w:lang w:val="en-US" w:eastAsia="zh-CN"/>
        </w:rPr>
        <w:t>1</w:t>
      </w:r>
      <w:r>
        <w:rPr>
          <w:rFonts w:hint="eastAsia" w:ascii="仿宋_GB2312" w:hAnsi="仿宋_GB2312" w:eastAsia="仿宋_GB2312" w:cs="仿宋_GB2312"/>
          <w:bCs/>
          <w:kern w:val="2"/>
          <w:sz w:val="32"/>
          <w:szCs w:val="32"/>
        </w:rPr>
        <w:t>个工作日内在评审报告确定的候选人名单中按顺序确定中标（成交）供应商。</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2.职责分工。</w:t>
      </w:r>
      <w:r>
        <w:rPr>
          <w:rFonts w:hint="eastAsia" w:ascii="仿宋_GB2312" w:hAnsi="仿宋_GB2312" w:eastAsia="仿宋_GB2312" w:cs="仿宋_GB2312"/>
          <w:bCs/>
          <w:kern w:val="2"/>
          <w:sz w:val="32"/>
          <w:szCs w:val="32"/>
        </w:rPr>
        <w:t xml:space="preserve">归口管理部门会同业务需求部门确定中标（成交）供应商，也可以直接授权评审委员会确定。 </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3.基本流程。</w:t>
      </w:r>
      <w:r>
        <w:rPr>
          <w:rFonts w:hint="eastAsia" w:ascii="仿宋_GB2312" w:hAnsi="仿宋_GB2312" w:eastAsia="仿宋_GB2312" w:cs="仿宋_GB2312"/>
          <w:bCs/>
          <w:kern w:val="2"/>
          <w:sz w:val="32"/>
          <w:szCs w:val="32"/>
        </w:rPr>
        <w:t>归口管理部门收到评审报告之日起</w:t>
      </w:r>
      <w:r>
        <w:rPr>
          <w:rFonts w:hint="eastAsia" w:ascii="仿宋_GB2312" w:hAnsi="仿宋_GB2312" w:eastAsia="仿宋_GB2312" w:cs="仿宋_GB2312"/>
          <w:bCs/>
          <w:kern w:val="2"/>
          <w:sz w:val="32"/>
          <w:szCs w:val="32"/>
          <w:lang w:val="en-US" w:eastAsia="zh-CN"/>
        </w:rPr>
        <w:t>1</w:t>
      </w:r>
      <w:r>
        <w:rPr>
          <w:rFonts w:hint="eastAsia" w:ascii="仿宋_GB2312" w:hAnsi="仿宋_GB2312" w:eastAsia="仿宋_GB2312" w:cs="仿宋_GB2312"/>
          <w:bCs/>
          <w:kern w:val="2"/>
          <w:sz w:val="32"/>
          <w:szCs w:val="32"/>
        </w:rPr>
        <w:t>个工作日内，会同业务需求部门在评审报告推荐的中标（成交）供应商候选人中按顺序确定中标（成交）供应商，经内部审批后，将中标（成交）结果确认函反馈采购代理机构对采购结果予以确认。</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授权评审委员会确定中标（成交）供应商的</w:t>
      </w:r>
      <w:r>
        <w:rPr>
          <w:rFonts w:hint="eastAsia" w:ascii="仿宋_GB2312" w:hAnsi="仿宋_GB2312" w:eastAsia="仿宋_GB2312" w:cs="仿宋_GB2312"/>
          <w:bCs/>
          <w:kern w:val="2"/>
          <w:sz w:val="32"/>
          <w:szCs w:val="32"/>
        </w:rPr>
        <w:t>，评审活动结束后，由评审委员会根据中标（成交）候选供应商顺序现场直接确定中标（成交）供应商，代理机构通知中标（成交）供应商同时发布中标（成交）公告。</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4.特殊情况处理。</w:t>
      </w:r>
      <w:r>
        <w:rPr>
          <w:rFonts w:hint="eastAsia" w:ascii="仿宋_GB2312" w:hAnsi="仿宋_GB2312" w:eastAsia="仿宋_GB2312" w:cs="仿宋_GB2312"/>
          <w:bCs/>
          <w:kern w:val="2"/>
          <w:sz w:val="32"/>
          <w:szCs w:val="32"/>
        </w:rPr>
        <w:t>出现在</w:t>
      </w:r>
      <w:r>
        <w:rPr>
          <w:rFonts w:hint="eastAsia" w:ascii="仿宋_GB2312" w:hAnsi="仿宋_GB2312" w:eastAsia="仿宋_GB2312" w:cs="仿宋_GB2312"/>
          <w:bCs/>
          <w:kern w:val="2"/>
          <w:sz w:val="32"/>
          <w:szCs w:val="32"/>
          <w:lang w:val="en-US" w:eastAsia="zh-CN"/>
        </w:rPr>
        <w:t>1</w:t>
      </w:r>
      <w:r>
        <w:rPr>
          <w:rFonts w:hint="eastAsia" w:ascii="仿宋_GB2312" w:hAnsi="仿宋_GB2312" w:eastAsia="仿宋_GB2312" w:cs="仿宋_GB2312"/>
          <w:bCs/>
          <w:kern w:val="2"/>
          <w:sz w:val="32"/>
          <w:szCs w:val="32"/>
        </w:rPr>
        <w:t>个工作日内无法确定中标成交供应商的，归口管理部分负责履行决策程序，并在</w:t>
      </w:r>
      <w:r>
        <w:rPr>
          <w:rFonts w:hint="eastAsia" w:ascii="仿宋_GB2312" w:hAnsi="仿宋_GB2312" w:eastAsia="仿宋_GB2312" w:cs="仿宋_GB2312"/>
          <w:bCs/>
          <w:kern w:val="2"/>
          <w:sz w:val="32"/>
          <w:szCs w:val="32"/>
          <w:lang w:val="en-US" w:eastAsia="zh-CN"/>
        </w:rPr>
        <w:t>1</w:t>
      </w:r>
      <w:r>
        <w:rPr>
          <w:rFonts w:hint="eastAsia" w:ascii="仿宋_GB2312" w:hAnsi="仿宋_GB2312" w:eastAsia="仿宋_GB2312" w:cs="仿宋_GB2312"/>
          <w:bCs/>
          <w:kern w:val="2"/>
          <w:sz w:val="32"/>
          <w:szCs w:val="32"/>
        </w:rPr>
        <w:t>个工作日内向采购代理机构书面反馈原因及理由。发现采购活动存在违法违规行为的，影响采购结果确认的，由归口管理部门收集相关情况书面向采购代理机构说明情况，并同时向同级财政部门书面反映情况。</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w:t>
      </w:r>
      <w:r>
        <w:rPr>
          <w:rFonts w:hint="eastAsia" w:ascii="仿宋_GB2312" w:hAnsi="仿宋_GB2312" w:eastAsia="仿宋_GB2312" w:cs="仿宋_GB2312"/>
          <w:b/>
          <w:bCs w:val="0"/>
          <w:kern w:val="2"/>
          <w:sz w:val="32"/>
          <w:szCs w:val="32"/>
        </w:rPr>
        <w:t>提示：</w:t>
      </w:r>
      <w:r>
        <w:rPr>
          <w:rFonts w:hint="eastAsia" w:ascii="仿宋_GB2312" w:hAnsi="仿宋_GB2312" w:eastAsia="仿宋_GB2312" w:cs="仿宋_GB2312"/>
          <w:bCs/>
          <w:kern w:val="2"/>
          <w:sz w:val="32"/>
          <w:szCs w:val="32"/>
          <w:lang w:eastAsia="zh-CN"/>
        </w:rPr>
        <w:t>按照目前优化营商环境以及电子化交易相关要求，一般直接</w:t>
      </w:r>
      <w:r>
        <w:rPr>
          <w:rFonts w:hint="eastAsia" w:ascii="仿宋_GB2312" w:hAnsi="仿宋_GB2312" w:eastAsia="仿宋_GB2312" w:cs="仿宋_GB2312"/>
          <w:bCs/>
          <w:kern w:val="2"/>
          <w:sz w:val="32"/>
          <w:szCs w:val="32"/>
        </w:rPr>
        <w:t>授权评审委员会确定</w:t>
      </w:r>
      <w:r>
        <w:rPr>
          <w:rFonts w:hint="eastAsia" w:ascii="仿宋_GB2312" w:hAnsi="仿宋_GB2312" w:eastAsia="仿宋_GB2312" w:cs="仿宋_GB2312"/>
          <w:bCs/>
          <w:kern w:val="2"/>
          <w:sz w:val="32"/>
          <w:szCs w:val="32"/>
          <w:lang w:eastAsia="zh-CN"/>
        </w:rPr>
        <w:t>中标（成交）供应商。</w:t>
      </w:r>
      <w:r>
        <w:rPr>
          <w:rFonts w:hint="eastAsia" w:ascii="仿宋_GB2312" w:hAnsi="仿宋_GB2312" w:eastAsia="仿宋_GB2312" w:cs="仿宋_GB2312"/>
          <w:bCs/>
          <w:kern w:val="2"/>
          <w:sz w:val="32"/>
          <w:szCs w:val="32"/>
        </w:rPr>
        <w:t>确认采购结果环节主要是程序性工作，出现影响结果确认的异常情况，要高度重视，务必依法处理，加强风险管控；不得人为制造异常情况，比如在此环节审查供应商的资格、响应文件等内容）</w:t>
      </w:r>
    </w:p>
    <w:p>
      <w:pPr>
        <w:spacing w:line="580" w:lineRule="exact"/>
        <w:ind w:firstLine="640"/>
        <w:rPr>
          <w:rFonts w:hint="eastAsia" w:ascii="楷体_GB2312" w:hAnsi="楷体_GB2312" w:eastAsia="楷体_GB2312" w:cs="楷体_GB2312"/>
          <w:b/>
        </w:rPr>
      </w:pPr>
      <w:r>
        <w:rPr>
          <w:rFonts w:hint="eastAsia" w:ascii="楷体_GB2312" w:hAnsi="楷体_GB2312" w:eastAsia="楷体_GB2312" w:cs="楷体_GB2312"/>
          <w:b/>
        </w:rPr>
        <w:t>（十五）发布采购结果公告</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采购代理机构在收到中标（成交）结果确认书之日起</w:t>
      </w:r>
      <w:r>
        <w:rPr>
          <w:rFonts w:hint="eastAsia" w:ascii="仿宋_GB2312" w:hAnsi="仿宋_GB2312" w:eastAsia="仿宋_GB2312" w:cs="仿宋_GB2312"/>
          <w:bCs/>
          <w:kern w:val="2"/>
          <w:sz w:val="32"/>
          <w:szCs w:val="32"/>
          <w:lang w:val="en-US" w:eastAsia="zh-CN"/>
        </w:rPr>
        <w:t>1</w:t>
      </w:r>
      <w:r>
        <w:rPr>
          <w:rFonts w:hint="eastAsia" w:ascii="仿宋_GB2312" w:hAnsi="仿宋_GB2312" w:eastAsia="仿宋_GB2312" w:cs="仿宋_GB2312"/>
          <w:bCs/>
          <w:kern w:val="2"/>
          <w:sz w:val="32"/>
          <w:szCs w:val="32"/>
        </w:rPr>
        <w:t>个工作日内，向中标（成交）供应商发出中标（成交）通知书，同时在</w:t>
      </w:r>
      <w:r>
        <w:rPr>
          <w:rFonts w:hint="eastAsia" w:ascii="仿宋_GB2312" w:hAnsi="仿宋_GB2312" w:eastAsia="仿宋_GB2312" w:cs="仿宋_GB2312"/>
          <w:bCs/>
          <w:kern w:val="2"/>
          <w:sz w:val="32"/>
          <w:szCs w:val="32"/>
          <w:lang w:eastAsia="zh-CN"/>
        </w:rPr>
        <w:t>新乡市</w:t>
      </w:r>
      <w:r>
        <w:rPr>
          <w:rFonts w:hint="eastAsia" w:ascii="仿宋_GB2312" w:hAnsi="仿宋_GB2312" w:eastAsia="仿宋_GB2312" w:cs="仿宋_GB2312"/>
          <w:bCs/>
          <w:kern w:val="2"/>
          <w:sz w:val="32"/>
          <w:szCs w:val="32"/>
        </w:rPr>
        <w:t>政府采购网发布采购结果公告。归口管理部门负责进行跟踪督促。（提示：此处各单位可根据情况，规定在本单位门户网站、内部信息公开栏等地公开采购项目的信息，广泛接受监督）</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lang w:eastAsia="zh-CN"/>
        </w:rPr>
        <w:t>网上商城</w:t>
      </w:r>
      <w:r>
        <w:rPr>
          <w:rFonts w:hint="eastAsia" w:ascii="仿宋_GB2312" w:hAnsi="仿宋_GB2312" w:eastAsia="仿宋_GB2312" w:cs="仿宋_GB2312"/>
          <w:bCs/>
          <w:kern w:val="2"/>
          <w:sz w:val="32"/>
          <w:szCs w:val="32"/>
        </w:rPr>
        <w:t>项目采购结果，由归口管理部门按照</w:t>
      </w:r>
      <w:r>
        <w:rPr>
          <w:rFonts w:hint="eastAsia" w:ascii="仿宋_GB2312" w:hAnsi="仿宋_GB2312" w:eastAsia="仿宋_GB2312" w:cs="仿宋_GB2312"/>
          <w:bCs/>
          <w:kern w:val="2"/>
          <w:sz w:val="32"/>
          <w:szCs w:val="32"/>
          <w:lang w:eastAsia="zh-CN"/>
        </w:rPr>
        <w:t>网上商城</w:t>
      </w:r>
      <w:r>
        <w:rPr>
          <w:rFonts w:hint="eastAsia" w:ascii="仿宋_GB2312" w:hAnsi="仿宋_GB2312" w:eastAsia="仿宋_GB2312" w:cs="仿宋_GB2312"/>
          <w:bCs/>
          <w:kern w:val="2"/>
          <w:sz w:val="32"/>
          <w:szCs w:val="32"/>
        </w:rPr>
        <w:t>采购管理规定公开采购结果信息，并在本单位信息公开栏公开采购结果。</w:t>
      </w:r>
    </w:p>
    <w:p>
      <w:pPr>
        <w:spacing w:line="580" w:lineRule="exact"/>
        <w:ind w:firstLine="640"/>
        <w:rPr>
          <w:rFonts w:hint="eastAsia" w:ascii="楷体_GB2312" w:hAnsi="楷体_GB2312" w:eastAsia="楷体_GB2312" w:cs="楷体_GB2312"/>
          <w:b/>
        </w:rPr>
      </w:pPr>
      <w:r>
        <w:rPr>
          <w:rFonts w:hint="eastAsia" w:ascii="楷体_GB2312" w:hAnsi="楷体_GB2312" w:eastAsia="楷体_GB2312" w:cs="楷体_GB2312"/>
          <w:b/>
        </w:rPr>
        <w:t>（十六）采购合同管理</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1.相关制度依据。</w:t>
      </w:r>
      <w:r>
        <w:rPr>
          <w:rFonts w:hint="eastAsia" w:ascii="仿宋_GB2312" w:hAnsi="仿宋_GB2312" w:eastAsia="仿宋_GB2312" w:cs="仿宋_GB2312"/>
          <w:bCs/>
          <w:kern w:val="2"/>
          <w:sz w:val="32"/>
          <w:szCs w:val="32"/>
        </w:rPr>
        <w:t>采购法第五章，采购法实施条例第五章，《政府采购货物和服务招标投标管理办法》（财政部令第87号）第七十一条、七十二条、七十三条，《政府采购非招标采购方式管理办法》（财政部令第74号）第十九条，《政府采购竞争性磋商采购方式管理暂行办法》（财库〔2014〕214号）第三十条。</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2.职责分工。</w:t>
      </w:r>
      <w:r>
        <w:rPr>
          <w:rFonts w:hint="eastAsia" w:ascii="仿宋_GB2312" w:hAnsi="仿宋_GB2312" w:eastAsia="仿宋_GB2312" w:cs="仿宋_GB2312"/>
          <w:bCs/>
          <w:kern w:val="2"/>
          <w:sz w:val="32"/>
          <w:szCs w:val="32"/>
        </w:rPr>
        <w:t>业务需求部门负责采购合同的签订工作，法规部门负责合法性审查，归口管理部门负责采购合同公告、备案。</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
          <w:bCs w:val="0"/>
          <w:kern w:val="2"/>
          <w:sz w:val="32"/>
          <w:szCs w:val="32"/>
        </w:rPr>
      </w:pPr>
      <w:r>
        <w:rPr>
          <w:rFonts w:hint="eastAsia" w:ascii="仿宋_GB2312" w:hAnsi="仿宋_GB2312" w:eastAsia="仿宋_GB2312" w:cs="仿宋_GB2312"/>
          <w:b/>
          <w:bCs w:val="0"/>
          <w:kern w:val="2"/>
          <w:sz w:val="32"/>
          <w:szCs w:val="32"/>
        </w:rPr>
        <w:t>3.基本流程。</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（1）合同签订。</w:t>
      </w:r>
      <w:r>
        <w:rPr>
          <w:rFonts w:hint="eastAsia" w:ascii="仿宋_GB2312" w:hAnsi="仿宋_GB2312" w:eastAsia="仿宋_GB2312" w:cs="仿宋_GB2312"/>
          <w:bCs/>
          <w:kern w:val="2"/>
          <w:sz w:val="32"/>
          <w:szCs w:val="32"/>
        </w:rPr>
        <w:t>采购人、中标（成交）供应商应当在中标（成交）通知书发出之日起</w:t>
      </w:r>
      <w:r>
        <w:rPr>
          <w:rFonts w:hint="eastAsia" w:ascii="仿宋_GB2312" w:hAnsi="仿宋_GB2312" w:eastAsia="仿宋_GB2312" w:cs="仿宋_GB2312"/>
          <w:bCs/>
          <w:kern w:val="2"/>
          <w:sz w:val="32"/>
          <w:szCs w:val="32"/>
          <w:lang w:val="en-US" w:eastAsia="zh-CN"/>
        </w:rPr>
        <w:t>3个工作日</w:t>
      </w:r>
      <w:r>
        <w:rPr>
          <w:rFonts w:hint="eastAsia" w:ascii="仿宋_GB2312" w:hAnsi="仿宋_GB2312" w:eastAsia="仿宋_GB2312" w:cs="仿宋_GB2312"/>
          <w:bCs/>
          <w:kern w:val="2"/>
          <w:sz w:val="32"/>
          <w:szCs w:val="32"/>
        </w:rPr>
        <w:t>内依据采购文件确定的事项签订采购合同。</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业务需求部门在项目中标（成交）通知书发出之日起</w:t>
      </w:r>
      <w:r>
        <w:rPr>
          <w:rFonts w:hint="eastAsia" w:ascii="仿宋_GB2312" w:hAnsi="仿宋_GB2312" w:eastAsia="仿宋_GB2312" w:cs="仿宋_GB2312"/>
          <w:bCs/>
          <w:kern w:val="2"/>
          <w:sz w:val="32"/>
          <w:szCs w:val="32"/>
          <w:lang w:val="en-US" w:eastAsia="zh-CN"/>
        </w:rPr>
        <w:t>1</w:t>
      </w:r>
      <w:r>
        <w:rPr>
          <w:rFonts w:hint="eastAsia" w:ascii="仿宋_GB2312" w:hAnsi="仿宋_GB2312" w:eastAsia="仿宋_GB2312" w:cs="仿宋_GB2312"/>
          <w:bCs/>
          <w:kern w:val="2"/>
          <w:sz w:val="32"/>
          <w:szCs w:val="32"/>
        </w:rPr>
        <w:t>日内，严格按照采购文件及中标（成交）供应商投标（响应）文件约定事项与中标（成交）供应商协商草拟采购合同，经法规部门合法性审查后，履行决策程序（</w:t>
      </w:r>
      <w:r>
        <w:rPr>
          <w:rFonts w:hint="eastAsia" w:ascii="仿宋_GB2312" w:hAnsi="仿宋_GB2312" w:eastAsia="仿宋_GB2312" w:cs="仿宋_GB2312"/>
          <w:b/>
          <w:bCs w:val="0"/>
          <w:kern w:val="2"/>
          <w:sz w:val="32"/>
          <w:szCs w:val="32"/>
        </w:rPr>
        <w:t>提示：</w:t>
      </w:r>
      <w:r>
        <w:rPr>
          <w:rFonts w:hint="eastAsia" w:ascii="仿宋_GB2312" w:hAnsi="仿宋_GB2312" w:eastAsia="仿宋_GB2312" w:cs="仿宋_GB2312"/>
          <w:bCs/>
          <w:kern w:val="2"/>
          <w:sz w:val="32"/>
          <w:szCs w:val="32"/>
        </w:rPr>
        <w:t>重点审核是否及时签订合同，是否与采购文件及中标成交供应商投标响应文件明确的实质性内容一致），正式签订合同。</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签订续签合同</w:t>
      </w:r>
      <w:r>
        <w:rPr>
          <w:rFonts w:hint="eastAsia" w:ascii="仿宋_GB2312" w:hAnsi="仿宋_GB2312" w:eastAsia="仿宋_GB2312" w:cs="仿宋_GB2312"/>
          <w:bCs/>
          <w:kern w:val="2"/>
          <w:sz w:val="32"/>
          <w:szCs w:val="32"/>
          <w:lang w:eastAsia="zh-CN"/>
        </w:rPr>
        <w:t>的</w:t>
      </w:r>
      <w:r>
        <w:rPr>
          <w:rFonts w:hint="eastAsia" w:ascii="仿宋_GB2312" w:hAnsi="仿宋_GB2312" w:eastAsia="仿宋_GB2312" w:cs="仿宋_GB2312"/>
          <w:bCs/>
          <w:kern w:val="2"/>
          <w:sz w:val="32"/>
          <w:szCs w:val="32"/>
        </w:rPr>
        <w:t>（提示：只适用签订不超过三年合同履行期限的服务项目）应当在采购文件中明确</w:t>
      </w:r>
      <w:r>
        <w:rPr>
          <w:rFonts w:hint="eastAsia" w:ascii="仿宋_GB2312" w:hAnsi="仿宋_GB2312" w:eastAsia="仿宋_GB2312" w:cs="仿宋_GB2312"/>
          <w:b/>
          <w:bCs w:val="0"/>
          <w:kern w:val="2"/>
          <w:sz w:val="32"/>
          <w:szCs w:val="32"/>
        </w:rPr>
        <w:t>履行期限不超过三年，合同一年一签</w:t>
      </w:r>
      <w:r>
        <w:rPr>
          <w:rFonts w:hint="eastAsia" w:ascii="仿宋_GB2312" w:hAnsi="仿宋_GB2312" w:eastAsia="仿宋_GB2312" w:cs="仿宋_GB2312"/>
          <w:bCs/>
          <w:kern w:val="2"/>
          <w:sz w:val="32"/>
          <w:szCs w:val="32"/>
        </w:rPr>
        <w:t>的要求，续签合同不得改变实质性内容。</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签订补充合同</w:t>
      </w:r>
      <w:r>
        <w:rPr>
          <w:rFonts w:hint="eastAsia" w:ascii="仿宋_GB2312" w:hAnsi="仿宋_GB2312" w:eastAsia="仿宋_GB2312" w:cs="仿宋_GB2312"/>
          <w:bCs/>
          <w:kern w:val="2"/>
          <w:sz w:val="32"/>
          <w:szCs w:val="32"/>
        </w:rPr>
        <w:t>的，必须符合采购法第四十九条规定，即合同履行过程中，需追加与合同标的相同的货物、工程或者服务的，在不改变原合同其他条款的前提下，可与供应商协商签订补充合同，但所有补充合同的采购金额不得超过原合同采购金额的10%。</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（2）合同公告及备案。</w:t>
      </w:r>
      <w:r>
        <w:rPr>
          <w:rFonts w:hint="eastAsia" w:ascii="仿宋_GB2312" w:hAnsi="仿宋_GB2312" w:eastAsia="仿宋_GB2312" w:cs="仿宋_GB2312"/>
          <w:bCs/>
          <w:kern w:val="2"/>
          <w:sz w:val="32"/>
          <w:szCs w:val="32"/>
        </w:rPr>
        <w:t>合同签订后，业务需求部门同时将合同副本及电子文档送归口管理部门，归口管理部门负责在合同签订当天起</w:t>
      </w:r>
      <w:r>
        <w:rPr>
          <w:rFonts w:hint="eastAsia" w:ascii="仿宋_GB2312" w:hAnsi="仿宋_GB2312" w:eastAsia="仿宋_GB2312" w:cs="仿宋_GB2312"/>
          <w:bCs/>
          <w:kern w:val="2"/>
          <w:sz w:val="32"/>
          <w:szCs w:val="32"/>
          <w:lang w:val="en-US" w:eastAsia="zh-CN"/>
        </w:rPr>
        <w:t>1</w:t>
      </w:r>
      <w:r>
        <w:rPr>
          <w:rFonts w:hint="eastAsia" w:ascii="仿宋_GB2312" w:hAnsi="仿宋_GB2312" w:eastAsia="仿宋_GB2312" w:cs="仿宋_GB2312"/>
          <w:bCs/>
          <w:kern w:val="2"/>
          <w:sz w:val="32"/>
          <w:szCs w:val="32"/>
        </w:rPr>
        <w:t>个工作日内，在</w:t>
      </w:r>
      <w:r>
        <w:rPr>
          <w:rFonts w:hint="eastAsia" w:ascii="仿宋_GB2312" w:hAnsi="仿宋_GB2312" w:eastAsia="仿宋_GB2312" w:cs="仿宋_GB2312"/>
          <w:bCs/>
          <w:kern w:val="2"/>
          <w:sz w:val="32"/>
          <w:szCs w:val="32"/>
          <w:lang w:eastAsia="zh-CN"/>
        </w:rPr>
        <w:t>新乡市</w:t>
      </w:r>
      <w:r>
        <w:rPr>
          <w:rFonts w:hint="eastAsia" w:ascii="仿宋_GB2312" w:hAnsi="仿宋_GB2312" w:eastAsia="仿宋_GB2312" w:cs="仿宋_GB2312"/>
          <w:bCs/>
          <w:kern w:val="2"/>
          <w:sz w:val="32"/>
          <w:szCs w:val="32"/>
        </w:rPr>
        <w:t>政府采购网完成合同公告</w:t>
      </w:r>
      <w:r>
        <w:rPr>
          <w:rFonts w:hint="eastAsia" w:ascii="仿宋_GB2312" w:hAnsi="仿宋_GB2312" w:eastAsia="仿宋_GB2312" w:cs="仿宋_GB2312"/>
          <w:bCs/>
          <w:kern w:val="2"/>
          <w:sz w:val="32"/>
          <w:szCs w:val="32"/>
          <w:lang w:eastAsia="zh-CN"/>
        </w:rPr>
        <w:t>和</w:t>
      </w:r>
      <w:r>
        <w:rPr>
          <w:rFonts w:hint="eastAsia" w:ascii="仿宋_GB2312" w:hAnsi="仿宋_GB2312" w:eastAsia="仿宋_GB2312" w:cs="仿宋_GB2312"/>
          <w:bCs/>
          <w:kern w:val="2"/>
          <w:sz w:val="32"/>
          <w:szCs w:val="32"/>
        </w:rPr>
        <w:t>备案。</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（3）合同变更、中止和终止。</w:t>
      </w:r>
      <w:r>
        <w:rPr>
          <w:rFonts w:hint="eastAsia" w:ascii="仿宋_GB2312" w:hAnsi="仿宋_GB2312" w:eastAsia="仿宋_GB2312" w:cs="仿宋_GB2312"/>
          <w:bCs/>
          <w:kern w:val="2"/>
          <w:sz w:val="32"/>
          <w:szCs w:val="32"/>
        </w:rPr>
        <w:t>符合采购法第五十条规定，即采购合同继续履行将损害国家利益和社会公众利益时，才能变更、中止或者终止采购合同。</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合同公告中出现的异议以及合同更正、变更等事项，由业务需求部门提出，归口管理部门负责组织履行决策程序，办理取消合同备案、更正合同信息；涉及合同履行过程中的矛盾纠纷，由业务需求部门牵头协商处理，需要追究民事责任或者发生仲裁、诉讼的，由法规部门牵头处理。</w:t>
      </w:r>
    </w:p>
    <w:p>
      <w:pPr>
        <w:spacing w:line="580" w:lineRule="exact"/>
        <w:ind w:firstLine="640"/>
        <w:rPr>
          <w:rFonts w:hint="eastAsia" w:ascii="楷体_GB2312" w:hAnsi="楷体_GB2312" w:eastAsia="楷体_GB2312" w:cs="楷体_GB2312"/>
          <w:b/>
        </w:rPr>
      </w:pPr>
      <w:r>
        <w:rPr>
          <w:rFonts w:hint="eastAsia" w:ascii="楷体_GB2312" w:hAnsi="楷体_GB2312" w:eastAsia="楷体_GB2312" w:cs="楷体_GB2312"/>
          <w:b/>
        </w:rPr>
        <w:t>（十七）履约验收</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1.相关制度依据。</w:t>
      </w:r>
      <w:r>
        <w:rPr>
          <w:rFonts w:hint="eastAsia" w:ascii="仿宋_GB2312" w:hAnsi="仿宋_GB2312" w:eastAsia="仿宋_GB2312" w:cs="仿宋_GB2312"/>
          <w:bCs/>
          <w:kern w:val="2"/>
          <w:sz w:val="32"/>
          <w:szCs w:val="32"/>
        </w:rPr>
        <w:t>采购法第四十一条，采购法实施条例第四十五条，《政府采购货物和服务招标投标管理办法》（财政部令第87号）第七十四条，《政府采购非招标采购方式管理办法》（财政部令第74号）第二十四条，《政府采购需求管理办法》（财库〔2021〕22号）第二十四条，《财政部关于进一步加强政府采购需求和履约验收管理的指导意见》（财库〔2016〕205号）</w:t>
      </w:r>
      <w:r>
        <w:rPr>
          <w:rFonts w:hint="eastAsia" w:ascii="仿宋_GB2312" w:hAnsi="仿宋_GB2312" w:eastAsia="仿宋_GB2312" w:cs="仿宋_GB2312"/>
          <w:bCs/>
          <w:kern w:val="2"/>
          <w:sz w:val="32"/>
          <w:szCs w:val="32"/>
          <w:lang w:eastAsia="zh-CN"/>
        </w:rPr>
        <w:t>，《新乡市政府采购需求和履约验收管理暂行办法》等</w:t>
      </w:r>
      <w:r>
        <w:rPr>
          <w:rFonts w:hint="eastAsia" w:ascii="仿宋_GB2312" w:hAnsi="仿宋_GB2312" w:eastAsia="仿宋_GB2312" w:cs="仿宋_GB2312"/>
          <w:bCs/>
          <w:kern w:val="2"/>
          <w:sz w:val="32"/>
          <w:szCs w:val="32"/>
        </w:rPr>
        <w:t>。</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lang w:eastAsia="zh-CN"/>
        </w:rPr>
      </w:pPr>
      <w:r>
        <w:rPr>
          <w:rFonts w:hint="eastAsia" w:ascii="仿宋_GB2312" w:hAnsi="仿宋_GB2312" w:eastAsia="仿宋_GB2312" w:cs="仿宋_GB2312"/>
          <w:bCs/>
          <w:kern w:val="2"/>
          <w:sz w:val="32"/>
          <w:szCs w:val="32"/>
          <w:lang w:eastAsia="zh-CN"/>
        </w:rPr>
        <w:t>所有政府采购项目均需进行履约验收。</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2.职责分工。</w:t>
      </w:r>
      <w:r>
        <w:rPr>
          <w:rFonts w:hint="eastAsia" w:ascii="仿宋_GB2312" w:hAnsi="仿宋_GB2312" w:eastAsia="仿宋_GB2312" w:cs="仿宋_GB2312"/>
          <w:bCs/>
          <w:kern w:val="2"/>
          <w:sz w:val="32"/>
          <w:szCs w:val="32"/>
        </w:rPr>
        <w:t>业务需求部门负责采购项目的履约工作，提出验收申请；归口管理部门负责组织本单位政府采购项目的履约验收工作。（</w:t>
      </w:r>
      <w:r>
        <w:rPr>
          <w:rFonts w:hint="eastAsia" w:ascii="仿宋_GB2312" w:hAnsi="仿宋_GB2312" w:eastAsia="仿宋_GB2312" w:cs="仿宋_GB2312"/>
          <w:b/>
          <w:bCs w:val="0"/>
          <w:kern w:val="2"/>
          <w:sz w:val="32"/>
          <w:szCs w:val="32"/>
        </w:rPr>
        <w:t>提示：</w:t>
      </w:r>
      <w:r>
        <w:rPr>
          <w:rFonts w:hint="eastAsia" w:ascii="仿宋_GB2312" w:hAnsi="仿宋_GB2312" w:eastAsia="仿宋_GB2312" w:cs="仿宋_GB2312"/>
          <w:bCs/>
          <w:kern w:val="2"/>
          <w:sz w:val="32"/>
          <w:szCs w:val="32"/>
        </w:rPr>
        <w:t>可以委托采购代理机构组织验收工作，但不能由此免除采购人的主体责任）</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
          <w:bCs w:val="0"/>
          <w:kern w:val="2"/>
          <w:sz w:val="32"/>
          <w:szCs w:val="32"/>
        </w:rPr>
      </w:pPr>
      <w:r>
        <w:rPr>
          <w:rFonts w:hint="eastAsia" w:ascii="仿宋_GB2312" w:hAnsi="仿宋_GB2312" w:eastAsia="仿宋_GB2312" w:cs="仿宋_GB2312"/>
          <w:b/>
          <w:bCs w:val="0"/>
          <w:kern w:val="2"/>
          <w:sz w:val="32"/>
          <w:szCs w:val="32"/>
        </w:rPr>
        <w:t>3.基本流程。</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（1）验收依据。</w:t>
      </w:r>
      <w:r>
        <w:rPr>
          <w:rFonts w:hint="eastAsia" w:ascii="仿宋_GB2312" w:hAnsi="仿宋_GB2312" w:eastAsia="仿宋_GB2312" w:cs="仿宋_GB2312"/>
          <w:bCs/>
          <w:kern w:val="2"/>
          <w:sz w:val="32"/>
          <w:szCs w:val="32"/>
        </w:rPr>
        <w:t>采购实施计划中明确的履约验收方案和本项目依法签订的采购合同。（</w:t>
      </w:r>
      <w:r>
        <w:rPr>
          <w:rFonts w:hint="eastAsia" w:ascii="仿宋_GB2312" w:hAnsi="仿宋_GB2312" w:eastAsia="仿宋_GB2312" w:cs="仿宋_GB2312"/>
          <w:b/>
          <w:bCs w:val="0"/>
          <w:kern w:val="2"/>
          <w:sz w:val="32"/>
          <w:szCs w:val="32"/>
        </w:rPr>
        <w:t>提示：</w:t>
      </w:r>
      <w:r>
        <w:rPr>
          <w:rFonts w:hint="eastAsia" w:ascii="仿宋_GB2312" w:hAnsi="仿宋_GB2312" w:eastAsia="仿宋_GB2312" w:cs="仿宋_GB2312"/>
          <w:bCs/>
          <w:kern w:val="2"/>
          <w:sz w:val="32"/>
          <w:szCs w:val="32"/>
        </w:rPr>
        <w:t>采购人务必要在编制采购实施计划时明确、细化履约验收方案，明确不同类型项目的验收模式，并在采购文件和采购合同中约定。）</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（2）组建验收小组。</w:t>
      </w:r>
      <w:r>
        <w:rPr>
          <w:rFonts w:hint="eastAsia" w:ascii="仿宋_GB2312" w:hAnsi="仿宋_GB2312" w:eastAsia="仿宋_GB2312" w:cs="仿宋_GB2312"/>
          <w:bCs/>
          <w:kern w:val="2"/>
          <w:sz w:val="32"/>
          <w:szCs w:val="32"/>
        </w:rPr>
        <w:t>对需要组建验收小组进行验收的项目，</w:t>
      </w:r>
      <w:r>
        <w:rPr>
          <w:rFonts w:hint="eastAsia" w:ascii="仿宋_GB2312" w:eastAsia="仿宋_GB2312"/>
          <w:color w:val="333333"/>
          <w:sz w:val="32"/>
          <w:szCs w:val="32"/>
        </w:rPr>
        <w:t>合同履行达到验收条件时，供应商向采购人提出项目验收建议。采购人应当自</w:t>
      </w:r>
      <w:r>
        <w:rPr>
          <w:rFonts w:hint="eastAsia" w:ascii="仿宋_GB2312" w:eastAsia="仿宋_GB2312"/>
          <w:color w:val="333333"/>
          <w:sz w:val="32"/>
          <w:szCs w:val="32"/>
          <w:lang w:eastAsia="zh-CN"/>
        </w:rPr>
        <w:t>收到</w:t>
      </w:r>
      <w:r>
        <w:rPr>
          <w:rFonts w:hint="eastAsia" w:ascii="仿宋_GB2312" w:eastAsia="仿宋_GB2312"/>
          <w:color w:val="333333"/>
          <w:sz w:val="32"/>
          <w:szCs w:val="32"/>
        </w:rPr>
        <w:t>建议之日起</w:t>
      </w:r>
      <w:r>
        <w:rPr>
          <w:rFonts w:hint="eastAsia" w:ascii="仿宋_GB2312" w:eastAsia="仿宋_GB2312"/>
          <w:b/>
          <w:bCs/>
          <w:color w:val="333333"/>
          <w:sz w:val="32"/>
          <w:szCs w:val="32"/>
        </w:rPr>
        <w:t>三个工作日</w:t>
      </w:r>
      <w:r>
        <w:rPr>
          <w:rFonts w:hint="eastAsia" w:ascii="仿宋_GB2312" w:eastAsia="仿宋_GB2312"/>
          <w:color w:val="333333"/>
          <w:sz w:val="32"/>
          <w:szCs w:val="32"/>
        </w:rPr>
        <w:t>内启动项目验收，</w:t>
      </w:r>
      <w:r>
        <w:rPr>
          <w:rFonts w:hint="eastAsia" w:ascii="仿宋_GB2312" w:hAnsi="仿宋_GB2312" w:eastAsia="仿宋_GB2312" w:cs="仿宋_GB2312"/>
          <w:bCs/>
          <w:kern w:val="2"/>
          <w:sz w:val="32"/>
          <w:szCs w:val="32"/>
        </w:rPr>
        <w:t>由归口管理部门组织内部相关部门、第三方专业机构或者专业人员成立政府采购项目履约验收小组，负责监督的部门参与监督。对小额零星的采购项目，采取简易方式进行验收，无需组成验收小组。（</w:t>
      </w:r>
      <w:r>
        <w:rPr>
          <w:rFonts w:hint="eastAsia" w:ascii="仿宋_GB2312" w:hAnsi="仿宋_GB2312" w:eastAsia="仿宋_GB2312" w:cs="仿宋_GB2312"/>
          <w:b/>
          <w:bCs w:val="0"/>
          <w:kern w:val="2"/>
          <w:sz w:val="32"/>
          <w:szCs w:val="32"/>
        </w:rPr>
        <w:t>提示：</w:t>
      </w:r>
      <w:r>
        <w:rPr>
          <w:rFonts w:hint="eastAsia" w:ascii="仿宋_GB2312" w:hAnsi="仿宋_GB2312" w:eastAsia="仿宋_GB2312" w:cs="仿宋_GB2312"/>
          <w:bCs/>
          <w:kern w:val="2"/>
          <w:sz w:val="32"/>
          <w:szCs w:val="32"/>
        </w:rPr>
        <w:t>小额零星项目的标准由各单位根据实际自行确定）</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供应商就采购结果提出质疑、投诉、举报的采购项目，在验收前应告知该供应商可以对项目履约验收情况进行社会监督。</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（3）开展验收。</w:t>
      </w:r>
      <w:r>
        <w:rPr>
          <w:rFonts w:hint="eastAsia" w:ascii="仿宋_GB2312" w:hAnsi="仿宋_GB2312" w:eastAsia="仿宋_GB2312" w:cs="仿宋_GB2312"/>
          <w:bCs/>
          <w:kern w:val="2"/>
          <w:sz w:val="32"/>
          <w:szCs w:val="32"/>
        </w:rPr>
        <w:t>验收小组根据项目采购需求和依法签订的政府采购合同，对供应商的履约情况逐项进行验收，小组成员独立发表验收意见。分期实施的采购项目，应当结合分期考核的情况，明确分期验收要求。采取按进度履约、分阶段验收的项目，应当制定分阶段验收的方案，按进度、分阶段出具验收意见，作为最终验收报告的依据。货物类项目可以根据需要设置出厂检验、到货检验、安装调试检验、配套服务检验等多重验收环节。工程类项目应当按照行业管理部门规定的标准、方法和内容进行验收。</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（4）出具验收报告。</w:t>
      </w:r>
      <w:r>
        <w:rPr>
          <w:rFonts w:hint="eastAsia" w:ascii="仿宋_GB2312" w:hAnsi="仿宋_GB2312" w:eastAsia="仿宋_GB2312" w:cs="仿宋_GB2312"/>
          <w:bCs/>
          <w:kern w:val="2"/>
          <w:sz w:val="32"/>
          <w:szCs w:val="32"/>
        </w:rPr>
        <w:t>归口管理部门汇总小组成员出具的验收意见，形成书面验收报告</w:t>
      </w:r>
      <w:r>
        <w:rPr>
          <w:rFonts w:hint="eastAsia" w:ascii="仿宋_GB2312" w:hAnsi="仿宋_GB2312" w:eastAsia="仿宋_GB2312" w:cs="仿宋_GB2312"/>
          <w:bCs/>
          <w:kern w:val="2"/>
          <w:sz w:val="32"/>
          <w:szCs w:val="32"/>
          <w:lang w:eastAsia="zh-CN"/>
        </w:rPr>
        <w:t>（</w:t>
      </w:r>
      <w:r>
        <w:rPr>
          <w:rFonts w:hint="eastAsia" w:ascii="仿宋_GB2312" w:hAnsi="仿宋_GB2312" w:eastAsia="仿宋_GB2312" w:cs="仿宋_GB2312"/>
          <w:b/>
          <w:bCs w:val="0"/>
          <w:kern w:val="2"/>
          <w:sz w:val="32"/>
          <w:szCs w:val="32"/>
          <w:lang w:eastAsia="zh-CN"/>
        </w:rPr>
        <w:t>附件</w:t>
      </w:r>
      <w:r>
        <w:rPr>
          <w:rFonts w:hint="eastAsia" w:ascii="仿宋_GB2312" w:hAnsi="仿宋_GB2312" w:eastAsia="仿宋_GB2312" w:cs="仿宋_GB2312"/>
          <w:b/>
          <w:bCs w:val="0"/>
          <w:kern w:val="2"/>
          <w:sz w:val="32"/>
          <w:szCs w:val="32"/>
          <w:lang w:val="en-US" w:eastAsia="zh-CN"/>
        </w:rPr>
        <w:t>7</w:t>
      </w:r>
      <w:r>
        <w:rPr>
          <w:rFonts w:hint="eastAsia" w:ascii="仿宋_GB2312" w:hAnsi="仿宋_GB2312" w:eastAsia="仿宋_GB2312" w:cs="仿宋_GB2312"/>
          <w:bCs/>
          <w:kern w:val="2"/>
          <w:sz w:val="32"/>
          <w:szCs w:val="32"/>
          <w:lang w:eastAsia="zh-CN"/>
        </w:rPr>
        <w:t>）</w:t>
      </w:r>
      <w:r>
        <w:rPr>
          <w:rFonts w:hint="eastAsia" w:ascii="仿宋_GB2312" w:hAnsi="仿宋_GB2312" w:eastAsia="仿宋_GB2312" w:cs="仿宋_GB2312"/>
          <w:bCs/>
          <w:kern w:val="2"/>
          <w:sz w:val="32"/>
          <w:szCs w:val="32"/>
        </w:rPr>
        <w:t>。验收小组成员、监督人员在项目验收报告上签字确认，有不同意见的，应写明理由。采购人和使用人相分离的项目，应当在采购文件中明确使用人提供验收意见的方式，作为最终验收报告的依据。</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履行决策程序（</w:t>
      </w:r>
      <w:r>
        <w:rPr>
          <w:rFonts w:hint="eastAsia" w:ascii="仿宋_GB2312" w:hAnsi="仿宋_GB2312" w:eastAsia="仿宋_GB2312" w:cs="仿宋_GB2312"/>
          <w:b/>
          <w:bCs w:val="0"/>
          <w:kern w:val="2"/>
          <w:sz w:val="32"/>
          <w:szCs w:val="32"/>
        </w:rPr>
        <w:t>提示：</w:t>
      </w:r>
      <w:r>
        <w:rPr>
          <w:rFonts w:hint="eastAsia" w:ascii="仿宋_GB2312" w:hAnsi="仿宋_GB2312" w:eastAsia="仿宋_GB2312" w:cs="仿宋_GB2312"/>
          <w:bCs/>
          <w:kern w:val="2"/>
          <w:sz w:val="32"/>
          <w:szCs w:val="32"/>
        </w:rPr>
        <w:t>审查是否按照履约验收方案组织开展验收工作，是否逐一完成履约，是否存在争议等）后，通过验收。</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对政府向社会提供的公共服务项目还要在验收通过后公开验收结果；对验收后形成固定资产的，资产管理部门将形成的资产登记入账。</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
          <w:bCs w:val="0"/>
          <w:kern w:val="2"/>
          <w:sz w:val="32"/>
          <w:szCs w:val="32"/>
        </w:rPr>
      </w:pPr>
      <w:r>
        <w:rPr>
          <w:rFonts w:hint="eastAsia" w:ascii="仿宋_GB2312" w:hAnsi="仿宋_GB2312" w:eastAsia="仿宋_GB2312" w:cs="仿宋_GB2312"/>
          <w:b/>
          <w:bCs w:val="0"/>
          <w:kern w:val="2"/>
          <w:sz w:val="32"/>
          <w:szCs w:val="32"/>
        </w:rPr>
        <w:t>4.违约处理。</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供应商不按照政府采购合同约定履行义务的，业务需求部门报法规部门按照《民法典》的规定，中止、终止政府采购合同，追究供应商法律责任；同时，业务需求部门按照政府采购信用评价管理制度规定，对供应商履约情况进行评价、反馈归口管理部门。</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5.验收模式。</w:t>
      </w:r>
      <w:r>
        <w:rPr>
          <w:rFonts w:hint="eastAsia" w:ascii="仿宋_GB2312" w:hAnsi="仿宋_GB2312" w:eastAsia="仿宋_GB2312" w:cs="仿宋_GB2312"/>
          <w:bCs/>
          <w:kern w:val="2"/>
          <w:sz w:val="32"/>
          <w:szCs w:val="32"/>
        </w:rPr>
        <w:t>归口管理部门根据本单位实际，会同业务需求部门分类制定履约验收方案标准和程序。履约验收方案要明确履约验收的主体、时间、方式、程序、内容和验收标准等事项。验收内容要包括所有技术和商务要求的履约情况，验收标准要包括所有客观、量化指标。不能明确客观标准、涉及主观判断的，可以通过在采购人、使用人中开展问卷调查等方式，转化为客观、量化的验收标准。</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w:t>
      </w:r>
      <w:r>
        <w:rPr>
          <w:rFonts w:hint="eastAsia" w:ascii="仿宋_GB2312" w:hAnsi="仿宋_GB2312" w:eastAsia="仿宋_GB2312" w:cs="仿宋_GB2312"/>
          <w:b/>
          <w:bCs w:val="0"/>
          <w:kern w:val="2"/>
          <w:sz w:val="32"/>
          <w:szCs w:val="32"/>
        </w:rPr>
        <w:t>提示：</w:t>
      </w:r>
      <w:r>
        <w:rPr>
          <w:rFonts w:hint="eastAsia" w:ascii="仿宋_GB2312" w:hAnsi="仿宋_GB2312" w:eastAsia="仿宋_GB2312" w:cs="仿宋_GB2312"/>
          <w:bCs/>
          <w:kern w:val="2"/>
          <w:sz w:val="32"/>
          <w:szCs w:val="32"/>
        </w:rPr>
        <w:t>根据项目实际，分类制定验收标准和程序，如一般货物类采购项目：可交货后一次性验收；物业管理、信息化建设等服务类项目：分步分阶段验收；零星小额采购项目：可采取简易验收程序；技术复杂或影响较大的采购项目：邀请专业人员或者第三方检测机构参与验收。）</w:t>
      </w:r>
    </w:p>
    <w:p>
      <w:pPr>
        <w:spacing w:line="580" w:lineRule="exact"/>
        <w:ind w:firstLine="640"/>
        <w:rPr>
          <w:rFonts w:hint="eastAsia" w:ascii="楷体_GB2312" w:hAnsi="楷体_GB2312" w:eastAsia="楷体_GB2312" w:cs="楷体_GB2312"/>
          <w:b/>
        </w:rPr>
      </w:pPr>
      <w:r>
        <w:rPr>
          <w:rFonts w:hint="eastAsia" w:ascii="楷体_GB2312" w:hAnsi="楷体_GB2312" w:eastAsia="楷体_GB2312" w:cs="楷体_GB2312"/>
          <w:b/>
        </w:rPr>
        <w:t>（十八）资金支付</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1.相关制度依据。</w:t>
      </w:r>
      <w:r>
        <w:rPr>
          <w:rFonts w:hint="eastAsia" w:ascii="仿宋_GB2312" w:hAnsi="仿宋_GB2312" w:eastAsia="仿宋_GB2312" w:cs="仿宋_GB2312"/>
          <w:bCs/>
          <w:kern w:val="2"/>
          <w:sz w:val="32"/>
          <w:szCs w:val="32"/>
        </w:rPr>
        <w:t>采购法实施条例第五十一条，国务院《保障中小企业款项支付条例》（国务院令第728号），</w:t>
      </w:r>
      <w:r>
        <w:rPr>
          <w:rFonts w:hint="eastAsia" w:ascii="仿宋_GB2312" w:hAnsi="仿宋_GB2312" w:eastAsia="仿宋_GB2312" w:cs="仿宋_GB2312"/>
          <w:bCs/>
          <w:kern w:val="2"/>
          <w:sz w:val="32"/>
          <w:szCs w:val="32"/>
          <w:lang w:eastAsia="zh-CN"/>
        </w:rPr>
        <w:t>市级</w:t>
      </w:r>
      <w:r>
        <w:rPr>
          <w:rFonts w:hint="eastAsia" w:ascii="仿宋_GB2312" w:hAnsi="仿宋_GB2312" w:eastAsia="仿宋_GB2312" w:cs="仿宋_GB2312"/>
          <w:bCs/>
          <w:kern w:val="2"/>
          <w:sz w:val="32"/>
          <w:szCs w:val="32"/>
        </w:rPr>
        <w:t>单位国库支付管理规定。</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2.职责分工。</w:t>
      </w:r>
      <w:r>
        <w:rPr>
          <w:rFonts w:hint="eastAsia" w:ascii="仿宋_GB2312" w:hAnsi="仿宋_GB2312" w:eastAsia="仿宋_GB2312" w:cs="仿宋_GB2312"/>
          <w:bCs/>
          <w:kern w:val="2"/>
          <w:sz w:val="32"/>
          <w:szCs w:val="32"/>
        </w:rPr>
        <w:t>财务部门负责采购资金的支付，业务需求部门负责提供支付依据。</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3.基本流程。</w:t>
      </w:r>
      <w:r>
        <w:rPr>
          <w:rFonts w:hint="eastAsia" w:ascii="仿宋_GB2312" w:hAnsi="仿宋_GB2312" w:eastAsia="仿宋_GB2312" w:cs="仿宋_GB2312"/>
          <w:bCs/>
          <w:kern w:val="2"/>
          <w:sz w:val="32"/>
          <w:szCs w:val="32"/>
        </w:rPr>
        <w:t>资金支付应当严格按照合同约定和国库管理制度规定办理，完成合同备案后，</w:t>
      </w:r>
      <w:r>
        <w:rPr>
          <w:rFonts w:hint="eastAsia" w:ascii="仿宋_GB2312" w:hAnsi="仿宋_GB2312" w:eastAsia="仿宋_GB2312" w:cs="仿宋_GB2312"/>
          <w:bCs/>
          <w:kern w:val="2"/>
          <w:sz w:val="32"/>
          <w:szCs w:val="32"/>
          <w:lang w:eastAsia="zh-CN"/>
        </w:rPr>
        <w:t>供应商开具发票后，采购人需在</w:t>
      </w:r>
      <w:r>
        <w:rPr>
          <w:rFonts w:hint="eastAsia" w:ascii="仿宋_GB2312" w:hAnsi="仿宋_GB2312" w:eastAsia="仿宋_GB2312" w:cs="仿宋_GB2312"/>
          <w:bCs/>
          <w:kern w:val="2"/>
          <w:sz w:val="32"/>
          <w:szCs w:val="32"/>
          <w:lang w:val="en-US" w:eastAsia="zh-CN"/>
        </w:rPr>
        <w:t>1个工作日内完成内部审批，然后报财政部门办理资金支付</w:t>
      </w:r>
      <w:r>
        <w:rPr>
          <w:rFonts w:hint="eastAsia" w:ascii="仿宋_GB2312" w:hAnsi="仿宋_GB2312" w:eastAsia="仿宋_GB2312" w:cs="仿宋_GB2312"/>
          <w:bCs/>
          <w:kern w:val="2"/>
          <w:sz w:val="32"/>
          <w:szCs w:val="32"/>
        </w:rPr>
        <w:t>。</w:t>
      </w:r>
    </w:p>
    <w:p>
      <w:pPr>
        <w:spacing w:line="580" w:lineRule="exact"/>
        <w:ind w:firstLine="640"/>
        <w:rPr>
          <w:rFonts w:hint="eastAsia" w:ascii="楷体_GB2312" w:hAnsi="楷体_GB2312" w:eastAsia="楷体_GB2312" w:cs="楷体_GB2312"/>
          <w:b/>
        </w:rPr>
      </w:pPr>
      <w:r>
        <w:rPr>
          <w:rFonts w:hint="eastAsia" w:ascii="楷体_GB2312" w:hAnsi="楷体_GB2312" w:eastAsia="楷体_GB2312" w:cs="楷体_GB2312"/>
          <w:b/>
        </w:rPr>
        <w:t>（十九）资料归档</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1.相关制度依据。</w:t>
      </w:r>
      <w:r>
        <w:rPr>
          <w:rFonts w:hint="eastAsia" w:ascii="仿宋_GB2312" w:hAnsi="仿宋_GB2312" w:eastAsia="仿宋_GB2312" w:cs="仿宋_GB2312"/>
          <w:bCs/>
          <w:kern w:val="2"/>
          <w:sz w:val="32"/>
          <w:szCs w:val="32"/>
        </w:rPr>
        <w:t>采购法第四十二条，采购法实施条例第四十六条。</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采购活动的采购文件应当妥善保存，不得伪造、变造、隐匿或者销毁。采购活动相关资料的保存期限为自采购结束之日起15年。</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2.职责分工。</w:t>
      </w:r>
      <w:r>
        <w:rPr>
          <w:rFonts w:hint="eastAsia" w:ascii="仿宋_GB2312" w:hAnsi="仿宋_GB2312" w:eastAsia="仿宋_GB2312" w:cs="仿宋_GB2312"/>
          <w:bCs/>
          <w:kern w:val="2"/>
          <w:sz w:val="32"/>
          <w:szCs w:val="32"/>
        </w:rPr>
        <w:t xml:space="preserve">归口管理部门负责政府采购档案归集，按规定移交档案管理部门归档。 </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3.基本流程。</w:t>
      </w:r>
      <w:r>
        <w:rPr>
          <w:rFonts w:hint="eastAsia" w:ascii="仿宋_GB2312" w:hAnsi="仿宋_GB2312" w:eastAsia="仿宋_GB2312" w:cs="仿宋_GB2312"/>
          <w:bCs/>
          <w:kern w:val="2"/>
          <w:sz w:val="32"/>
          <w:szCs w:val="32"/>
        </w:rPr>
        <w:t>归口管理部门负责采购项目档案的收集、整理、归档，鼓励采用电子档案保管，每年年初将上一年度形成的档案资料移交档案室保存。（提示：各单位根据实际，制定采购项目档案清单，明确档案归档前的保管部门）</w:t>
      </w:r>
    </w:p>
    <w:p>
      <w:pPr>
        <w:spacing w:line="580" w:lineRule="exact"/>
        <w:ind w:firstLine="640" w:firstLineChars="200"/>
        <w:rPr>
          <w:rFonts w:hint="eastAsia" w:ascii="黑体" w:eastAsia="黑体"/>
          <w:bCs/>
        </w:rPr>
      </w:pPr>
      <w:r>
        <w:rPr>
          <w:rFonts w:hint="eastAsia" w:ascii="黑体" w:eastAsia="黑体" w:cs="黑体"/>
          <w:bCs/>
        </w:rPr>
        <w:t>八、询问、质疑与投诉处理</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楷体_GB2312" w:hAnsi="楷体_GB2312" w:eastAsia="楷体_GB2312" w:cs="楷体_GB2312"/>
          <w:b/>
          <w:bCs w:val="0"/>
          <w:kern w:val="2"/>
          <w:sz w:val="32"/>
          <w:szCs w:val="32"/>
        </w:rPr>
        <w:t>（一）相关制度规定</w:t>
      </w:r>
      <w:r>
        <w:rPr>
          <w:rFonts w:hint="eastAsia" w:ascii="仿宋_GB2312" w:hAnsi="仿宋_GB2312" w:eastAsia="仿宋_GB2312" w:cs="仿宋_GB2312"/>
          <w:bCs/>
          <w:kern w:val="2"/>
          <w:sz w:val="32"/>
          <w:szCs w:val="32"/>
        </w:rPr>
        <w:t>。采购法第六章，采购法实施条例第六章，财政部《政府采购质疑和投诉办法》（财政部令第94号）。</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楷体_GB2312" w:hAnsi="楷体_GB2312" w:eastAsia="楷体_GB2312" w:cs="楷体_GB2312"/>
          <w:b/>
          <w:bCs w:val="0"/>
          <w:kern w:val="2"/>
          <w:sz w:val="32"/>
          <w:szCs w:val="32"/>
        </w:rPr>
        <w:t>（二）职责分工。</w:t>
      </w:r>
      <w:r>
        <w:rPr>
          <w:rFonts w:hint="eastAsia" w:ascii="仿宋_GB2312" w:hAnsi="仿宋_GB2312" w:eastAsia="仿宋_GB2312" w:cs="仿宋_GB2312"/>
          <w:bCs/>
          <w:kern w:val="2"/>
          <w:sz w:val="32"/>
          <w:szCs w:val="32"/>
        </w:rPr>
        <w:t>归口管理部门负责牵头组织答复应当由采购人答复的供应商询问、质疑和投诉；督促采购代理机构依法规范答复应由采购代理机构负责答复的供应商询问、质疑；业务需求部门负责对涉及采购需求和采购实施计划内容的询问、质疑和投诉提出答复意见并提供证明材料；法规部门负责对应由采购人答复的质疑和投诉进行合法性审查。</w:t>
      </w:r>
    </w:p>
    <w:p>
      <w:pPr>
        <w:pStyle w:val="6"/>
        <w:widowControl w:val="0"/>
        <w:spacing w:before="0" w:beforeAutospacing="0" w:after="0" w:afterAutospacing="0" w:line="580" w:lineRule="exact"/>
        <w:ind w:firstLine="641"/>
        <w:jc w:val="both"/>
        <w:rPr>
          <w:rFonts w:hint="eastAsia" w:ascii="楷体_GB2312" w:hAnsi="楷体_GB2312" w:eastAsia="楷体_GB2312" w:cs="楷体_GB2312"/>
          <w:b/>
          <w:bCs w:val="0"/>
          <w:kern w:val="2"/>
          <w:sz w:val="32"/>
          <w:szCs w:val="32"/>
        </w:rPr>
      </w:pPr>
      <w:r>
        <w:rPr>
          <w:rFonts w:hint="eastAsia" w:ascii="楷体_GB2312" w:hAnsi="楷体_GB2312" w:eastAsia="楷体_GB2312" w:cs="楷体_GB2312"/>
          <w:b/>
          <w:bCs w:val="0"/>
          <w:kern w:val="2"/>
          <w:sz w:val="32"/>
          <w:szCs w:val="32"/>
        </w:rPr>
        <w:t>（三）基本流程。</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1.询问答复。</w:t>
      </w:r>
      <w:r>
        <w:rPr>
          <w:rFonts w:hint="eastAsia" w:ascii="仿宋_GB2312" w:hAnsi="仿宋_GB2312" w:eastAsia="仿宋_GB2312" w:cs="仿宋_GB2312"/>
          <w:bCs/>
          <w:kern w:val="2"/>
          <w:sz w:val="32"/>
          <w:szCs w:val="32"/>
        </w:rPr>
        <w:t>归口管理部门负责统一受理供应商询问，确保在3个工作日内对供应商依法提出的询问作出答复，根据委托代理及协议，对应由采购代理机构进行答复的询问，告知其向采购代理机构提出。涉及应由业务需求部门提出答复意见的，交由业务需求部门就询问内容直接向供应商作出答复并予以记录，涉及其他内容，由归口管理部门作出答复。作出答复前，应当履行决策程序（</w:t>
      </w:r>
      <w:r>
        <w:rPr>
          <w:rFonts w:hint="eastAsia" w:ascii="仿宋_GB2312" w:hAnsi="仿宋_GB2312" w:eastAsia="仿宋_GB2312" w:cs="仿宋_GB2312"/>
          <w:b/>
          <w:bCs w:val="0"/>
          <w:kern w:val="2"/>
          <w:sz w:val="32"/>
          <w:szCs w:val="32"/>
        </w:rPr>
        <w:t>提示：</w:t>
      </w:r>
      <w:r>
        <w:rPr>
          <w:rFonts w:hint="eastAsia" w:ascii="仿宋_GB2312" w:hAnsi="仿宋_GB2312" w:eastAsia="仿宋_GB2312" w:cs="仿宋_GB2312"/>
          <w:bCs/>
          <w:kern w:val="2"/>
          <w:sz w:val="32"/>
          <w:szCs w:val="32"/>
        </w:rPr>
        <w:t>重点审核答复内容是否正面回应询问内容，是否在法定期限内容回复）。询问事项涉及需要修改采购文件的，由归口管理部门按照采购文件确认程序进行决策后，依法进行更正。</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2.质疑答复。</w:t>
      </w:r>
      <w:r>
        <w:rPr>
          <w:rFonts w:hint="eastAsia" w:ascii="仿宋_GB2312" w:hAnsi="仿宋_GB2312" w:eastAsia="仿宋_GB2312" w:cs="仿宋_GB2312"/>
          <w:bCs/>
          <w:kern w:val="2"/>
          <w:sz w:val="32"/>
          <w:szCs w:val="32"/>
        </w:rPr>
        <w:t>归口管理部门负责统一受理供应商质疑，严格按照《政府采购质疑和投诉办法》（财政部令第94号）规定的程序和要求受理、答复质疑，对项目进行处理</w:t>
      </w:r>
      <w:r>
        <w:rPr>
          <w:rFonts w:hint="eastAsia" w:ascii="仿宋_GB2312" w:hAnsi="仿宋_GB2312" w:eastAsia="仿宋_GB2312" w:cs="仿宋_GB2312"/>
          <w:bCs/>
          <w:kern w:val="2"/>
          <w:sz w:val="32"/>
          <w:szCs w:val="32"/>
          <w:lang w:eastAsia="zh-CN"/>
        </w:rPr>
        <w:t>，同时将相关情况向财政部门报告</w:t>
      </w:r>
      <w:r>
        <w:rPr>
          <w:rFonts w:hint="eastAsia" w:ascii="仿宋_GB2312" w:hAnsi="仿宋_GB2312" w:eastAsia="仿宋_GB2312" w:cs="仿宋_GB2312"/>
          <w:bCs/>
          <w:kern w:val="2"/>
          <w:sz w:val="32"/>
          <w:szCs w:val="32"/>
        </w:rPr>
        <w:t>；确保在收到供应商书面质疑后7个工作日内作出答复，根据委托代理及协议，对应由采购代理机构进行答复的质疑，告知其依法向采购代理机构提出。涉及应由业务需求部门提出答复意见的，交由业务需求部门提出答复意见并提供证明材料；涉及其他内容的，由归口管理部门提出答复意见并提供证明材料。作出答复前，应当履行决策程序（</w:t>
      </w:r>
      <w:r>
        <w:rPr>
          <w:rFonts w:hint="eastAsia" w:ascii="仿宋_GB2312" w:hAnsi="仿宋_GB2312" w:eastAsia="仿宋_GB2312" w:cs="仿宋_GB2312"/>
          <w:b/>
          <w:bCs w:val="0"/>
          <w:kern w:val="2"/>
          <w:sz w:val="32"/>
          <w:szCs w:val="32"/>
        </w:rPr>
        <w:t>提示：</w:t>
      </w:r>
      <w:r>
        <w:rPr>
          <w:rFonts w:hint="eastAsia" w:ascii="仿宋_GB2312" w:hAnsi="仿宋_GB2312" w:eastAsia="仿宋_GB2312" w:cs="仿宋_GB2312"/>
          <w:bCs/>
          <w:kern w:val="2"/>
          <w:sz w:val="32"/>
          <w:szCs w:val="32"/>
        </w:rPr>
        <w:t>重点审核质疑是否符合法定受理条件、答复内容是否逐一正面回应质疑事项、理由及依据是否充分、是否在法定期限内答复）。质疑事项成立的，按照《政府采购质疑和投诉办法》的规定对项目进行处理。发现供应商、采购代理机构、评审专家存在违法违规行为的，应当书面向</w:t>
      </w:r>
      <w:r>
        <w:rPr>
          <w:rFonts w:hint="eastAsia" w:ascii="仿宋_GB2312" w:hAnsi="仿宋_GB2312" w:eastAsia="仿宋_GB2312" w:cs="仿宋_GB2312"/>
          <w:bCs/>
          <w:kern w:val="2"/>
          <w:sz w:val="32"/>
          <w:szCs w:val="32"/>
          <w:lang w:eastAsia="zh-CN"/>
        </w:rPr>
        <w:t>财政局</w:t>
      </w:r>
      <w:r>
        <w:rPr>
          <w:rFonts w:hint="eastAsia" w:ascii="仿宋_GB2312" w:hAnsi="仿宋_GB2312" w:eastAsia="仿宋_GB2312" w:cs="仿宋_GB2312"/>
          <w:bCs/>
          <w:kern w:val="2"/>
          <w:sz w:val="32"/>
          <w:szCs w:val="32"/>
        </w:rPr>
        <w:t>反映，并提供相关证明材料。</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3.投诉答复。</w:t>
      </w:r>
      <w:r>
        <w:rPr>
          <w:rFonts w:hint="eastAsia" w:ascii="仿宋_GB2312" w:hAnsi="仿宋_GB2312" w:eastAsia="仿宋_GB2312" w:cs="仿宋_GB2312"/>
          <w:bCs/>
          <w:kern w:val="2"/>
          <w:sz w:val="32"/>
          <w:szCs w:val="32"/>
        </w:rPr>
        <w:t>归口管理部门负责按照</w:t>
      </w:r>
      <w:r>
        <w:rPr>
          <w:rFonts w:hint="eastAsia" w:ascii="仿宋_GB2312" w:hAnsi="仿宋_GB2312" w:eastAsia="仿宋_GB2312" w:cs="仿宋_GB2312"/>
          <w:bCs/>
          <w:kern w:val="2"/>
          <w:sz w:val="32"/>
          <w:szCs w:val="32"/>
          <w:lang w:eastAsia="zh-CN"/>
        </w:rPr>
        <w:t>财政局</w:t>
      </w:r>
      <w:r>
        <w:rPr>
          <w:rFonts w:hint="eastAsia" w:ascii="仿宋_GB2312" w:hAnsi="仿宋_GB2312" w:eastAsia="仿宋_GB2312" w:cs="仿宋_GB2312"/>
          <w:bCs/>
          <w:kern w:val="2"/>
          <w:sz w:val="32"/>
          <w:szCs w:val="32"/>
        </w:rPr>
        <w:t>投诉答复通知书的要求组织相关部门、采购代理机构和评审专家等研究答复意见，在规定时间内作出答复，如实提供相关证明材料。</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涉及应由业务需求部门提出答复意见的，交由业务需求部门提出答复意见并提供证明材料；涉及其他内容的，由归口管理部门提出答复意见并提供证明材料。投诉事项不涉及采购人的，在答复时如实说明。作出答复前，应当履行决策程序。（</w:t>
      </w:r>
      <w:r>
        <w:rPr>
          <w:rFonts w:hint="eastAsia" w:ascii="仿宋_GB2312" w:hAnsi="仿宋_GB2312" w:eastAsia="仿宋_GB2312" w:cs="仿宋_GB2312"/>
          <w:b/>
          <w:bCs w:val="0"/>
          <w:kern w:val="2"/>
          <w:sz w:val="32"/>
          <w:szCs w:val="32"/>
        </w:rPr>
        <w:t>提示：</w:t>
      </w:r>
      <w:r>
        <w:rPr>
          <w:rFonts w:hint="eastAsia" w:ascii="仿宋_GB2312" w:hAnsi="仿宋_GB2312" w:eastAsia="仿宋_GB2312" w:cs="仿宋_GB2312"/>
          <w:bCs/>
          <w:kern w:val="2"/>
          <w:sz w:val="32"/>
          <w:szCs w:val="32"/>
        </w:rPr>
        <w:t>重点审核答复内容是否按照</w:t>
      </w:r>
      <w:r>
        <w:rPr>
          <w:rFonts w:hint="eastAsia" w:ascii="仿宋_GB2312" w:hAnsi="仿宋_GB2312" w:eastAsia="仿宋_GB2312" w:cs="仿宋_GB2312"/>
          <w:bCs/>
          <w:kern w:val="2"/>
          <w:sz w:val="32"/>
          <w:szCs w:val="32"/>
          <w:lang w:eastAsia="zh-CN"/>
        </w:rPr>
        <w:t>财政局</w:t>
      </w:r>
      <w:r>
        <w:rPr>
          <w:rFonts w:hint="eastAsia" w:ascii="仿宋_GB2312" w:hAnsi="仿宋_GB2312" w:eastAsia="仿宋_GB2312" w:cs="仿宋_GB2312"/>
          <w:bCs/>
          <w:kern w:val="2"/>
          <w:sz w:val="32"/>
          <w:szCs w:val="32"/>
        </w:rPr>
        <w:t>要求逐一正面回应，理由及依据是否充分，是否在规定期限内容答复）</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lang w:eastAsia="zh-CN"/>
        </w:rPr>
        <w:t>财政局</w:t>
      </w:r>
      <w:r>
        <w:rPr>
          <w:rFonts w:hint="eastAsia" w:ascii="仿宋_GB2312" w:hAnsi="仿宋_GB2312" w:eastAsia="仿宋_GB2312" w:cs="仿宋_GB2312"/>
          <w:bCs/>
          <w:kern w:val="2"/>
          <w:sz w:val="32"/>
          <w:szCs w:val="32"/>
        </w:rPr>
        <w:t>要求暂停采购活动的，归口管理部门应当组织立即暂停采购活动，依法告知相关参与各方；暂停采购活动期满，尚未作出投诉处理决定的，因项目情况特殊，确需继续开展采购活动的，由归口管理部门组织履行决策程序。</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收到</w:t>
      </w:r>
      <w:r>
        <w:rPr>
          <w:rFonts w:hint="eastAsia" w:ascii="仿宋_GB2312" w:hAnsi="仿宋_GB2312" w:eastAsia="仿宋_GB2312" w:cs="仿宋_GB2312"/>
          <w:bCs/>
          <w:kern w:val="2"/>
          <w:sz w:val="32"/>
          <w:szCs w:val="32"/>
          <w:lang w:eastAsia="zh-CN"/>
        </w:rPr>
        <w:t>财政局</w:t>
      </w:r>
      <w:r>
        <w:rPr>
          <w:rFonts w:hint="eastAsia" w:ascii="仿宋_GB2312" w:hAnsi="仿宋_GB2312" w:eastAsia="仿宋_GB2312" w:cs="仿宋_GB2312"/>
          <w:bCs/>
          <w:kern w:val="2"/>
          <w:sz w:val="32"/>
          <w:szCs w:val="32"/>
        </w:rPr>
        <w:t>作出投诉处理决定后，按照投诉处理决定的要求开展采购活动。</w:t>
      </w:r>
    </w:p>
    <w:p>
      <w:pPr>
        <w:spacing w:line="580" w:lineRule="exact"/>
        <w:ind w:firstLine="640" w:firstLineChars="200"/>
        <w:rPr>
          <w:rFonts w:hint="eastAsia" w:ascii="黑体" w:eastAsia="黑体" w:cs="黑体"/>
          <w:bCs/>
        </w:rPr>
      </w:pPr>
      <w:r>
        <w:rPr>
          <w:rFonts w:hint="eastAsia" w:ascii="黑体" w:eastAsia="黑体" w:cs="黑体"/>
          <w:bCs/>
        </w:rPr>
        <w:t>九、考核评价和奖惩机制</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各部门政府采购工作开展情况及成效将纳入本单位对各部门的考核评价范围，归口管理部门负责对其他部门的政府采购工作开展情况进行考核评价，单位绩效管理部门负责对归口管理部门政府采购工作开展情况进行考核评价，对考核评价结果优秀的，给予奖励；对考核评价结果较差的，给予惩戒。</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
          <w:bCs w:val="0"/>
          <w:kern w:val="2"/>
          <w:sz w:val="32"/>
          <w:szCs w:val="32"/>
        </w:rPr>
        <w:t>提示：</w:t>
      </w:r>
      <w:r>
        <w:rPr>
          <w:rFonts w:hint="eastAsia" w:ascii="仿宋_GB2312" w:hAnsi="仿宋_GB2312" w:eastAsia="仿宋_GB2312" w:cs="仿宋_GB2312"/>
          <w:bCs/>
          <w:kern w:val="2"/>
          <w:sz w:val="32"/>
          <w:szCs w:val="32"/>
        </w:rPr>
        <w:t>此部分是确保整个内控制度政策运转的基本保障，具体内容建议纳入本单位考核评价制度管理，但要明确标准和要求。按照在政府采购工作中的职责情况，设置对部门绩效目标考核的权重，比如对归口管理部门、业务需求部门要将政府采购工作开展情况作为该部门绩效考核的重要指标，纳入本单位对部门的绩效考核管理；考核指标建议主要从依法行政、行政效能、安全维稳、党建工作等角度入手，比如依法行政方面主要看是否存在未执行内控制度规定，导致采购人违法违规；行政效能方面主要看是否存在未执行内控制度规定，导致工作效率低下、未能如期完成采购；安全维稳方面主要是看是否存在未执行内控制度规定，导致发生舆情、造成负面影响；党建工作方面主要是看是否存在未执行内控制度规定，导致出现违纪违规问题。另外是要设置一部分加分奖励指标，比如可以从完成重大采购工作任务、项目预算绩效评价优秀、单位领导书面肯定成效、受到主管预算单位、</w:t>
      </w:r>
      <w:r>
        <w:rPr>
          <w:rFonts w:hint="eastAsia" w:ascii="仿宋_GB2312" w:hAnsi="仿宋_GB2312" w:eastAsia="仿宋_GB2312" w:cs="仿宋_GB2312"/>
          <w:bCs/>
          <w:kern w:val="2"/>
          <w:sz w:val="32"/>
          <w:szCs w:val="32"/>
          <w:lang w:eastAsia="zh-CN"/>
        </w:rPr>
        <w:t>财政局</w:t>
      </w:r>
      <w:r>
        <w:rPr>
          <w:rFonts w:hint="eastAsia" w:ascii="仿宋_GB2312" w:hAnsi="仿宋_GB2312" w:eastAsia="仿宋_GB2312" w:cs="仿宋_GB2312"/>
          <w:bCs/>
          <w:kern w:val="2"/>
          <w:sz w:val="32"/>
          <w:szCs w:val="32"/>
        </w:rPr>
        <w:t>通报表扬等方面考虑。最后是一票否决的事项，比如出现未执行内控制度规定，导致采购人违法违规，被</w:t>
      </w:r>
      <w:r>
        <w:rPr>
          <w:rFonts w:hint="eastAsia" w:ascii="仿宋_GB2312" w:hAnsi="仿宋_GB2312" w:eastAsia="仿宋_GB2312" w:cs="仿宋_GB2312"/>
          <w:bCs/>
          <w:kern w:val="2"/>
          <w:sz w:val="32"/>
          <w:szCs w:val="32"/>
          <w:lang w:eastAsia="zh-CN"/>
        </w:rPr>
        <w:t>财政局</w:t>
      </w:r>
      <w:r>
        <w:rPr>
          <w:rFonts w:hint="eastAsia" w:ascii="仿宋_GB2312" w:hAnsi="仿宋_GB2312" w:eastAsia="仿宋_GB2312" w:cs="仿宋_GB2312"/>
          <w:bCs/>
          <w:kern w:val="2"/>
          <w:sz w:val="32"/>
          <w:szCs w:val="32"/>
        </w:rPr>
        <w:t>行政处罚的；导致采购预算被财政收回或者严重影响项目顺利推进的；导致发生重大舆情，造成严重不良后果的；导致出现违纪违规问题，被作出警告以上的纪律处分的。</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对个人的考核评价，可以根据岗位职责设置相应的考核指标，从日常和年度的目标考核、纳入党员积分制管理、评优评先、职级职务晋升等方面入手。（</w:t>
      </w:r>
      <w:r>
        <w:rPr>
          <w:rFonts w:hint="eastAsia" w:ascii="仿宋_GB2312" w:hAnsi="仿宋_GB2312" w:eastAsia="仿宋_GB2312" w:cs="仿宋_GB2312"/>
          <w:b/>
          <w:bCs w:val="0"/>
          <w:kern w:val="2"/>
          <w:sz w:val="32"/>
          <w:szCs w:val="32"/>
        </w:rPr>
        <w:t>提示：</w:t>
      </w:r>
      <w:r>
        <w:rPr>
          <w:rFonts w:hint="eastAsia" w:ascii="仿宋_GB2312" w:hAnsi="仿宋_GB2312" w:eastAsia="仿宋_GB2312" w:cs="仿宋_GB2312"/>
          <w:bCs/>
          <w:kern w:val="2"/>
          <w:sz w:val="32"/>
          <w:szCs w:val="32"/>
        </w:rPr>
        <w:t>此部分是提升参与采购活动工作人员工作积极性的关键，具体评价方式和内容可以纳入单位对个人考核评价的指标范畴，特别是归口管理部门负责政府采购工作的人员和业务需求部门联络政府采购的工作人员，要将推动政府采购工作情况作为重要考核依据。具体指标方面，对照部门考核指标，细化到个人指标）</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对在开展采购活动的过程中，出现的违法违纪违规问题，根据情节和危害后果，进行批评教育、组织处理、行政处分，移送纪检监察或者司法机关处理。</w:t>
      </w:r>
    </w:p>
    <w:p>
      <w:pPr>
        <w:spacing w:line="580" w:lineRule="exact"/>
        <w:ind w:firstLine="640" w:firstLineChars="200"/>
        <w:rPr>
          <w:rFonts w:hint="eastAsia" w:ascii="黑体" w:eastAsia="黑体" w:cs="黑体"/>
          <w:bCs/>
          <w:color w:val="000000"/>
        </w:rPr>
      </w:pPr>
      <w:r>
        <w:rPr>
          <w:rFonts w:hint="eastAsia" w:ascii="黑体" w:eastAsia="黑体" w:cs="黑体"/>
          <w:bCs/>
        </w:rPr>
        <w:t>十、</w:t>
      </w:r>
      <w:r>
        <w:rPr>
          <w:rFonts w:hint="eastAsia" w:ascii="黑体" w:eastAsia="黑体" w:cs="黑体"/>
          <w:bCs/>
          <w:color w:val="000000"/>
        </w:rPr>
        <w:t>其他要求</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（一）各部门应当根据本制度规定进一步细化完善本部门的内控制度机制，明确责任分工和决策程序，加强监督制约，规范权力运行，防范采购风险。</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（二）未纳入政府采购集中采购目录，单项或批量采购预算在政府采购限额以下的货物、服务和工程项目，由政府采购归口管理部门另行制定内部管理制度或者按照本单位非政府采购项目内部控制管理制度执行。</w:t>
      </w:r>
    </w:p>
    <w:p>
      <w:pPr>
        <w:pStyle w:val="6"/>
        <w:widowControl w:val="0"/>
        <w:spacing w:before="0" w:beforeAutospacing="0" w:after="0" w:afterAutospacing="0" w:line="580" w:lineRule="exact"/>
        <w:ind w:firstLine="641"/>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（三）归口管理部门将根据国家和我省政府采购法律规章制度的调整变动，及时更新完善本单位内控制度。</w:t>
      </w:r>
    </w:p>
    <w:p>
      <w:pPr>
        <w:spacing w:line="580" w:lineRule="exact"/>
        <w:rPr>
          <w:rFonts w:hint="eastAsia" w:eastAsia="仿宋"/>
          <w:bCs/>
        </w:rPr>
      </w:pPr>
    </w:p>
    <w:p>
      <w:pPr>
        <w:widowControl/>
        <w:spacing w:line="580" w:lineRule="exact"/>
        <w:jc w:val="left"/>
        <w:rPr>
          <w:rFonts w:hint="eastAsia"/>
        </w:rPr>
      </w:pPr>
    </w:p>
    <w:p>
      <w:pPr>
        <w:widowControl/>
        <w:spacing w:line="580" w:lineRule="exact"/>
        <w:jc w:val="left"/>
        <w:rPr>
          <w:rFonts w:hint="eastAsia" w:ascii="黑体" w:hAnsi="黑体" w:eastAsia="黑体" w:cs="仿宋_GB2312"/>
          <w:bCs/>
        </w:rPr>
      </w:pPr>
    </w:p>
    <w:p>
      <w:pPr>
        <w:widowControl/>
        <w:spacing w:line="580" w:lineRule="exact"/>
        <w:jc w:val="left"/>
        <w:rPr>
          <w:rFonts w:hint="eastAsia" w:ascii="黑体" w:hAnsi="黑体" w:eastAsia="黑体" w:cs="仿宋_GB2312"/>
          <w:bCs/>
        </w:rPr>
      </w:pPr>
    </w:p>
    <w:p>
      <w:pPr>
        <w:widowControl/>
        <w:spacing w:line="580" w:lineRule="exact"/>
        <w:jc w:val="left"/>
        <w:rPr>
          <w:rFonts w:hint="eastAsia" w:ascii="黑体" w:hAnsi="黑体" w:eastAsia="黑体" w:cs="仿宋_GB2312"/>
          <w:bCs/>
        </w:rPr>
      </w:pPr>
    </w:p>
    <w:p>
      <w:pPr>
        <w:widowControl/>
        <w:spacing w:line="580" w:lineRule="exact"/>
        <w:jc w:val="left"/>
        <w:rPr>
          <w:rFonts w:hint="eastAsia" w:ascii="黑体" w:hAnsi="黑体" w:eastAsia="黑体" w:cs="仿宋_GB2312"/>
          <w:bCs/>
        </w:rPr>
      </w:pPr>
    </w:p>
    <w:p>
      <w:pPr>
        <w:widowControl/>
        <w:spacing w:line="580" w:lineRule="exact"/>
        <w:jc w:val="left"/>
        <w:rPr>
          <w:rFonts w:hint="eastAsia" w:ascii="黑体" w:hAnsi="黑体" w:eastAsia="黑体" w:cs="仿宋_GB2312"/>
          <w:bCs/>
        </w:rPr>
      </w:pPr>
    </w:p>
    <w:p>
      <w:pPr>
        <w:rPr>
          <w:rFonts w:hint="eastAsia" w:ascii="黑体" w:hAnsi="黑体" w:eastAsia="黑体" w:cs="仿宋_GB2312"/>
          <w:bCs/>
        </w:rPr>
      </w:pPr>
      <w:r>
        <w:rPr>
          <w:rFonts w:hint="eastAsia" w:ascii="黑体" w:hAnsi="黑体" w:eastAsia="黑体" w:cs="仿宋_GB2312"/>
          <w:bCs/>
        </w:rPr>
        <w:br w:type="page"/>
      </w:r>
    </w:p>
    <w:p>
      <w:pPr>
        <w:widowControl/>
        <w:spacing w:line="580" w:lineRule="exact"/>
        <w:jc w:val="left"/>
        <w:rPr>
          <w:rFonts w:hint="eastAsia" w:ascii="黑体" w:hAnsi="黑体" w:eastAsia="黑体" w:cs="仿宋_GB2312"/>
          <w:bCs/>
        </w:rPr>
      </w:pPr>
      <w:r>
        <w:rPr>
          <w:rFonts w:hint="eastAsia" w:ascii="黑体" w:hAnsi="黑体" w:eastAsia="黑体" w:cs="仿宋_GB2312"/>
          <w:bCs/>
        </w:rPr>
        <w:t>附件2</w:t>
      </w:r>
    </w:p>
    <w:p>
      <w:pPr>
        <w:widowControl/>
        <w:spacing w:line="240" w:lineRule="exact"/>
        <w:jc w:val="left"/>
        <w:rPr>
          <w:rFonts w:hint="eastAsia" w:ascii="仿宋_GB2312" w:hAnsi="仿宋_GB2312" w:cs="仿宋_GB2312"/>
          <w:bCs/>
        </w:rPr>
      </w:pPr>
    </w:p>
    <w:p>
      <w:pPr>
        <w:spacing w:line="580" w:lineRule="exact"/>
        <w:jc w:val="center"/>
        <w:rPr>
          <w:rFonts w:hint="eastAsia" w:ascii="方正小标宋简体" w:eastAsia="方正小标宋简体"/>
          <w:bCs/>
          <w:color w:val="000000"/>
          <w:sz w:val="44"/>
          <w:szCs w:val="44"/>
        </w:rPr>
      </w:pPr>
      <w:r>
        <w:rPr>
          <w:rFonts w:hint="eastAsia" w:ascii="方正小标宋简体" w:eastAsia="方正小标宋简体"/>
          <w:bCs/>
          <w:color w:val="000000"/>
          <w:sz w:val="44"/>
          <w:szCs w:val="44"/>
          <w:lang w:eastAsia="zh-CN"/>
        </w:rPr>
        <w:t>新乡市本</w:t>
      </w:r>
      <w:r>
        <w:rPr>
          <w:rFonts w:hint="eastAsia" w:ascii="方正小标宋简体" w:eastAsia="方正小标宋简体"/>
          <w:bCs/>
          <w:color w:val="000000"/>
          <w:sz w:val="44"/>
          <w:szCs w:val="44"/>
        </w:rPr>
        <w:t>级</w:t>
      </w:r>
      <w:r>
        <w:rPr>
          <w:rFonts w:hint="eastAsia" w:ascii="方正小标宋简体" w:eastAsia="方正小标宋简体"/>
          <w:bCs/>
          <w:color w:val="000000"/>
          <w:sz w:val="44"/>
          <w:szCs w:val="44"/>
          <w:lang w:eastAsia="zh-CN"/>
        </w:rPr>
        <w:t>预算</w:t>
      </w:r>
      <w:r>
        <w:rPr>
          <w:rFonts w:hint="eastAsia" w:ascii="方正小标宋简体" w:eastAsia="方正小标宋简体"/>
          <w:bCs/>
          <w:color w:val="000000"/>
          <w:sz w:val="44"/>
          <w:szCs w:val="44"/>
        </w:rPr>
        <w:t>单位政府采购内控管理</w:t>
      </w:r>
    </w:p>
    <w:p>
      <w:pPr>
        <w:spacing w:line="580" w:lineRule="exact"/>
        <w:jc w:val="center"/>
        <w:rPr>
          <w:rFonts w:hint="eastAsia" w:ascii="方正小标宋简体" w:eastAsia="方正小标宋简体"/>
          <w:bCs/>
          <w:color w:val="000000"/>
          <w:sz w:val="44"/>
          <w:szCs w:val="44"/>
        </w:rPr>
      </w:pPr>
      <w:r>
        <w:rPr>
          <w:rFonts w:hint="eastAsia" w:ascii="方正小标宋简体" w:eastAsia="方正小标宋简体"/>
          <w:bCs/>
          <w:color w:val="000000"/>
          <w:sz w:val="44"/>
          <w:szCs w:val="44"/>
        </w:rPr>
        <w:t>制度</w:t>
      </w:r>
      <w:r>
        <w:rPr>
          <w:rFonts w:hint="eastAsia" w:ascii="方正小标宋简体" w:eastAsia="方正小标宋简体"/>
          <w:bCs/>
          <w:color w:val="000000"/>
          <w:sz w:val="44"/>
          <w:szCs w:val="44"/>
          <w:lang w:eastAsia="zh-CN"/>
        </w:rPr>
        <w:t>（范本）</w:t>
      </w:r>
      <w:r>
        <w:rPr>
          <w:rFonts w:hint="eastAsia" w:ascii="方正小标宋简体" w:eastAsia="方正小标宋简体"/>
          <w:bCs/>
          <w:color w:val="000000"/>
          <w:sz w:val="44"/>
          <w:szCs w:val="44"/>
        </w:rPr>
        <w:t>使用说明</w:t>
      </w:r>
    </w:p>
    <w:p>
      <w:pPr>
        <w:widowControl/>
        <w:spacing w:line="580" w:lineRule="exact"/>
        <w:jc w:val="left"/>
        <w:rPr>
          <w:sz w:val="20"/>
          <w:szCs w:val="20"/>
        </w:rPr>
      </w:pPr>
    </w:p>
    <w:p>
      <w:pPr>
        <w:spacing w:line="580" w:lineRule="exact"/>
        <w:jc w:val="left"/>
        <w:rPr>
          <w:rFonts w:ascii="仿宋_GB2312"/>
          <w:bCs/>
          <w:color w:val="000000"/>
        </w:rPr>
      </w:pPr>
      <w:r>
        <w:rPr>
          <w:rFonts w:hint="eastAsia" w:ascii="方正小标宋简体" w:eastAsia="方正小标宋简体"/>
          <w:bCs/>
          <w:color w:val="000000"/>
          <w:sz w:val="44"/>
          <w:szCs w:val="44"/>
        </w:rPr>
        <w:t xml:space="preserve">   </w:t>
      </w:r>
      <w:r>
        <w:rPr>
          <w:rFonts w:hint="eastAsia" w:ascii="仿宋_GB2312"/>
          <w:bCs/>
          <w:color w:val="000000"/>
        </w:rPr>
        <w:t>为便于各</w:t>
      </w:r>
      <w:r>
        <w:rPr>
          <w:rFonts w:hint="eastAsia" w:ascii="仿宋_GB2312"/>
          <w:bCs/>
          <w:color w:val="000000"/>
          <w:lang w:eastAsia="zh-CN"/>
        </w:rPr>
        <w:t>市级</w:t>
      </w:r>
      <w:r>
        <w:rPr>
          <w:rFonts w:hint="eastAsia" w:ascii="仿宋_GB2312"/>
          <w:bCs/>
          <w:color w:val="000000"/>
        </w:rPr>
        <w:t>单位合理运用《</w:t>
      </w:r>
      <w:r>
        <w:rPr>
          <w:rFonts w:hint="eastAsia" w:ascii="仿宋_GB2312"/>
          <w:bCs/>
          <w:color w:val="000000"/>
          <w:lang w:eastAsia="zh-CN"/>
        </w:rPr>
        <w:t>新乡市本</w:t>
      </w:r>
      <w:r>
        <w:rPr>
          <w:rFonts w:hint="eastAsia" w:ascii="仿宋_GB2312"/>
          <w:bCs/>
          <w:color w:val="000000"/>
        </w:rPr>
        <w:t>级</w:t>
      </w:r>
      <w:r>
        <w:rPr>
          <w:rFonts w:hint="eastAsia" w:ascii="仿宋_GB2312"/>
          <w:bCs/>
          <w:color w:val="000000"/>
          <w:lang w:eastAsia="zh-CN"/>
        </w:rPr>
        <w:t>预算</w:t>
      </w:r>
      <w:r>
        <w:rPr>
          <w:rFonts w:hint="eastAsia" w:ascii="仿宋_GB2312"/>
          <w:bCs/>
          <w:color w:val="000000"/>
        </w:rPr>
        <w:t>单位政府采购内控管理制度</w:t>
      </w:r>
      <w:r>
        <w:rPr>
          <w:rFonts w:hint="eastAsia" w:ascii="仿宋_GB2312"/>
          <w:bCs/>
          <w:color w:val="000000"/>
          <w:lang w:eastAsia="zh-CN"/>
        </w:rPr>
        <w:t>（范本）</w:t>
      </w:r>
      <w:r>
        <w:rPr>
          <w:rFonts w:hint="eastAsia" w:ascii="仿宋_GB2312"/>
          <w:bCs/>
          <w:color w:val="000000"/>
        </w:rPr>
        <w:t>》（以下简称《范本》），健全完善本单位政府采购内控管理制度，现就《范本》有关使用要求说明如下。</w:t>
      </w:r>
    </w:p>
    <w:p>
      <w:pPr>
        <w:spacing w:line="580" w:lineRule="exact"/>
        <w:ind w:firstLine="630"/>
        <w:jc w:val="left"/>
        <w:rPr>
          <w:rFonts w:hint="eastAsia" w:ascii="仿宋_GB2312"/>
          <w:bCs/>
          <w:color w:val="000000"/>
        </w:rPr>
      </w:pPr>
      <w:r>
        <w:rPr>
          <w:rFonts w:hint="eastAsia" w:ascii="仿宋_GB2312"/>
          <w:bCs/>
          <w:color w:val="000000"/>
        </w:rPr>
        <w:t>一、《范本》是用于指导</w:t>
      </w:r>
      <w:r>
        <w:rPr>
          <w:rFonts w:hint="eastAsia" w:ascii="仿宋_GB2312"/>
          <w:bCs/>
          <w:color w:val="000000"/>
          <w:lang w:eastAsia="zh-CN"/>
        </w:rPr>
        <w:t>市本级</w:t>
      </w:r>
      <w:r>
        <w:rPr>
          <w:rFonts w:hint="eastAsia" w:ascii="仿宋_GB2312"/>
          <w:bCs/>
          <w:color w:val="000000"/>
        </w:rPr>
        <w:t>单位加强政府采购内控管理，仅供各</w:t>
      </w:r>
      <w:r>
        <w:rPr>
          <w:rFonts w:hint="eastAsia" w:ascii="仿宋_GB2312"/>
          <w:bCs/>
          <w:color w:val="000000"/>
          <w:lang w:eastAsia="zh-CN"/>
        </w:rPr>
        <w:t>市本级</w:t>
      </w:r>
      <w:r>
        <w:rPr>
          <w:rFonts w:hint="eastAsia" w:ascii="仿宋_GB2312"/>
          <w:bCs/>
          <w:color w:val="000000"/>
        </w:rPr>
        <w:t>单位参考使用，不作为监督检查考核依据。</w:t>
      </w:r>
    </w:p>
    <w:p>
      <w:pPr>
        <w:spacing w:line="580" w:lineRule="exact"/>
        <w:ind w:firstLine="630"/>
        <w:jc w:val="left"/>
        <w:rPr>
          <w:rFonts w:ascii="仿宋_GB2312"/>
          <w:bCs/>
          <w:color w:val="000000"/>
        </w:rPr>
      </w:pPr>
      <w:r>
        <w:rPr>
          <w:rFonts w:hint="eastAsia" w:ascii="仿宋_GB2312"/>
          <w:bCs/>
          <w:color w:val="000000"/>
        </w:rPr>
        <w:t>二、《范本》中括号内“提示”内容是对相关事项的解释说明、执行建议或者需要具体细化的要求，目的是帮助</w:t>
      </w:r>
      <w:r>
        <w:rPr>
          <w:rFonts w:hint="eastAsia" w:ascii="仿宋_GB2312"/>
          <w:bCs/>
          <w:color w:val="000000"/>
          <w:lang w:eastAsia="zh-CN"/>
        </w:rPr>
        <w:t>市本级</w:t>
      </w:r>
      <w:r>
        <w:rPr>
          <w:rFonts w:hint="eastAsia" w:ascii="仿宋_GB2312"/>
          <w:bCs/>
          <w:color w:val="000000"/>
        </w:rPr>
        <w:t>单位更好的理解和把握相关制度要求，对应细化内控管理措施，编制内控制度执行。</w:t>
      </w:r>
    </w:p>
    <w:p>
      <w:pPr>
        <w:spacing w:line="580" w:lineRule="exact"/>
        <w:ind w:firstLine="630"/>
        <w:jc w:val="left"/>
        <w:rPr>
          <w:rFonts w:ascii="仿宋_GB2312"/>
          <w:bCs/>
          <w:color w:val="000000"/>
        </w:rPr>
      </w:pPr>
      <w:r>
        <w:rPr>
          <w:rFonts w:hint="eastAsia" w:ascii="仿宋_GB2312"/>
          <w:bCs/>
          <w:color w:val="000000"/>
        </w:rPr>
        <w:t>三、《范本》第四条组织架构及责任分工。一是各单位可根据内设机构及职责情况，对内设部门在政府采购活动中的职责分工作相应的调整、增加或者细化，不建议</w:t>
      </w:r>
      <w:r>
        <w:rPr>
          <w:rFonts w:hint="eastAsia" w:ascii="仿宋_GB2312"/>
          <w:bCs/>
          <w:color w:val="000000"/>
          <w:lang w:eastAsia="zh-CN"/>
        </w:rPr>
        <w:t>随便</w:t>
      </w:r>
      <w:r>
        <w:rPr>
          <w:rFonts w:hint="eastAsia" w:ascii="仿宋_GB2312"/>
          <w:bCs/>
          <w:color w:val="000000"/>
        </w:rPr>
        <w:t>删除相关职责；二是归口管理部门是本单位政府采购工作的牵头组织部门，负责本单位采购人主体责任的落实，对内控制度中没有明确的职责，由归口管理部门负责。</w:t>
      </w:r>
    </w:p>
    <w:p>
      <w:pPr>
        <w:spacing w:line="580" w:lineRule="exact"/>
        <w:ind w:firstLine="630"/>
        <w:jc w:val="left"/>
        <w:rPr>
          <w:rFonts w:hint="eastAsia" w:ascii="仿宋_GB2312" w:eastAsia="仿宋_GB2312"/>
          <w:bCs/>
          <w:color w:val="000000"/>
          <w:lang w:eastAsia="zh-CN"/>
        </w:rPr>
      </w:pPr>
      <w:r>
        <w:rPr>
          <w:rFonts w:hint="eastAsia" w:ascii="仿宋_GB2312"/>
          <w:bCs/>
          <w:color w:val="000000"/>
        </w:rPr>
        <w:t>四、《范本》第五条内部决策流程中，在实际操作过程中，各单位结合实际需要，在满足内部控制、规范权力运行的基础上，同时要兼顾效率，区分不同的决策事项明确对应的决策程序。</w:t>
      </w:r>
      <w:r>
        <w:rPr>
          <w:rFonts w:hint="eastAsia" w:ascii="仿宋_GB2312"/>
          <w:bCs/>
          <w:color w:val="000000"/>
          <w:lang w:eastAsia="zh-CN"/>
        </w:rPr>
        <w:t>按照优化营商环境要求，要尽可能压缩内部办理时限。</w:t>
      </w:r>
    </w:p>
    <w:p>
      <w:pPr>
        <w:spacing w:line="580" w:lineRule="exact"/>
        <w:ind w:firstLine="630"/>
        <w:jc w:val="left"/>
        <w:rPr>
          <w:rFonts w:ascii="仿宋_GB2312"/>
          <w:bCs/>
          <w:color w:val="000000"/>
        </w:rPr>
      </w:pPr>
      <w:r>
        <w:rPr>
          <w:rFonts w:hint="eastAsia" w:ascii="仿宋_GB2312"/>
          <w:bCs/>
          <w:color w:val="000000"/>
        </w:rPr>
        <w:t>五、《范本》第六条岗位设置及风险控制要求中，各单位要督促内设相关部门根据不同的采购事项、采购环节，确定部门内部岗位职责、岗位风险及风险防控要求。</w:t>
      </w:r>
    </w:p>
    <w:p>
      <w:pPr>
        <w:spacing w:line="580" w:lineRule="exact"/>
        <w:ind w:firstLine="630"/>
        <w:jc w:val="left"/>
        <w:rPr>
          <w:rFonts w:ascii="仿宋_GB2312"/>
          <w:bCs/>
          <w:color w:val="000000"/>
        </w:rPr>
      </w:pPr>
      <w:r>
        <w:rPr>
          <w:rFonts w:hint="eastAsia" w:ascii="仿宋_GB2312"/>
          <w:bCs/>
          <w:color w:val="000000"/>
        </w:rPr>
        <w:t>六、《范本》第七条采购流程及要求。一是此部分包含了采购人主要的主体责任，是按照采购人委托采购代理机构代理采购的职责和流程进行划分，如</w:t>
      </w:r>
      <w:r>
        <w:rPr>
          <w:rFonts w:hint="eastAsia" w:ascii="仿宋_GB2312"/>
          <w:bCs/>
          <w:color w:val="000000"/>
          <w:lang w:eastAsia="zh-CN"/>
        </w:rPr>
        <w:t>市级</w:t>
      </w:r>
      <w:r>
        <w:rPr>
          <w:rFonts w:hint="eastAsia" w:ascii="仿宋_GB2312"/>
          <w:bCs/>
          <w:color w:val="000000"/>
        </w:rPr>
        <w:t>单位自行组织本单位分散采购项目的政府采购活动，其中涉及采购代理机构承办的业务均由本单位自行组织实施；二是</w:t>
      </w:r>
      <w:r>
        <w:rPr>
          <w:rFonts w:hint="eastAsia" w:ascii="仿宋_GB2312"/>
          <w:bCs/>
          <w:color w:val="000000"/>
          <w:lang w:eastAsia="zh-CN"/>
        </w:rPr>
        <w:t>市本级</w:t>
      </w:r>
      <w:r>
        <w:rPr>
          <w:rFonts w:hint="eastAsia" w:ascii="仿宋_GB2312"/>
          <w:bCs/>
          <w:color w:val="000000"/>
        </w:rPr>
        <w:t>单位要结合本单位实际，明确每个流程环节办理的时限要求，特别是政府采购法律规章制度对采购人有明确时限要求的事项，要明确责任人和办理时限要求</w:t>
      </w:r>
      <w:r>
        <w:rPr>
          <w:rFonts w:hint="eastAsia" w:ascii="仿宋_GB2312"/>
          <w:bCs/>
          <w:color w:val="000000"/>
          <w:lang w:eastAsia="zh-CN"/>
        </w:rPr>
        <w:t>，务必提高采购效率</w:t>
      </w:r>
      <w:r>
        <w:rPr>
          <w:rFonts w:hint="eastAsia" w:ascii="仿宋_GB2312"/>
          <w:bCs/>
          <w:color w:val="000000"/>
        </w:rPr>
        <w:t>。</w:t>
      </w:r>
    </w:p>
    <w:p>
      <w:pPr>
        <w:spacing w:line="580" w:lineRule="exact"/>
        <w:ind w:firstLine="640" w:firstLineChars="200"/>
        <w:rPr>
          <w:rFonts w:hint="eastAsia" w:ascii="仿宋_GB2312"/>
          <w:bCs/>
          <w:color w:val="000000"/>
        </w:rPr>
      </w:pPr>
      <w:r>
        <w:rPr>
          <w:rFonts w:hint="eastAsia" w:ascii="仿宋_GB2312"/>
          <w:bCs/>
          <w:color w:val="000000"/>
        </w:rPr>
        <w:t>七、各</w:t>
      </w:r>
      <w:r>
        <w:rPr>
          <w:rFonts w:hint="eastAsia" w:ascii="仿宋_GB2312"/>
          <w:bCs/>
          <w:color w:val="000000"/>
          <w:lang w:eastAsia="zh-CN"/>
        </w:rPr>
        <w:t>市本级预算</w:t>
      </w:r>
      <w:r>
        <w:rPr>
          <w:rFonts w:hint="eastAsia" w:ascii="仿宋_GB2312"/>
          <w:bCs/>
          <w:color w:val="000000"/>
        </w:rPr>
        <w:t>单位可以结合本单位实际，加强标准化建设，对于常年采购的项目，制定标准化的采购需求和采购实施计划，在以后年度采购过程中，仅就发生调整的内容进行审核、决策。制定标准化的表格、流程图和操作说明，提升内控制度执行的便利性和规范性，具备条件的，还可以运用信息化手段将内控管理要求和规则融入到单位移动办公平台或者内控管理系统中去，明确责任分工，强化系统规则控制和预警提示。</w:t>
      </w:r>
    </w:p>
    <w:p>
      <w:pPr>
        <w:rPr>
          <w:rFonts w:hint="eastAsia" w:ascii="仿宋_GB2312"/>
          <w:bCs/>
          <w:color w:val="000000"/>
        </w:rPr>
      </w:pPr>
      <w:r>
        <w:rPr>
          <w:rFonts w:hint="eastAsia" w:ascii="仿宋_GB2312"/>
          <w:bCs/>
          <w:color w:val="000000"/>
        </w:rPr>
        <w:br w:type="page"/>
      </w:r>
    </w:p>
    <w:p>
      <w:pPr>
        <w:rPr>
          <w:rFonts w:hint="eastAsia" w:ascii="黑体" w:hAnsi="黑体" w:eastAsia="黑体" w:cs="宋体"/>
          <w:sz w:val="32"/>
          <w:szCs w:val="32"/>
          <w:lang w:eastAsia="zh-CN"/>
        </w:rPr>
      </w:pPr>
      <w:r>
        <w:rPr>
          <w:rFonts w:hint="eastAsia" w:ascii="黑体" w:hAnsi="黑体" w:eastAsia="黑体" w:cs="宋体"/>
          <w:sz w:val="32"/>
          <w:szCs w:val="32"/>
        </w:rPr>
        <w:t>附件</w:t>
      </w:r>
      <w:r>
        <w:rPr>
          <w:rFonts w:hint="eastAsia" w:ascii="黑体" w:hAnsi="黑体" w:eastAsia="黑体" w:cs="宋体"/>
          <w:sz w:val="32"/>
          <w:szCs w:val="32"/>
          <w:lang w:val="en-US" w:eastAsia="zh-CN"/>
        </w:rPr>
        <w:t>3</w:t>
      </w:r>
    </w:p>
    <w:p>
      <w:pPr>
        <w:jc w:val="center"/>
        <w:rPr>
          <w:rFonts w:ascii="方正小标宋简体" w:hAnsi="方正小标宋简体" w:eastAsia="方正小标宋简体" w:cs="宋体"/>
          <w:sz w:val="44"/>
          <w:szCs w:val="44"/>
          <w:u w:val="single"/>
        </w:rPr>
      </w:pPr>
    </w:p>
    <w:p>
      <w:pPr>
        <w:jc w:val="center"/>
        <w:rPr>
          <w:rFonts w:ascii="方正小标宋简体" w:hAnsi="方正小标宋简体" w:eastAsia="方正小标宋简体" w:cs="宋体"/>
          <w:sz w:val="72"/>
          <w:szCs w:val="44"/>
        </w:rPr>
      </w:pPr>
      <w:r>
        <w:rPr>
          <w:rFonts w:hint="eastAsia" w:ascii="方正小标宋简体" w:hAnsi="方正小标宋简体" w:eastAsia="方正小标宋简体" w:cs="宋体"/>
          <w:sz w:val="72"/>
          <w:szCs w:val="44"/>
        </w:rPr>
        <w:t>政府采购项目</w:t>
      </w:r>
    </w:p>
    <w:p>
      <w:pPr>
        <w:jc w:val="center"/>
        <w:rPr>
          <w:rFonts w:hint="eastAsia" w:ascii="方正小标宋简体" w:hAnsi="方正小标宋简体" w:eastAsia="方正小标宋简体" w:cs="宋体"/>
          <w:sz w:val="72"/>
          <w:szCs w:val="44"/>
        </w:rPr>
      </w:pPr>
      <w:r>
        <w:rPr>
          <w:rFonts w:hint="eastAsia" w:ascii="方正小标宋简体" w:hAnsi="方正小标宋简体" w:eastAsia="方正小标宋简体" w:cs="宋体"/>
          <w:sz w:val="72"/>
          <w:szCs w:val="44"/>
        </w:rPr>
        <w:t>采 购 需 求</w:t>
      </w:r>
    </w:p>
    <w:p>
      <w:pPr>
        <w:jc w:val="center"/>
        <w:rPr>
          <w:rFonts w:hint="eastAsia" w:ascii="方正小标宋简体" w:hAnsi="方正小标宋简体" w:eastAsia="方正小标宋简体" w:cs="宋体"/>
          <w:sz w:val="72"/>
          <w:szCs w:val="44"/>
        </w:rPr>
      </w:pPr>
    </w:p>
    <w:p>
      <w:pPr>
        <w:jc w:val="center"/>
        <w:rPr>
          <w:rFonts w:hint="eastAsia" w:ascii="方正小标宋简体" w:hAnsi="方正小标宋简体" w:eastAsia="方正小标宋简体" w:cs="宋体"/>
          <w:sz w:val="72"/>
          <w:szCs w:val="44"/>
        </w:rPr>
      </w:pPr>
    </w:p>
    <w:p>
      <w:pPr>
        <w:jc w:val="center"/>
        <w:rPr>
          <w:rFonts w:ascii="方正小标宋简体" w:hAnsi="方正小标宋简体" w:eastAsia="方正小标宋简体"/>
          <w:sz w:val="44"/>
          <w:szCs w:val="44"/>
        </w:rPr>
      </w:pPr>
    </w:p>
    <w:p>
      <w:pPr>
        <w:ind w:firstLine="1440" w:firstLineChars="450"/>
        <w:rPr>
          <w:rFonts w:ascii="方正小标宋简体" w:hAnsi="方正小标宋简体" w:eastAsia="方正小标宋简体"/>
          <w:sz w:val="32"/>
          <w:szCs w:val="32"/>
          <w:u w:val="single"/>
        </w:rPr>
      </w:pPr>
      <w:r>
        <w:rPr>
          <w:rFonts w:ascii="方正小标宋简体" w:hAnsi="方正小标宋简体" w:eastAsia="方正小标宋简体"/>
          <w:sz w:val="32"/>
          <w:szCs w:val="32"/>
        </w:rPr>
        <w:t>项目名称</w:t>
      </w:r>
      <w:r>
        <w:rPr>
          <w:rFonts w:hint="eastAsia" w:ascii="方正小标宋简体" w:hAnsi="方正小标宋简体" w:eastAsia="方正小标宋简体"/>
          <w:sz w:val="32"/>
          <w:szCs w:val="32"/>
        </w:rPr>
        <w:t>：</w:t>
      </w:r>
      <w:r>
        <w:rPr>
          <w:rFonts w:hint="eastAsia" w:ascii="方正小标宋简体" w:hAnsi="方正小标宋简体" w:eastAsia="方正小标宋简体"/>
          <w:sz w:val="32"/>
          <w:szCs w:val="32"/>
          <w:u w:val="single"/>
        </w:rPr>
        <w:t xml:space="preserve">                     </w:t>
      </w:r>
    </w:p>
    <w:p>
      <w:pPr>
        <w:ind w:firstLine="1440" w:firstLineChars="450"/>
        <w:rPr>
          <w:rFonts w:ascii="方正小标宋简体" w:hAnsi="方正小标宋简体" w:eastAsia="方正小标宋简体"/>
          <w:sz w:val="32"/>
          <w:szCs w:val="32"/>
          <w:u w:val="single"/>
        </w:rPr>
      </w:pPr>
      <w:r>
        <w:rPr>
          <w:rFonts w:hint="eastAsia" w:ascii="方正小标宋简体" w:hAnsi="方正小标宋简体" w:eastAsia="方正小标宋简体"/>
          <w:sz w:val="32"/>
          <w:szCs w:val="32"/>
        </w:rPr>
        <w:t>采购单位：</w:t>
      </w:r>
      <w:r>
        <w:rPr>
          <w:rFonts w:hint="eastAsia" w:ascii="方正小标宋简体" w:hAnsi="方正小标宋简体" w:eastAsia="方正小标宋简体"/>
          <w:sz w:val="32"/>
          <w:szCs w:val="32"/>
          <w:u w:val="single"/>
        </w:rPr>
        <w:t xml:space="preserve">                     </w:t>
      </w:r>
    </w:p>
    <w:p>
      <w:pPr>
        <w:ind w:firstLine="1440" w:firstLineChars="450"/>
        <w:rPr>
          <w:rFonts w:ascii="方正小标宋简体" w:hAnsi="方正小标宋简体" w:eastAsia="方正小标宋简体"/>
          <w:sz w:val="32"/>
          <w:szCs w:val="32"/>
          <w:u w:val="single"/>
        </w:rPr>
      </w:pPr>
      <w:r>
        <w:rPr>
          <w:rFonts w:hint="eastAsia" w:ascii="方正小标宋简体" w:hAnsi="方正小标宋简体" w:eastAsia="方正小标宋简体"/>
          <w:sz w:val="32"/>
          <w:szCs w:val="32"/>
        </w:rPr>
        <w:t>编制单位：</w:t>
      </w:r>
      <w:r>
        <w:rPr>
          <w:rFonts w:hint="eastAsia" w:ascii="方正小标宋简体" w:hAnsi="方正小标宋简体" w:eastAsia="方正小标宋简体"/>
          <w:sz w:val="32"/>
          <w:szCs w:val="32"/>
          <w:u w:val="single"/>
        </w:rPr>
        <w:t xml:space="preserve">                     </w:t>
      </w:r>
    </w:p>
    <w:p>
      <w:pPr>
        <w:ind w:firstLine="1440" w:firstLineChars="450"/>
        <w:rPr>
          <w:rFonts w:ascii="方正小标宋简体" w:hAnsi="方正小标宋简体" w:eastAsia="方正小标宋简体"/>
          <w:sz w:val="32"/>
          <w:szCs w:val="32"/>
          <w:u w:val="single"/>
        </w:rPr>
      </w:pPr>
      <w:r>
        <w:rPr>
          <w:rFonts w:hint="eastAsia" w:ascii="方正小标宋简体" w:hAnsi="方正小标宋简体" w:eastAsia="方正小标宋简体"/>
          <w:sz w:val="32"/>
          <w:szCs w:val="32"/>
        </w:rPr>
        <w:t>编制时间：</w:t>
      </w:r>
      <w:r>
        <w:rPr>
          <w:rFonts w:hint="eastAsia" w:ascii="方正小标宋简体" w:hAnsi="方正小标宋简体" w:eastAsia="方正小标宋简体"/>
          <w:sz w:val="32"/>
          <w:szCs w:val="32"/>
          <w:u w:val="single"/>
        </w:rPr>
        <w:t xml:space="preserve">                     </w:t>
      </w: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sectPr>
          <w:footerReference r:id="rId3" w:type="default"/>
          <w:footerReference r:id="rId4" w:type="even"/>
          <w:pgSz w:w="11906" w:h="16838"/>
          <w:pgMar w:top="1440" w:right="1531" w:bottom="1440" w:left="1587" w:header="851" w:footer="992" w:gutter="0"/>
          <w:pgNumType w:fmt="decimal" w:start="1"/>
          <w:cols w:space="720" w:num="1"/>
          <w:docGrid w:type="lines" w:linePitch="312" w:charSpace="0"/>
        </w:sectPr>
      </w:pP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 xml:space="preserve">编 制 </w:t>
      </w:r>
      <w:r>
        <w:rPr>
          <w:rFonts w:ascii="方正小标宋简体" w:hAnsi="方正小标宋简体" w:eastAsia="方正小标宋简体"/>
          <w:sz w:val="44"/>
          <w:szCs w:val="44"/>
        </w:rPr>
        <w:t>说</w:t>
      </w:r>
      <w:r>
        <w:rPr>
          <w:rFonts w:hint="eastAsia" w:ascii="方正小标宋简体" w:hAnsi="方正小标宋简体" w:eastAsia="方正小标宋简体"/>
          <w:sz w:val="44"/>
          <w:szCs w:val="44"/>
        </w:rPr>
        <w:t xml:space="preserve"> </w:t>
      </w:r>
      <w:r>
        <w:rPr>
          <w:rFonts w:ascii="方正小标宋简体" w:hAnsi="方正小标宋简体" w:eastAsia="方正小标宋简体"/>
          <w:sz w:val="44"/>
          <w:szCs w:val="44"/>
        </w:rPr>
        <w:t>明</w:t>
      </w:r>
    </w:p>
    <w:p>
      <w:pPr>
        <w:spacing w:line="560" w:lineRule="exact"/>
        <w:ind w:firstLine="640" w:firstLineChars="200"/>
        <w:rPr>
          <w:rFonts w:ascii="仿宋" w:hAnsi="仿宋" w:eastAsia="仿宋"/>
          <w:sz w:val="32"/>
          <w:szCs w:val="32"/>
        </w:rPr>
      </w:pPr>
    </w:p>
    <w:p>
      <w:pPr>
        <w:spacing w:line="560" w:lineRule="exact"/>
        <w:ind w:firstLine="640" w:firstLineChars="200"/>
        <w:rPr>
          <w:rFonts w:hint="eastAsia" w:ascii="仿宋_GB2312" w:hAnsi="仿宋" w:eastAsia="仿宋_GB2312"/>
          <w:sz w:val="32"/>
          <w:szCs w:val="32"/>
        </w:rPr>
      </w:pPr>
      <w:r>
        <w:rPr>
          <w:rFonts w:hint="eastAsia" w:ascii="黑体" w:hAnsi="仿宋" w:eastAsia="黑体"/>
          <w:sz w:val="32"/>
          <w:szCs w:val="32"/>
        </w:rPr>
        <w:t>一、</w:t>
      </w:r>
      <w:r>
        <w:rPr>
          <w:rFonts w:hint="eastAsia" w:ascii="仿宋_GB2312" w:hAnsi="仿宋" w:eastAsia="仿宋_GB2312"/>
          <w:sz w:val="32"/>
          <w:szCs w:val="32"/>
        </w:rPr>
        <w:t>采购单位可以自行组织编制采购需求，也可以委托采购代理机构或者其他第三方机构编制。</w:t>
      </w:r>
    </w:p>
    <w:p>
      <w:pPr>
        <w:spacing w:line="560" w:lineRule="exact"/>
        <w:ind w:firstLine="640" w:firstLineChars="200"/>
        <w:rPr>
          <w:rFonts w:hint="eastAsia" w:ascii="仿宋_GB2312" w:hAnsi="仿宋" w:eastAsia="仿宋_GB2312"/>
          <w:sz w:val="32"/>
          <w:szCs w:val="32"/>
        </w:rPr>
      </w:pPr>
      <w:r>
        <w:rPr>
          <w:rFonts w:hint="eastAsia" w:ascii="黑体" w:hAnsi="仿宋" w:eastAsia="黑体"/>
          <w:sz w:val="32"/>
          <w:szCs w:val="32"/>
        </w:rPr>
        <w:t>二、</w:t>
      </w:r>
      <w:r>
        <w:rPr>
          <w:rFonts w:hint="eastAsia" w:ascii="仿宋_GB2312" w:hAnsi="仿宋" w:eastAsia="仿宋_GB2312"/>
          <w:sz w:val="32"/>
          <w:szCs w:val="32"/>
        </w:rPr>
        <w:t>编制的采购需求应当符合《财政部关于印发政府采购需求管理办法的通知》（财库〔2021〕22号）要求及政府采购的相关规定。</w:t>
      </w:r>
    </w:p>
    <w:p>
      <w:pPr>
        <w:spacing w:line="560" w:lineRule="exact"/>
        <w:ind w:firstLine="640" w:firstLineChars="200"/>
        <w:rPr>
          <w:rFonts w:hint="eastAsia" w:ascii="仿宋_GB2312" w:hAnsi="仿宋" w:eastAsia="仿宋_GB2312"/>
          <w:sz w:val="32"/>
          <w:szCs w:val="32"/>
        </w:rPr>
      </w:pPr>
      <w:r>
        <w:rPr>
          <w:rFonts w:hint="eastAsia" w:ascii="黑体" w:hAnsi="仿宋" w:eastAsia="黑体"/>
          <w:sz w:val="32"/>
          <w:szCs w:val="32"/>
        </w:rPr>
        <w:t>三、</w:t>
      </w:r>
      <w:r>
        <w:rPr>
          <w:rFonts w:hint="eastAsia" w:ascii="仿宋_GB2312" w:hAnsi="仿宋" w:eastAsia="仿宋_GB2312"/>
          <w:sz w:val="32"/>
          <w:szCs w:val="32"/>
        </w:rPr>
        <w:t>斜体字部分属于提醒内容，编制时应删除。</w:t>
      </w:r>
    </w:p>
    <w:p>
      <w:pPr>
        <w:spacing w:line="560" w:lineRule="exact"/>
        <w:ind w:firstLine="640" w:firstLineChars="200"/>
        <w:rPr>
          <w:rFonts w:hint="eastAsia" w:ascii="仿宋_GB2312" w:hAnsi="仿宋" w:eastAsia="仿宋_GB2312"/>
          <w:sz w:val="32"/>
          <w:szCs w:val="32"/>
        </w:rPr>
      </w:pPr>
      <w:r>
        <w:rPr>
          <w:rFonts w:hint="eastAsia" w:ascii="黑体" w:hAnsi="仿宋" w:eastAsia="黑体"/>
          <w:sz w:val="32"/>
          <w:szCs w:val="32"/>
        </w:rPr>
        <w:t>四、</w:t>
      </w:r>
      <w:r>
        <w:rPr>
          <w:rFonts w:hint="eastAsia" w:ascii="仿宋_GB2312" w:hAnsi="仿宋" w:eastAsia="仿宋_GB2312"/>
          <w:sz w:val="32"/>
          <w:szCs w:val="32"/>
        </w:rPr>
        <w:t>对不适用的内容应删除，并调整相应序号。</w:t>
      </w:r>
    </w:p>
    <w:p>
      <w:pPr>
        <w:spacing w:line="560" w:lineRule="exact"/>
        <w:rPr>
          <w:rFonts w:hint="eastAsia" w:ascii="仿宋_GB2312" w:hAnsi="Calibri" w:eastAsia="仿宋_GB2312"/>
          <w:sz w:val="32"/>
          <w:szCs w:val="32"/>
        </w:rPr>
        <w:sectPr>
          <w:footerReference r:id="rId5" w:type="default"/>
          <w:pgSz w:w="11906" w:h="16838"/>
          <w:pgMar w:top="1440" w:right="1800" w:bottom="1440" w:left="1800" w:header="851" w:footer="992" w:gutter="0"/>
          <w:pgNumType w:fmt="decimal"/>
          <w:cols w:space="720" w:num="1"/>
          <w:docGrid w:type="lines" w:linePitch="312" w:charSpace="0"/>
        </w:sectPr>
      </w:pP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一、需求调查情况</w:t>
      </w:r>
    </w:p>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属于《政府采购需求管理办法》第十一条规定情形的，应当填写本部分。</w:t>
      </w:r>
    </w:p>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第十一条  对于下列采购项目，应当开展需求调查：</w:t>
      </w:r>
    </w:p>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（一）1000万元以上的货物、服务采购项目，3000万元以上的工程采购项目；</w:t>
      </w:r>
    </w:p>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（二）涉及公共利益、社会关注度较高的采购项目，包括政府向社会公众提供的公共服务项目等；</w:t>
      </w:r>
    </w:p>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（三）技术复杂、专业性较强的项目，包括需定制开发的信息化建设项目、采购进口产品的项目等；</w:t>
      </w:r>
    </w:p>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（四）主管预算单位或者采购人认为需要开展需求调查的其他采购项目。</w:t>
      </w: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（一）是否开展需求调查</w:t>
      </w:r>
    </w:p>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对于应当开展需求调查的项目，但不开展需求调查的，应在此处写明不开展的具体原因。</w:t>
      </w:r>
    </w:p>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编制采购需求前一年内，采购人已就相关采购标的开展过需求调查的可以不再重复开展。</w:t>
      </w:r>
    </w:p>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按照法律法规的规定，对采购项目开展可行性研究等前期工作，已包含《政府采购需求管理办法》规定的需求调查内容的，可以不再重复调查；对在可行性研究等前期工作中未涉及的部分，应当按照《政府采购需求管理办法》的规定开展需求调查。</w:t>
      </w: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（二）需求调查方式</w:t>
      </w:r>
    </w:p>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咨询、论证、问卷调查等方式。</w:t>
      </w: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（三）需求调查对象</w:t>
      </w:r>
    </w:p>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面向市场主体开展需求调查时，选择的调查对象一般不少于3个，并应当具有代表性。</w:t>
      </w: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（四）需求调查结果</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1.相关产业发展情况</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2.市场供给情况</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3.同类采购项目历史成交信息</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4.可能涉及的运行维护、升级更新、备品备件、耗材等后续采购情况</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5.其他相关情况</w:t>
      </w:r>
    </w:p>
    <w:p>
      <w:pPr>
        <w:spacing w:line="560" w:lineRule="exact"/>
        <w:ind w:firstLine="640" w:firstLineChars="200"/>
        <w:jc w:val="left"/>
        <w:rPr>
          <w:rFonts w:ascii="楷体" w:hAnsi="楷体" w:eastAsia="楷体"/>
          <w:sz w:val="32"/>
          <w:szCs w:val="32"/>
          <w:u w:val="single"/>
        </w:rPr>
      </w:pPr>
      <w:r>
        <w:rPr>
          <w:rFonts w:hint="eastAsia" w:ascii="楷体" w:hAnsi="楷体" w:eastAsia="楷体"/>
          <w:sz w:val="32"/>
          <w:szCs w:val="32"/>
          <w:u w:val="single"/>
        </w:rPr>
        <w:t xml:space="preserve">                                                </w:t>
      </w:r>
    </w:p>
    <w:p>
      <w:pPr>
        <w:spacing w:line="560" w:lineRule="exact"/>
        <w:ind w:firstLine="640" w:firstLineChars="200"/>
        <w:jc w:val="left"/>
        <w:rPr>
          <w:rFonts w:ascii="黑体" w:hAnsi="黑体" w:eastAsia="黑体"/>
          <w:sz w:val="32"/>
          <w:szCs w:val="32"/>
        </w:rPr>
      </w:pPr>
      <w:r>
        <w:rPr>
          <w:rFonts w:ascii="黑体" w:hAnsi="黑体" w:eastAsia="黑体"/>
          <w:sz w:val="32"/>
          <w:szCs w:val="32"/>
        </w:rPr>
        <w:t>二</w:t>
      </w:r>
      <w:r>
        <w:rPr>
          <w:rFonts w:hint="eastAsia" w:ascii="黑体" w:hAnsi="黑体" w:eastAsia="黑体"/>
          <w:sz w:val="32"/>
          <w:szCs w:val="32"/>
        </w:rPr>
        <w:t>、需求清单</w:t>
      </w:r>
    </w:p>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确定采购需求应当明确实现项目目标的所有技术、商务要求，功能和质量指标的设置要充分考虑可能影响供应商报价和项目实施风险的因素。</w:t>
      </w:r>
    </w:p>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采购需求应当符合法律法规、政府采购政策和国家有关规定，符合国家强制性标准，遵循预算、资产和财务等相关管理制度规定，符合采购项目特点和实际需要。</w:t>
      </w:r>
    </w:p>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采购需求的内容应完整、明确，并考虑后续采购竞争性。采购项目涉及后续采购的，如大型装备等，要考虑兼容性要求。</w:t>
      </w: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（一）项目概况</w:t>
      </w:r>
    </w:p>
    <w:p>
      <w:pPr>
        <w:spacing w:line="560" w:lineRule="exact"/>
        <w:ind w:firstLine="640" w:firstLineChars="200"/>
        <w:jc w:val="left"/>
        <w:rPr>
          <w:rFonts w:ascii="仿宋_GB2312" w:hAnsi="黑体" w:eastAsia="仿宋_GB2312"/>
          <w:sz w:val="32"/>
          <w:szCs w:val="32"/>
          <w:u w:val="single"/>
        </w:rPr>
      </w:pPr>
      <w:r>
        <w:rPr>
          <w:rFonts w:hint="eastAsia" w:ascii="仿宋_GB2312" w:hAnsi="黑体" w:eastAsia="仿宋_GB2312"/>
          <w:sz w:val="32"/>
          <w:szCs w:val="32"/>
          <w:u w:val="single"/>
        </w:rPr>
        <w:t xml:space="preserve">                                                 </w:t>
      </w: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（二）采购项目预（概）算</w:t>
      </w:r>
    </w:p>
    <w:p>
      <w:pPr>
        <w:spacing w:line="560" w:lineRule="exact"/>
        <w:ind w:firstLine="640" w:firstLineChars="200"/>
        <w:jc w:val="left"/>
        <w:rPr>
          <w:rFonts w:ascii="楷体" w:hAnsi="楷体" w:eastAsia="楷体"/>
          <w:sz w:val="32"/>
          <w:szCs w:val="32"/>
          <w:u w:val="single"/>
        </w:rPr>
      </w:pPr>
      <w:r>
        <w:rPr>
          <w:rFonts w:ascii="楷体" w:hAnsi="楷体" w:eastAsia="楷体"/>
          <w:sz w:val="32"/>
          <w:szCs w:val="32"/>
        </w:rPr>
        <w:t>总</w:t>
      </w:r>
      <w:r>
        <w:rPr>
          <w:rFonts w:hint="eastAsia" w:ascii="楷体" w:hAnsi="楷体" w:eastAsia="楷体"/>
          <w:sz w:val="32"/>
          <w:szCs w:val="32"/>
        </w:rPr>
        <w:t xml:space="preserve"> </w:t>
      </w:r>
      <w:r>
        <w:rPr>
          <w:rFonts w:ascii="楷体" w:hAnsi="楷体" w:eastAsia="楷体"/>
          <w:sz w:val="32"/>
          <w:szCs w:val="32"/>
        </w:rPr>
        <w:t>预</w:t>
      </w:r>
      <w:r>
        <w:rPr>
          <w:rFonts w:hint="eastAsia" w:ascii="楷体" w:hAnsi="楷体" w:eastAsia="楷体"/>
          <w:sz w:val="32"/>
          <w:szCs w:val="32"/>
        </w:rPr>
        <w:t xml:space="preserve"> </w:t>
      </w:r>
      <w:r>
        <w:rPr>
          <w:rFonts w:ascii="楷体" w:hAnsi="楷体" w:eastAsia="楷体"/>
          <w:sz w:val="32"/>
          <w:szCs w:val="32"/>
        </w:rPr>
        <w:t>算</w:t>
      </w:r>
      <w:r>
        <w:rPr>
          <w:rFonts w:hint="eastAsia" w:ascii="楷体" w:hAnsi="楷体" w:eastAsia="楷体"/>
          <w:sz w:val="32"/>
          <w:szCs w:val="32"/>
        </w:rPr>
        <w:t>：</w:t>
      </w:r>
      <w:r>
        <w:rPr>
          <w:rFonts w:hint="eastAsia" w:ascii="楷体" w:hAnsi="楷体" w:eastAsia="楷体"/>
          <w:sz w:val="32"/>
          <w:szCs w:val="32"/>
          <w:u w:val="single"/>
        </w:rPr>
        <w:t xml:space="preserve">              </w:t>
      </w:r>
    </w:p>
    <w:p>
      <w:pPr>
        <w:spacing w:line="560" w:lineRule="exact"/>
        <w:ind w:firstLine="640" w:firstLineChars="200"/>
        <w:jc w:val="left"/>
        <w:rPr>
          <w:rFonts w:ascii="楷体" w:hAnsi="楷体" w:eastAsia="楷体"/>
          <w:sz w:val="32"/>
          <w:szCs w:val="32"/>
          <w:u w:val="single"/>
        </w:rPr>
      </w:pPr>
      <w:r>
        <w:rPr>
          <w:rFonts w:hint="eastAsia" w:ascii="楷体" w:hAnsi="楷体" w:eastAsia="楷体"/>
          <w:sz w:val="32"/>
          <w:szCs w:val="32"/>
        </w:rPr>
        <w:t>包1预算：</w:t>
      </w:r>
      <w:r>
        <w:rPr>
          <w:rFonts w:hint="eastAsia" w:ascii="楷体" w:hAnsi="楷体" w:eastAsia="楷体"/>
          <w:sz w:val="32"/>
          <w:szCs w:val="32"/>
          <w:u w:val="single"/>
        </w:rPr>
        <w:t xml:space="preserve">              </w:t>
      </w:r>
    </w:p>
    <w:p>
      <w:pPr>
        <w:spacing w:line="560" w:lineRule="exact"/>
        <w:ind w:firstLine="640" w:firstLineChars="200"/>
        <w:jc w:val="left"/>
        <w:rPr>
          <w:rFonts w:ascii="楷体" w:hAnsi="楷体" w:eastAsia="楷体"/>
          <w:sz w:val="32"/>
          <w:szCs w:val="32"/>
          <w:u w:val="single"/>
        </w:rPr>
      </w:pPr>
      <w:r>
        <w:rPr>
          <w:rFonts w:hint="eastAsia" w:ascii="楷体" w:hAnsi="楷体" w:eastAsia="楷体"/>
          <w:sz w:val="32"/>
          <w:szCs w:val="32"/>
        </w:rPr>
        <w:t>包2预算：</w:t>
      </w:r>
      <w:r>
        <w:rPr>
          <w:rFonts w:hint="eastAsia" w:ascii="楷体" w:hAnsi="楷体" w:eastAsia="楷体"/>
          <w:sz w:val="32"/>
          <w:szCs w:val="32"/>
          <w:u w:val="single"/>
        </w:rPr>
        <w:t xml:space="preserve">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w:t>
      </w:r>
    </w:p>
    <w:p>
      <w:pPr>
        <w:spacing w:line="560" w:lineRule="exact"/>
        <w:ind w:firstLine="640" w:firstLineChars="200"/>
        <w:jc w:val="left"/>
        <w:rPr>
          <w:rFonts w:ascii="楷体" w:hAnsi="楷体" w:eastAsia="楷体"/>
          <w:sz w:val="32"/>
          <w:szCs w:val="32"/>
        </w:rPr>
      </w:pP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（三）采购标的汇总表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0"/>
        <w:gridCol w:w="1843"/>
        <w:gridCol w:w="1417"/>
        <w:gridCol w:w="1276"/>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851" w:type="dxa"/>
            <w:noWrap w:val="0"/>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包号</w:t>
            </w:r>
          </w:p>
        </w:tc>
        <w:tc>
          <w:tcPr>
            <w:tcW w:w="850" w:type="dxa"/>
            <w:noWrap w:val="0"/>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序号</w:t>
            </w:r>
          </w:p>
        </w:tc>
        <w:tc>
          <w:tcPr>
            <w:tcW w:w="1843" w:type="dxa"/>
            <w:noWrap w:val="0"/>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标的名称</w:t>
            </w:r>
          </w:p>
        </w:tc>
        <w:tc>
          <w:tcPr>
            <w:tcW w:w="1417" w:type="dxa"/>
            <w:noWrap w:val="0"/>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品目</w:t>
            </w:r>
          </w:p>
          <w:p>
            <w:pPr>
              <w:spacing w:line="560" w:lineRule="exact"/>
              <w:jc w:val="center"/>
              <w:rPr>
                <w:rFonts w:ascii="仿宋" w:hAnsi="仿宋" w:eastAsia="仿宋"/>
                <w:b/>
                <w:sz w:val="28"/>
                <w:szCs w:val="28"/>
              </w:rPr>
            </w:pPr>
            <w:r>
              <w:rPr>
                <w:rFonts w:hint="eastAsia" w:ascii="仿宋" w:hAnsi="仿宋" w:eastAsia="仿宋"/>
                <w:b/>
                <w:sz w:val="28"/>
                <w:szCs w:val="28"/>
              </w:rPr>
              <w:t>分类编码</w:t>
            </w:r>
          </w:p>
        </w:tc>
        <w:tc>
          <w:tcPr>
            <w:tcW w:w="1276" w:type="dxa"/>
            <w:noWrap w:val="0"/>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计量</w:t>
            </w:r>
          </w:p>
          <w:p>
            <w:pPr>
              <w:spacing w:line="560" w:lineRule="exact"/>
              <w:jc w:val="center"/>
              <w:rPr>
                <w:rFonts w:ascii="仿宋" w:hAnsi="仿宋" w:eastAsia="仿宋"/>
                <w:b/>
                <w:sz w:val="28"/>
                <w:szCs w:val="28"/>
              </w:rPr>
            </w:pPr>
            <w:r>
              <w:rPr>
                <w:rFonts w:hint="eastAsia" w:ascii="仿宋" w:hAnsi="仿宋" w:eastAsia="仿宋"/>
                <w:b/>
                <w:sz w:val="28"/>
                <w:szCs w:val="28"/>
              </w:rPr>
              <w:t>单位</w:t>
            </w:r>
          </w:p>
        </w:tc>
        <w:tc>
          <w:tcPr>
            <w:tcW w:w="992" w:type="dxa"/>
            <w:noWrap w:val="0"/>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数量</w:t>
            </w:r>
          </w:p>
        </w:tc>
        <w:tc>
          <w:tcPr>
            <w:tcW w:w="993" w:type="dxa"/>
            <w:noWrap w:val="0"/>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是否进口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1" w:type="dxa"/>
            <w:noWrap w:val="0"/>
            <w:vAlign w:val="center"/>
          </w:tcPr>
          <w:p>
            <w:pPr>
              <w:adjustRightInd w:val="0"/>
              <w:snapToGrid w:val="0"/>
              <w:spacing w:line="560" w:lineRule="exact"/>
              <w:jc w:val="center"/>
              <w:rPr>
                <w:rFonts w:ascii="仿宋" w:hAnsi="仿宋" w:eastAsia="仿宋"/>
                <w:sz w:val="28"/>
                <w:szCs w:val="28"/>
              </w:rPr>
            </w:pPr>
          </w:p>
        </w:tc>
        <w:tc>
          <w:tcPr>
            <w:tcW w:w="850" w:type="dxa"/>
            <w:noWrap w:val="0"/>
            <w:vAlign w:val="center"/>
          </w:tcPr>
          <w:p>
            <w:pPr>
              <w:adjustRightInd w:val="0"/>
              <w:snapToGrid w:val="0"/>
              <w:spacing w:line="560" w:lineRule="exact"/>
              <w:jc w:val="center"/>
              <w:rPr>
                <w:rFonts w:ascii="仿宋" w:hAnsi="仿宋" w:eastAsia="仿宋"/>
                <w:sz w:val="28"/>
                <w:szCs w:val="28"/>
              </w:rPr>
            </w:pPr>
          </w:p>
        </w:tc>
        <w:tc>
          <w:tcPr>
            <w:tcW w:w="1843" w:type="dxa"/>
            <w:noWrap w:val="0"/>
            <w:vAlign w:val="center"/>
          </w:tcPr>
          <w:p>
            <w:pPr>
              <w:adjustRightInd w:val="0"/>
              <w:snapToGrid w:val="0"/>
              <w:spacing w:line="560" w:lineRule="exact"/>
              <w:jc w:val="center"/>
              <w:rPr>
                <w:rFonts w:ascii="仿宋" w:hAnsi="仿宋" w:eastAsia="仿宋"/>
                <w:i/>
                <w:sz w:val="28"/>
                <w:szCs w:val="28"/>
                <w:u w:val="single"/>
              </w:rPr>
            </w:pPr>
            <w:r>
              <w:rPr>
                <w:rFonts w:hint="eastAsia" w:ascii="仿宋" w:hAnsi="仿宋" w:eastAsia="仿宋"/>
                <w:i/>
                <w:sz w:val="28"/>
                <w:szCs w:val="28"/>
                <w:u w:val="single"/>
              </w:rPr>
              <w:t>采购标的应与财政部制定的《政府采购品目分类目录》对应</w:t>
            </w:r>
          </w:p>
        </w:tc>
        <w:tc>
          <w:tcPr>
            <w:tcW w:w="1417" w:type="dxa"/>
            <w:noWrap w:val="0"/>
            <w:vAlign w:val="center"/>
          </w:tcPr>
          <w:p>
            <w:pPr>
              <w:adjustRightInd w:val="0"/>
              <w:snapToGrid w:val="0"/>
              <w:spacing w:line="560" w:lineRule="exact"/>
              <w:jc w:val="center"/>
              <w:rPr>
                <w:rFonts w:ascii="仿宋" w:hAnsi="仿宋" w:eastAsia="仿宋"/>
                <w:sz w:val="28"/>
                <w:szCs w:val="28"/>
              </w:rPr>
            </w:pPr>
          </w:p>
        </w:tc>
        <w:tc>
          <w:tcPr>
            <w:tcW w:w="1276" w:type="dxa"/>
            <w:noWrap w:val="0"/>
            <w:vAlign w:val="center"/>
          </w:tcPr>
          <w:p>
            <w:pPr>
              <w:adjustRightInd w:val="0"/>
              <w:snapToGrid w:val="0"/>
              <w:spacing w:line="560" w:lineRule="exact"/>
              <w:jc w:val="center"/>
              <w:rPr>
                <w:rFonts w:ascii="仿宋" w:hAnsi="仿宋" w:eastAsia="仿宋"/>
                <w:sz w:val="28"/>
                <w:szCs w:val="28"/>
              </w:rPr>
            </w:pPr>
          </w:p>
        </w:tc>
        <w:tc>
          <w:tcPr>
            <w:tcW w:w="992" w:type="dxa"/>
            <w:noWrap w:val="0"/>
            <w:vAlign w:val="center"/>
          </w:tcPr>
          <w:p>
            <w:pPr>
              <w:adjustRightInd w:val="0"/>
              <w:snapToGrid w:val="0"/>
              <w:spacing w:line="560" w:lineRule="exact"/>
              <w:jc w:val="center"/>
              <w:rPr>
                <w:rFonts w:ascii="仿宋" w:hAnsi="仿宋" w:eastAsia="仿宋"/>
                <w:sz w:val="28"/>
                <w:szCs w:val="28"/>
              </w:rPr>
            </w:pPr>
          </w:p>
        </w:tc>
        <w:tc>
          <w:tcPr>
            <w:tcW w:w="993" w:type="dxa"/>
            <w:noWrap w:val="0"/>
            <w:vAlign w:val="center"/>
          </w:tcPr>
          <w:p>
            <w:pPr>
              <w:adjustRightInd w:val="0"/>
              <w:snapToGrid w:val="0"/>
              <w:spacing w:line="5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1" w:type="dxa"/>
            <w:noWrap w:val="0"/>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c>
          <w:tcPr>
            <w:tcW w:w="850" w:type="dxa"/>
            <w:noWrap w:val="0"/>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c>
          <w:tcPr>
            <w:tcW w:w="1843" w:type="dxa"/>
            <w:noWrap w:val="0"/>
            <w:vAlign w:val="center"/>
          </w:tcPr>
          <w:p>
            <w:pPr>
              <w:adjustRightInd w:val="0"/>
              <w:snapToGrid w:val="0"/>
              <w:spacing w:line="560" w:lineRule="exact"/>
              <w:jc w:val="center"/>
              <w:rPr>
                <w:rFonts w:ascii="仿宋" w:hAnsi="仿宋" w:eastAsia="仿宋"/>
                <w:i/>
                <w:sz w:val="28"/>
                <w:szCs w:val="28"/>
                <w:u w:val="single"/>
              </w:rPr>
            </w:pPr>
            <w:r>
              <w:rPr>
                <w:rFonts w:hint="eastAsia" w:ascii="仿宋" w:hAnsi="仿宋" w:eastAsia="仿宋"/>
                <w:sz w:val="28"/>
                <w:szCs w:val="28"/>
              </w:rPr>
              <w:t>……</w:t>
            </w:r>
          </w:p>
        </w:tc>
        <w:tc>
          <w:tcPr>
            <w:tcW w:w="1417" w:type="dxa"/>
            <w:noWrap w:val="0"/>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c>
          <w:tcPr>
            <w:tcW w:w="1276" w:type="dxa"/>
            <w:noWrap w:val="0"/>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c>
          <w:tcPr>
            <w:tcW w:w="992" w:type="dxa"/>
            <w:noWrap w:val="0"/>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c>
          <w:tcPr>
            <w:tcW w:w="993" w:type="dxa"/>
            <w:noWrap w:val="0"/>
            <w:vAlign w:val="center"/>
          </w:tcPr>
          <w:p>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r>
    </w:tbl>
    <w:p>
      <w:pPr>
        <w:spacing w:line="560" w:lineRule="exact"/>
        <w:ind w:firstLine="640" w:firstLineChars="200"/>
        <w:jc w:val="left"/>
        <w:rPr>
          <w:rFonts w:ascii="仿宋_GB2312" w:hAnsi="黑体" w:eastAsia="仿宋_GB2312"/>
          <w:i/>
          <w:sz w:val="32"/>
          <w:szCs w:val="32"/>
          <w:u w:val="single"/>
        </w:rPr>
      </w:pP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（四）技术商务要求</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1.包1</w:t>
      </w:r>
    </w:p>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技术要求和商务要求应当客观，量化指标应当明确相应等次，有连续区间的按照区间划分等次。需由供应商提供设计方案、解决方案或者组织方案的采购项目，应当说明采购标的的功能、应用场景、目标等基本要求，并尽可能明确其中的客观、量化指标。</w:t>
      </w:r>
    </w:p>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采购需求可以直接引用相关国家标准、行业标准、地方标准等标准、规范，也可以根据项目目标提出更高的技术要求。</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（1）技术要求</w:t>
      </w:r>
    </w:p>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技术要求是指对采购标的的功能和质量要求，包括性 能、材料、结构、外观、安全，或者服务内容和标准等。功能和质量指标的设置要充分考虑可能影响供应商报价和项目实施风险的因素。</w:t>
      </w:r>
    </w:p>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除单一来源采购项目外，技术要求不得指向特定的专利、商标、品牌、技术路线等。</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（2）商务要求</w:t>
      </w:r>
    </w:p>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商务要求是指取得采购标的的时间、地点、财务和服务要求，包括交付（实施）的时间（期限）和地点（范围）， 付款条件（进度和方式），包装和运输，售后服务，保险等。</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2.包2</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（1）技术要求</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（2）商务要求</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rPr>
        <w:sectPr>
          <w:footerReference r:id="rId6" w:type="even"/>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sz w:val="32"/>
          <w:szCs w:val="32"/>
        </w:rPr>
        <w:t>……</w:t>
      </w:r>
    </w:p>
    <w:p>
      <w:pPr>
        <w:rPr>
          <w:rFonts w:hint="eastAsia" w:ascii="黑体" w:hAnsi="黑体" w:eastAsia="黑体" w:cs="宋体"/>
          <w:sz w:val="28"/>
          <w:szCs w:val="28"/>
          <w:lang w:val="en-US" w:eastAsia="zh-CN"/>
        </w:rPr>
      </w:pPr>
      <w:r>
        <w:rPr>
          <w:rFonts w:hint="eastAsia" w:ascii="黑体" w:hAnsi="黑体" w:eastAsia="黑体" w:cs="宋体"/>
          <w:sz w:val="28"/>
          <w:szCs w:val="28"/>
        </w:rPr>
        <w:t>附件</w:t>
      </w:r>
      <w:r>
        <w:rPr>
          <w:rFonts w:hint="eastAsia" w:ascii="黑体" w:hAnsi="黑体" w:eastAsia="黑体" w:cs="宋体"/>
          <w:sz w:val="28"/>
          <w:szCs w:val="28"/>
          <w:lang w:val="en-US" w:eastAsia="zh-CN"/>
        </w:rPr>
        <w:t>4</w:t>
      </w:r>
    </w:p>
    <w:p>
      <w:pPr>
        <w:jc w:val="center"/>
        <w:rPr>
          <w:rFonts w:ascii="方正小标宋简体" w:hAnsi="方正小标宋简体" w:eastAsia="方正小标宋简体" w:cs="宋体"/>
          <w:sz w:val="44"/>
          <w:szCs w:val="44"/>
          <w:u w:val="single"/>
        </w:rPr>
      </w:pPr>
    </w:p>
    <w:p>
      <w:pPr>
        <w:jc w:val="center"/>
        <w:rPr>
          <w:rFonts w:ascii="方正小标宋简体" w:hAnsi="方正小标宋简体" w:eastAsia="方正小标宋简体" w:cs="宋体"/>
          <w:sz w:val="72"/>
          <w:szCs w:val="72"/>
        </w:rPr>
      </w:pPr>
      <w:r>
        <w:rPr>
          <w:rFonts w:hint="eastAsia" w:ascii="方正小标宋简体" w:hAnsi="方正小标宋简体" w:eastAsia="方正小标宋简体" w:cs="宋体"/>
          <w:sz w:val="72"/>
          <w:szCs w:val="72"/>
        </w:rPr>
        <w:t>政府采购项目</w:t>
      </w:r>
    </w:p>
    <w:p>
      <w:pPr>
        <w:jc w:val="center"/>
        <w:rPr>
          <w:rFonts w:ascii="方正小标宋简体" w:hAnsi="方正小标宋简体" w:eastAsia="方正小标宋简体" w:cs="宋体"/>
          <w:sz w:val="72"/>
          <w:szCs w:val="72"/>
        </w:rPr>
      </w:pPr>
      <w:r>
        <w:rPr>
          <w:rFonts w:hint="eastAsia" w:ascii="方正小标宋简体" w:hAnsi="方正小标宋简体" w:eastAsia="方正小标宋简体" w:cs="宋体"/>
          <w:sz w:val="72"/>
          <w:szCs w:val="72"/>
        </w:rPr>
        <w:t>采购实施计划</w:t>
      </w:r>
    </w:p>
    <w:p>
      <w:pPr>
        <w:jc w:val="center"/>
        <w:rPr>
          <w:rFonts w:ascii="方正小标宋简体" w:hAnsi="方正小标宋简体" w:eastAsia="方正小标宋简体"/>
          <w:sz w:val="44"/>
          <w:szCs w:val="44"/>
        </w:rPr>
      </w:pPr>
    </w:p>
    <w:p>
      <w:pPr>
        <w:ind w:firstLine="1440" w:firstLineChars="450"/>
        <w:rPr>
          <w:rFonts w:ascii="方正小标宋简体" w:hAnsi="方正小标宋简体" w:eastAsia="方正小标宋简体"/>
          <w:sz w:val="32"/>
          <w:szCs w:val="32"/>
          <w:u w:val="single"/>
        </w:rPr>
      </w:pPr>
      <w:r>
        <w:rPr>
          <w:rFonts w:ascii="方正小标宋简体" w:hAnsi="方正小标宋简体" w:eastAsia="方正小标宋简体"/>
          <w:sz w:val="32"/>
          <w:szCs w:val="32"/>
        </w:rPr>
        <w:t>项目名称</w:t>
      </w:r>
      <w:r>
        <w:rPr>
          <w:rFonts w:hint="eastAsia" w:ascii="方正小标宋简体" w:hAnsi="方正小标宋简体" w:eastAsia="方正小标宋简体"/>
          <w:sz w:val="32"/>
          <w:szCs w:val="32"/>
        </w:rPr>
        <w:t>：</w:t>
      </w:r>
      <w:r>
        <w:rPr>
          <w:rFonts w:hint="eastAsia" w:ascii="方正小标宋简体" w:hAnsi="方正小标宋简体" w:eastAsia="方正小标宋简体"/>
          <w:sz w:val="32"/>
          <w:szCs w:val="32"/>
          <w:u w:val="single"/>
        </w:rPr>
        <w:t xml:space="preserve">                     </w:t>
      </w:r>
    </w:p>
    <w:p>
      <w:pPr>
        <w:ind w:firstLine="1440" w:firstLineChars="450"/>
        <w:rPr>
          <w:rFonts w:ascii="方正小标宋简体" w:hAnsi="方正小标宋简体" w:eastAsia="方正小标宋简体"/>
          <w:sz w:val="32"/>
          <w:szCs w:val="32"/>
          <w:u w:val="single"/>
        </w:rPr>
      </w:pPr>
      <w:r>
        <w:rPr>
          <w:rFonts w:hint="eastAsia" w:ascii="方正小标宋简体" w:hAnsi="方正小标宋简体" w:eastAsia="方正小标宋简体"/>
          <w:sz w:val="32"/>
          <w:szCs w:val="32"/>
        </w:rPr>
        <w:t>采购单位：</w:t>
      </w:r>
      <w:r>
        <w:rPr>
          <w:rFonts w:hint="eastAsia" w:ascii="方正小标宋简体" w:hAnsi="方正小标宋简体" w:eastAsia="方正小标宋简体"/>
          <w:sz w:val="32"/>
          <w:szCs w:val="32"/>
          <w:u w:val="single"/>
        </w:rPr>
        <w:t xml:space="preserve">                     </w:t>
      </w:r>
    </w:p>
    <w:p>
      <w:pPr>
        <w:ind w:firstLine="1440" w:firstLineChars="450"/>
        <w:rPr>
          <w:rFonts w:ascii="方正小标宋简体" w:hAnsi="方正小标宋简体" w:eastAsia="方正小标宋简体"/>
          <w:sz w:val="32"/>
          <w:szCs w:val="32"/>
          <w:u w:val="single"/>
        </w:rPr>
      </w:pPr>
      <w:r>
        <w:rPr>
          <w:rFonts w:hint="eastAsia" w:ascii="方正小标宋简体" w:hAnsi="方正小标宋简体" w:eastAsia="方正小标宋简体"/>
          <w:sz w:val="32"/>
          <w:szCs w:val="32"/>
        </w:rPr>
        <w:t>编制单位：</w:t>
      </w:r>
      <w:r>
        <w:rPr>
          <w:rFonts w:hint="eastAsia" w:ascii="方正小标宋简体" w:hAnsi="方正小标宋简体" w:eastAsia="方正小标宋简体"/>
          <w:sz w:val="32"/>
          <w:szCs w:val="32"/>
          <w:u w:val="single"/>
        </w:rPr>
        <w:t xml:space="preserve">                     </w:t>
      </w:r>
    </w:p>
    <w:p>
      <w:pPr>
        <w:ind w:firstLine="1440" w:firstLineChars="450"/>
        <w:rPr>
          <w:rFonts w:ascii="方正小标宋简体" w:hAnsi="方正小标宋简体" w:eastAsia="方正小标宋简体"/>
          <w:sz w:val="32"/>
          <w:szCs w:val="32"/>
          <w:u w:val="single"/>
        </w:rPr>
      </w:pPr>
      <w:r>
        <w:rPr>
          <w:rFonts w:hint="eastAsia" w:ascii="方正小标宋简体" w:hAnsi="方正小标宋简体" w:eastAsia="方正小标宋简体"/>
          <w:sz w:val="32"/>
          <w:szCs w:val="32"/>
        </w:rPr>
        <w:t>编制时间：</w:t>
      </w:r>
      <w:r>
        <w:rPr>
          <w:rFonts w:hint="eastAsia" w:ascii="方正小标宋简体" w:hAnsi="方正小标宋简体" w:eastAsia="方正小标宋简体"/>
          <w:sz w:val="32"/>
          <w:szCs w:val="32"/>
          <w:u w:val="single"/>
        </w:rPr>
        <w:t xml:space="preserve">                     </w:t>
      </w: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sectPr>
          <w:pgSz w:w="11906" w:h="16838"/>
          <w:pgMar w:top="1440" w:right="1800" w:bottom="1440" w:left="1800" w:header="851" w:footer="992" w:gutter="0"/>
          <w:pgNumType w:fmt="decimal"/>
          <w:cols w:space="720" w:num="1"/>
          <w:docGrid w:type="lines" w:linePitch="312" w:charSpace="0"/>
        </w:sectPr>
      </w:pP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 xml:space="preserve">编 制 </w:t>
      </w:r>
      <w:r>
        <w:rPr>
          <w:rFonts w:ascii="方正小标宋简体" w:hAnsi="方正小标宋简体" w:eastAsia="方正小标宋简体"/>
          <w:sz w:val="44"/>
          <w:szCs w:val="44"/>
        </w:rPr>
        <w:t>说</w:t>
      </w:r>
      <w:r>
        <w:rPr>
          <w:rFonts w:hint="eastAsia" w:ascii="方正小标宋简体" w:hAnsi="方正小标宋简体" w:eastAsia="方正小标宋简体"/>
          <w:sz w:val="44"/>
          <w:szCs w:val="44"/>
        </w:rPr>
        <w:t xml:space="preserve"> </w:t>
      </w:r>
      <w:r>
        <w:rPr>
          <w:rFonts w:ascii="方正小标宋简体" w:hAnsi="方正小标宋简体" w:eastAsia="方正小标宋简体"/>
          <w:sz w:val="44"/>
          <w:szCs w:val="44"/>
        </w:rPr>
        <w:t>明</w:t>
      </w:r>
    </w:p>
    <w:p>
      <w:pPr>
        <w:spacing w:line="560" w:lineRule="exact"/>
        <w:ind w:firstLine="640" w:firstLineChars="200"/>
        <w:rPr>
          <w:rFonts w:ascii="仿宋" w:hAnsi="仿宋" w:eastAsia="仿宋"/>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一、采购单位可以自行组织编制采购实施计划，也可以委托采购代理机构或者其他第三方机构编制。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二、编制的采购实施计划应当符合《财政部关于印发政府采购需求管理办法的通知》（财库〔2021〕22号）要求及政府采购的相关规定。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三、斜体字部分属于提醒内容，编制时应删除。</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四、对不适用的内容应删除，并调整相应序号。</w:t>
      </w:r>
    </w:p>
    <w:p>
      <w:pPr>
        <w:spacing w:line="560" w:lineRule="exact"/>
        <w:rPr>
          <w:rFonts w:ascii="仿宋_GB2312" w:hAnsi="Calibri" w:eastAsia="仿宋_GB2312"/>
          <w:sz w:val="32"/>
          <w:szCs w:val="32"/>
        </w:rPr>
        <w:sectPr>
          <w:footerReference r:id="rId7" w:type="default"/>
          <w:pgSz w:w="11906" w:h="16838"/>
          <w:pgMar w:top="1440" w:right="1800" w:bottom="1440" w:left="1800" w:header="851" w:footer="992" w:gutter="0"/>
          <w:pgNumType w:fmt="decimal"/>
          <w:cols w:space="720" w:num="1"/>
          <w:docGrid w:type="lines" w:linePitch="312" w:charSpace="0"/>
        </w:sectPr>
      </w:pP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一、合同订立安排</w:t>
      </w: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（一）开展采购活动的时间安排</w:t>
      </w:r>
    </w:p>
    <w:p>
      <w:pPr>
        <w:spacing w:line="560" w:lineRule="exact"/>
        <w:ind w:firstLine="640" w:firstLineChars="200"/>
        <w:jc w:val="left"/>
        <w:rPr>
          <w:rFonts w:hint="eastAsia" w:ascii="仿宋_GB2312" w:hAnsi="仿宋_GB2312" w:eastAsia="仿宋_GB2312" w:cs="仿宋_GB2312"/>
          <w:i/>
          <w:sz w:val="32"/>
          <w:szCs w:val="32"/>
          <w:u w:val="single"/>
        </w:rPr>
      </w:pPr>
      <w:r>
        <w:rPr>
          <w:rFonts w:hint="eastAsia" w:ascii="仿宋_GB2312" w:hAnsi="仿宋_GB2312" w:eastAsia="仿宋_GB2312" w:cs="仿宋_GB2312"/>
          <w:i/>
          <w:sz w:val="32"/>
          <w:szCs w:val="32"/>
          <w:u w:val="single"/>
        </w:rPr>
        <w:t>应根据采购项目实施的要求，充分考虑采购活动所需时间和可能影响采购活动进行的因素，合理安排采购活动实施时间。</w:t>
      </w: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（二）采购组织形式</w:t>
      </w:r>
    </w:p>
    <w:p>
      <w:pPr>
        <w:spacing w:line="560" w:lineRule="exact"/>
        <w:ind w:firstLine="640" w:firstLineChars="200"/>
        <w:jc w:val="left"/>
        <w:rPr>
          <w:rFonts w:hint="eastAsia" w:ascii="仿宋_GB2312" w:hAnsi="仿宋_GB2312" w:eastAsia="仿宋_GB2312" w:cs="仿宋_GB2312"/>
          <w:i/>
          <w:sz w:val="32"/>
          <w:szCs w:val="32"/>
          <w:u w:val="single"/>
        </w:rPr>
      </w:pPr>
      <w:r>
        <w:rPr>
          <w:rFonts w:hint="eastAsia" w:ascii="仿宋_GB2312" w:hAnsi="仿宋_GB2312" w:eastAsia="仿宋_GB2312" w:cs="仿宋_GB2312"/>
          <w:i/>
          <w:sz w:val="32"/>
          <w:szCs w:val="32"/>
          <w:u w:val="single"/>
        </w:rPr>
        <w:t>集中采购、分散采购</w:t>
      </w:r>
      <w:r>
        <w:rPr>
          <w:rFonts w:hint="eastAsia" w:ascii="仿宋_GB2312" w:hAnsi="仿宋_GB2312" w:eastAsia="仿宋_GB2312" w:cs="仿宋_GB2312"/>
          <w:i/>
          <w:sz w:val="32"/>
          <w:szCs w:val="32"/>
          <w:u w:val="single"/>
          <w:lang w:eastAsia="zh-CN"/>
        </w:rPr>
        <w:t>等</w:t>
      </w: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（三）委托代理安排</w:t>
      </w:r>
    </w:p>
    <w:p>
      <w:pPr>
        <w:spacing w:line="560" w:lineRule="exact"/>
        <w:ind w:firstLine="640" w:firstLineChars="200"/>
        <w:jc w:val="left"/>
        <w:rPr>
          <w:rFonts w:hint="eastAsia" w:ascii="仿宋_GB2312" w:hAnsi="仿宋_GB2312" w:eastAsia="仿宋_GB2312" w:cs="仿宋_GB2312"/>
          <w:i/>
          <w:sz w:val="32"/>
          <w:szCs w:val="32"/>
          <w:u w:val="single"/>
        </w:rPr>
      </w:pPr>
      <w:r>
        <w:rPr>
          <w:rFonts w:hint="eastAsia" w:ascii="仿宋_GB2312" w:hAnsi="仿宋_GB2312" w:eastAsia="仿宋_GB2312" w:cs="仿宋_GB2312"/>
          <w:i/>
          <w:sz w:val="32"/>
          <w:szCs w:val="32"/>
          <w:u w:val="single"/>
        </w:rPr>
        <w:t>选择采购代理机构的方式、结果。</w:t>
      </w: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（四）采购项目项目预（概）算及最高限价</w:t>
      </w:r>
    </w:p>
    <w:p>
      <w:pPr>
        <w:spacing w:line="560" w:lineRule="exact"/>
        <w:ind w:firstLine="640" w:firstLineChars="200"/>
        <w:jc w:val="left"/>
        <w:rPr>
          <w:rFonts w:ascii="楷体" w:hAnsi="楷体" w:eastAsia="楷体"/>
          <w:sz w:val="32"/>
          <w:szCs w:val="32"/>
          <w:u w:val="single"/>
        </w:rPr>
      </w:pPr>
      <w:r>
        <w:rPr>
          <w:rFonts w:hint="eastAsia" w:ascii="楷体" w:hAnsi="楷体" w:eastAsia="楷体"/>
          <w:sz w:val="32"/>
          <w:szCs w:val="32"/>
        </w:rPr>
        <w:t>包1预（概）算：</w:t>
      </w:r>
      <w:r>
        <w:rPr>
          <w:rFonts w:hint="eastAsia" w:ascii="楷体" w:hAnsi="楷体" w:eastAsia="楷体"/>
          <w:sz w:val="32"/>
          <w:szCs w:val="32"/>
          <w:u w:val="single"/>
        </w:rPr>
        <w:t xml:space="preserve">                      </w:t>
      </w:r>
    </w:p>
    <w:p>
      <w:pPr>
        <w:spacing w:line="560" w:lineRule="exact"/>
        <w:ind w:firstLine="1600" w:firstLineChars="500"/>
        <w:jc w:val="left"/>
        <w:rPr>
          <w:rFonts w:ascii="楷体" w:hAnsi="楷体" w:eastAsia="楷体"/>
          <w:sz w:val="32"/>
          <w:szCs w:val="32"/>
          <w:u w:val="single"/>
        </w:rPr>
      </w:pPr>
      <w:r>
        <w:rPr>
          <w:rFonts w:hint="eastAsia" w:ascii="楷体" w:hAnsi="楷体" w:eastAsia="楷体"/>
          <w:sz w:val="32"/>
          <w:szCs w:val="32"/>
        </w:rPr>
        <w:t>最高限价：</w:t>
      </w:r>
      <w:r>
        <w:rPr>
          <w:rFonts w:hint="eastAsia" w:ascii="楷体" w:hAnsi="楷体" w:eastAsia="楷体"/>
          <w:sz w:val="32"/>
          <w:szCs w:val="32"/>
          <w:u w:val="single"/>
        </w:rPr>
        <w:t xml:space="preserve">                      </w:t>
      </w:r>
    </w:p>
    <w:p>
      <w:pPr>
        <w:spacing w:line="560" w:lineRule="exact"/>
        <w:ind w:firstLine="640" w:firstLineChars="200"/>
        <w:jc w:val="left"/>
        <w:rPr>
          <w:rFonts w:ascii="楷体" w:hAnsi="楷体" w:eastAsia="楷体"/>
          <w:sz w:val="32"/>
          <w:szCs w:val="32"/>
          <w:u w:val="single"/>
        </w:rPr>
      </w:pPr>
      <w:r>
        <w:rPr>
          <w:rFonts w:hint="eastAsia" w:ascii="楷体" w:hAnsi="楷体" w:eastAsia="楷体"/>
          <w:sz w:val="32"/>
          <w:szCs w:val="32"/>
        </w:rPr>
        <w:t>包2预（概）算：</w:t>
      </w:r>
      <w:r>
        <w:rPr>
          <w:rFonts w:hint="eastAsia" w:ascii="楷体" w:hAnsi="楷体" w:eastAsia="楷体"/>
          <w:sz w:val="32"/>
          <w:szCs w:val="32"/>
          <w:u w:val="single"/>
        </w:rPr>
        <w:t xml:space="preserve">                      </w:t>
      </w:r>
    </w:p>
    <w:p>
      <w:pPr>
        <w:spacing w:line="560" w:lineRule="exact"/>
        <w:ind w:firstLine="1600" w:firstLineChars="500"/>
        <w:jc w:val="left"/>
        <w:rPr>
          <w:rFonts w:ascii="楷体" w:hAnsi="楷体" w:eastAsia="楷体"/>
          <w:sz w:val="32"/>
          <w:szCs w:val="32"/>
          <w:u w:val="single"/>
        </w:rPr>
      </w:pPr>
      <w:r>
        <w:rPr>
          <w:rFonts w:hint="eastAsia" w:ascii="楷体" w:hAnsi="楷体" w:eastAsia="楷体"/>
          <w:sz w:val="32"/>
          <w:szCs w:val="32"/>
        </w:rPr>
        <w:t>最高限价：</w:t>
      </w:r>
      <w:r>
        <w:rPr>
          <w:rFonts w:hint="eastAsia" w:ascii="楷体" w:hAnsi="楷体" w:eastAsia="楷体"/>
          <w:sz w:val="32"/>
          <w:szCs w:val="32"/>
          <w:u w:val="single"/>
        </w:rPr>
        <w:t xml:space="preserve">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w:t>
      </w:r>
    </w:p>
    <w:p>
      <w:pPr>
        <w:spacing w:line="560" w:lineRule="exact"/>
        <w:ind w:firstLine="640" w:firstLineChars="200"/>
        <w:jc w:val="left"/>
        <w:rPr>
          <w:rFonts w:ascii="楷体" w:hAnsi="楷体" w:eastAsia="楷体"/>
          <w:sz w:val="32"/>
          <w:szCs w:val="32"/>
        </w:rPr>
      </w:pP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（五）采购包划分与合同分包</w:t>
      </w:r>
    </w:p>
    <w:p>
      <w:pPr>
        <w:spacing w:line="560" w:lineRule="exact"/>
        <w:ind w:firstLine="640" w:firstLineChars="200"/>
        <w:jc w:val="left"/>
        <w:rPr>
          <w:rFonts w:hint="eastAsia" w:ascii="仿宋_GB2312" w:hAnsi="仿宋_GB2312" w:eastAsia="仿宋_GB2312" w:cs="仿宋_GB2312"/>
          <w:i/>
          <w:sz w:val="32"/>
          <w:szCs w:val="32"/>
          <w:u w:val="single"/>
        </w:rPr>
      </w:pPr>
      <w:r>
        <w:rPr>
          <w:rFonts w:hint="eastAsia" w:ascii="仿宋_GB2312" w:hAnsi="仿宋_GB2312" w:eastAsia="仿宋_GB2312" w:cs="仿宋_GB2312"/>
          <w:i/>
          <w:sz w:val="32"/>
          <w:szCs w:val="32"/>
          <w:u w:val="single"/>
        </w:rPr>
        <w:t>应按照有利于采购项目实施的原则，明确采购包或者合同分包要求。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765"/>
        <w:gridCol w:w="1843"/>
        <w:gridCol w:w="1417"/>
        <w:gridCol w:w="881"/>
        <w:gridCol w:w="850"/>
        <w:gridCol w:w="922"/>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5" w:type="dxa"/>
            <w:noWrap w:val="0"/>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包号</w:t>
            </w:r>
          </w:p>
        </w:tc>
        <w:tc>
          <w:tcPr>
            <w:tcW w:w="765" w:type="dxa"/>
            <w:noWrap w:val="0"/>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序号</w:t>
            </w:r>
          </w:p>
        </w:tc>
        <w:tc>
          <w:tcPr>
            <w:tcW w:w="1843" w:type="dxa"/>
            <w:noWrap w:val="0"/>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标的名称</w:t>
            </w:r>
          </w:p>
        </w:tc>
        <w:tc>
          <w:tcPr>
            <w:tcW w:w="1417" w:type="dxa"/>
            <w:noWrap w:val="0"/>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品目</w:t>
            </w:r>
          </w:p>
          <w:p>
            <w:pPr>
              <w:spacing w:line="560" w:lineRule="exact"/>
              <w:jc w:val="center"/>
              <w:rPr>
                <w:rFonts w:ascii="仿宋" w:hAnsi="仿宋" w:eastAsia="仿宋"/>
                <w:b/>
                <w:sz w:val="28"/>
                <w:szCs w:val="28"/>
              </w:rPr>
            </w:pPr>
            <w:r>
              <w:rPr>
                <w:rFonts w:hint="eastAsia" w:ascii="仿宋" w:hAnsi="仿宋" w:eastAsia="仿宋"/>
                <w:b/>
                <w:sz w:val="28"/>
                <w:szCs w:val="28"/>
              </w:rPr>
              <w:t>分类编码</w:t>
            </w:r>
          </w:p>
        </w:tc>
        <w:tc>
          <w:tcPr>
            <w:tcW w:w="881" w:type="dxa"/>
            <w:noWrap w:val="0"/>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计量</w:t>
            </w:r>
          </w:p>
          <w:p>
            <w:pPr>
              <w:spacing w:line="560" w:lineRule="exact"/>
              <w:jc w:val="center"/>
              <w:rPr>
                <w:rFonts w:ascii="仿宋" w:hAnsi="仿宋" w:eastAsia="仿宋"/>
                <w:b/>
                <w:sz w:val="28"/>
                <w:szCs w:val="28"/>
              </w:rPr>
            </w:pPr>
            <w:r>
              <w:rPr>
                <w:rFonts w:hint="eastAsia" w:ascii="仿宋" w:hAnsi="仿宋" w:eastAsia="仿宋"/>
                <w:b/>
                <w:sz w:val="28"/>
                <w:szCs w:val="28"/>
              </w:rPr>
              <w:t>单位</w:t>
            </w:r>
          </w:p>
        </w:tc>
        <w:tc>
          <w:tcPr>
            <w:tcW w:w="850" w:type="dxa"/>
            <w:noWrap w:val="0"/>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数量</w:t>
            </w:r>
          </w:p>
        </w:tc>
        <w:tc>
          <w:tcPr>
            <w:tcW w:w="922" w:type="dxa"/>
            <w:noWrap w:val="0"/>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是否</w:t>
            </w:r>
          </w:p>
          <w:p>
            <w:pPr>
              <w:spacing w:line="560" w:lineRule="exact"/>
              <w:jc w:val="center"/>
              <w:rPr>
                <w:rFonts w:ascii="仿宋" w:hAnsi="仿宋" w:eastAsia="仿宋"/>
                <w:b/>
                <w:sz w:val="28"/>
                <w:szCs w:val="28"/>
              </w:rPr>
            </w:pPr>
            <w:r>
              <w:rPr>
                <w:rFonts w:hint="eastAsia" w:ascii="仿宋" w:hAnsi="仿宋" w:eastAsia="仿宋"/>
                <w:b/>
                <w:sz w:val="28"/>
                <w:szCs w:val="28"/>
              </w:rPr>
              <w:t>进口</w:t>
            </w:r>
          </w:p>
        </w:tc>
        <w:tc>
          <w:tcPr>
            <w:tcW w:w="1857" w:type="dxa"/>
            <w:noWrap w:val="0"/>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分包</w:t>
            </w:r>
          </w:p>
          <w:p>
            <w:pPr>
              <w:spacing w:line="560" w:lineRule="exact"/>
              <w:jc w:val="center"/>
              <w:rPr>
                <w:rFonts w:ascii="仿宋" w:hAnsi="仿宋" w:eastAsia="仿宋"/>
                <w:b/>
                <w:sz w:val="28"/>
                <w:szCs w:val="28"/>
              </w:rPr>
            </w:pPr>
            <w:r>
              <w:rPr>
                <w:rFonts w:hint="eastAsia" w:ascii="仿宋" w:hAnsi="仿宋" w:eastAsia="仿宋"/>
                <w:b/>
                <w:sz w:val="28"/>
                <w:szCs w:val="2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5" w:type="dxa"/>
            <w:noWrap w:val="0"/>
            <w:vAlign w:val="center"/>
          </w:tcPr>
          <w:p>
            <w:pPr>
              <w:adjustRightInd w:val="0"/>
              <w:snapToGrid w:val="0"/>
              <w:spacing w:line="560" w:lineRule="exact"/>
              <w:jc w:val="center"/>
              <w:rPr>
                <w:rFonts w:hint="eastAsia" w:ascii="仿宋_GB2312" w:hAnsi="仿宋_GB2312" w:eastAsia="仿宋_GB2312" w:cs="仿宋_GB2312"/>
                <w:sz w:val="28"/>
                <w:szCs w:val="28"/>
              </w:rPr>
            </w:pPr>
          </w:p>
        </w:tc>
        <w:tc>
          <w:tcPr>
            <w:tcW w:w="765" w:type="dxa"/>
            <w:noWrap w:val="0"/>
            <w:vAlign w:val="center"/>
          </w:tcPr>
          <w:p>
            <w:pPr>
              <w:adjustRightInd w:val="0"/>
              <w:snapToGrid w:val="0"/>
              <w:spacing w:line="560" w:lineRule="exact"/>
              <w:jc w:val="center"/>
              <w:rPr>
                <w:rFonts w:hint="eastAsia" w:ascii="仿宋_GB2312" w:hAnsi="仿宋_GB2312" w:eastAsia="仿宋_GB2312" w:cs="仿宋_GB2312"/>
                <w:sz w:val="28"/>
                <w:szCs w:val="28"/>
              </w:rPr>
            </w:pPr>
          </w:p>
        </w:tc>
        <w:tc>
          <w:tcPr>
            <w:tcW w:w="1843" w:type="dxa"/>
            <w:noWrap w:val="0"/>
            <w:vAlign w:val="center"/>
          </w:tcPr>
          <w:p>
            <w:pPr>
              <w:adjustRightInd w:val="0"/>
              <w:snapToGrid w:val="0"/>
              <w:spacing w:line="560" w:lineRule="exact"/>
              <w:jc w:val="center"/>
              <w:rPr>
                <w:rFonts w:hint="eastAsia" w:ascii="仿宋_GB2312" w:hAnsi="仿宋_GB2312" w:eastAsia="仿宋_GB2312" w:cs="仿宋_GB2312"/>
                <w:i/>
                <w:sz w:val="28"/>
                <w:szCs w:val="28"/>
                <w:u w:val="single"/>
              </w:rPr>
            </w:pPr>
            <w:r>
              <w:rPr>
                <w:rFonts w:hint="eastAsia" w:ascii="仿宋_GB2312" w:hAnsi="仿宋_GB2312" w:eastAsia="仿宋_GB2312" w:cs="仿宋_GB2312"/>
                <w:i/>
                <w:sz w:val="28"/>
                <w:szCs w:val="28"/>
                <w:u w:val="single"/>
              </w:rPr>
              <w:t>采购标的应与财政部制定的《政府采购品目分类目录》对应</w:t>
            </w:r>
          </w:p>
        </w:tc>
        <w:tc>
          <w:tcPr>
            <w:tcW w:w="1417" w:type="dxa"/>
            <w:noWrap w:val="0"/>
            <w:vAlign w:val="center"/>
          </w:tcPr>
          <w:p>
            <w:pPr>
              <w:adjustRightInd w:val="0"/>
              <w:snapToGrid w:val="0"/>
              <w:spacing w:line="560" w:lineRule="exact"/>
              <w:jc w:val="center"/>
              <w:rPr>
                <w:rFonts w:hint="eastAsia" w:ascii="仿宋_GB2312" w:hAnsi="仿宋_GB2312" w:eastAsia="仿宋_GB2312" w:cs="仿宋_GB2312"/>
                <w:sz w:val="28"/>
                <w:szCs w:val="28"/>
              </w:rPr>
            </w:pPr>
          </w:p>
        </w:tc>
        <w:tc>
          <w:tcPr>
            <w:tcW w:w="881" w:type="dxa"/>
            <w:noWrap w:val="0"/>
            <w:vAlign w:val="center"/>
          </w:tcPr>
          <w:p>
            <w:pPr>
              <w:adjustRightInd w:val="0"/>
              <w:snapToGrid w:val="0"/>
              <w:spacing w:line="560" w:lineRule="exact"/>
              <w:jc w:val="center"/>
              <w:rPr>
                <w:rFonts w:hint="eastAsia" w:ascii="仿宋_GB2312" w:hAnsi="仿宋_GB2312" w:eastAsia="仿宋_GB2312" w:cs="仿宋_GB2312"/>
                <w:sz w:val="28"/>
                <w:szCs w:val="28"/>
              </w:rPr>
            </w:pPr>
          </w:p>
        </w:tc>
        <w:tc>
          <w:tcPr>
            <w:tcW w:w="850" w:type="dxa"/>
            <w:noWrap w:val="0"/>
            <w:vAlign w:val="center"/>
          </w:tcPr>
          <w:p>
            <w:pPr>
              <w:adjustRightInd w:val="0"/>
              <w:snapToGrid w:val="0"/>
              <w:spacing w:line="560" w:lineRule="exact"/>
              <w:jc w:val="center"/>
              <w:rPr>
                <w:rFonts w:hint="eastAsia" w:ascii="仿宋_GB2312" w:hAnsi="仿宋_GB2312" w:eastAsia="仿宋_GB2312" w:cs="仿宋_GB2312"/>
                <w:sz w:val="28"/>
                <w:szCs w:val="28"/>
              </w:rPr>
            </w:pPr>
          </w:p>
        </w:tc>
        <w:tc>
          <w:tcPr>
            <w:tcW w:w="922" w:type="dxa"/>
            <w:noWrap w:val="0"/>
            <w:vAlign w:val="center"/>
          </w:tcPr>
          <w:p>
            <w:pPr>
              <w:adjustRightInd w:val="0"/>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w:t>
            </w:r>
          </w:p>
        </w:tc>
        <w:tc>
          <w:tcPr>
            <w:tcW w:w="1857" w:type="dxa"/>
            <w:noWrap w:val="0"/>
            <w:vAlign w:val="center"/>
          </w:tcPr>
          <w:p>
            <w:pPr>
              <w:adjustRightInd w:val="0"/>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i/>
                <w:sz w:val="32"/>
                <w:szCs w:val="32"/>
                <w:u w:val="single"/>
              </w:rPr>
              <w:t>分包要求应载明是否允许中标（成交）供应商将本项目的非主体、非关键性工作进行分包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5" w:type="dxa"/>
            <w:noWrap w:val="0"/>
            <w:vAlign w:val="center"/>
          </w:tcPr>
          <w:p>
            <w:pPr>
              <w:adjustRightInd w:val="0"/>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65" w:type="dxa"/>
            <w:noWrap w:val="0"/>
            <w:vAlign w:val="center"/>
          </w:tcPr>
          <w:p>
            <w:pPr>
              <w:adjustRightInd w:val="0"/>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843" w:type="dxa"/>
            <w:noWrap w:val="0"/>
            <w:vAlign w:val="center"/>
          </w:tcPr>
          <w:p>
            <w:pPr>
              <w:adjustRightInd w:val="0"/>
              <w:snapToGrid w:val="0"/>
              <w:spacing w:line="560" w:lineRule="exact"/>
              <w:jc w:val="center"/>
              <w:rPr>
                <w:rFonts w:hint="eastAsia" w:ascii="仿宋_GB2312" w:hAnsi="仿宋_GB2312" w:eastAsia="仿宋_GB2312" w:cs="仿宋_GB2312"/>
                <w:i/>
                <w:sz w:val="28"/>
                <w:szCs w:val="28"/>
                <w:u w:val="single"/>
              </w:rPr>
            </w:pPr>
            <w:r>
              <w:rPr>
                <w:rFonts w:hint="eastAsia" w:ascii="仿宋_GB2312" w:hAnsi="仿宋_GB2312" w:eastAsia="仿宋_GB2312" w:cs="仿宋_GB2312"/>
                <w:sz w:val="28"/>
                <w:szCs w:val="28"/>
              </w:rPr>
              <w:t>……</w:t>
            </w:r>
          </w:p>
        </w:tc>
        <w:tc>
          <w:tcPr>
            <w:tcW w:w="1417" w:type="dxa"/>
            <w:noWrap w:val="0"/>
            <w:vAlign w:val="center"/>
          </w:tcPr>
          <w:p>
            <w:pPr>
              <w:adjustRightInd w:val="0"/>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1" w:type="dxa"/>
            <w:noWrap w:val="0"/>
            <w:vAlign w:val="center"/>
          </w:tcPr>
          <w:p>
            <w:pPr>
              <w:adjustRightInd w:val="0"/>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50" w:type="dxa"/>
            <w:noWrap w:val="0"/>
            <w:vAlign w:val="center"/>
          </w:tcPr>
          <w:p>
            <w:pPr>
              <w:adjustRightInd w:val="0"/>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22" w:type="dxa"/>
            <w:noWrap w:val="0"/>
            <w:vAlign w:val="center"/>
          </w:tcPr>
          <w:p>
            <w:pPr>
              <w:adjustRightInd w:val="0"/>
              <w:snapToGrid w:val="0"/>
              <w:spacing w:line="560" w:lineRule="exact"/>
              <w:jc w:val="center"/>
              <w:rPr>
                <w:rFonts w:hint="eastAsia" w:ascii="仿宋_GB2312" w:hAnsi="仿宋_GB2312" w:eastAsia="仿宋_GB2312" w:cs="仿宋_GB2312"/>
                <w:sz w:val="28"/>
                <w:szCs w:val="28"/>
              </w:rPr>
            </w:pPr>
          </w:p>
        </w:tc>
        <w:tc>
          <w:tcPr>
            <w:tcW w:w="1857" w:type="dxa"/>
            <w:noWrap w:val="0"/>
            <w:vAlign w:val="center"/>
          </w:tcPr>
          <w:p>
            <w:pPr>
              <w:adjustRightInd w:val="0"/>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bl>
    <w:p>
      <w:pPr>
        <w:spacing w:line="560" w:lineRule="exact"/>
        <w:ind w:firstLine="640" w:firstLineChars="200"/>
        <w:jc w:val="left"/>
        <w:rPr>
          <w:rFonts w:ascii="仿宋" w:hAnsi="仿宋" w:eastAsia="仿宋"/>
          <w:i/>
          <w:sz w:val="32"/>
          <w:szCs w:val="32"/>
          <w:u w:val="single"/>
        </w:rPr>
      </w:pPr>
      <w:r>
        <w:rPr>
          <w:rFonts w:hint="eastAsia" w:ascii="仿宋_GB2312" w:hAnsi="仿宋_GB2312" w:eastAsia="仿宋_GB2312" w:cs="仿宋_GB2312"/>
          <w:i/>
          <w:sz w:val="32"/>
          <w:szCs w:val="32"/>
          <w:u w:val="single"/>
        </w:rPr>
        <w:t>选择采购进口的，还需填写以下内容</w:t>
      </w:r>
    </w:p>
    <w:p>
      <w:pPr>
        <w:spacing w:line="560" w:lineRule="exact"/>
        <w:ind w:firstLine="640" w:firstLineChars="200"/>
        <w:jc w:val="left"/>
        <w:rPr>
          <w:rFonts w:ascii="仿宋" w:hAnsi="仿宋" w:eastAsia="仿宋"/>
          <w:sz w:val="32"/>
          <w:szCs w:val="32"/>
          <w:u w:val="single"/>
        </w:rPr>
      </w:pPr>
      <w:r>
        <w:rPr>
          <w:rFonts w:hint="eastAsia" w:ascii="仿宋_GB2312" w:hAnsi="仿宋_GB2312" w:eastAsia="仿宋_GB2312" w:cs="仿宋_GB2312"/>
          <w:sz w:val="32"/>
          <w:szCs w:val="32"/>
        </w:rPr>
        <w:t>采购进口产品报财政部门核准安排：</w:t>
      </w:r>
      <w:r>
        <w:rPr>
          <w:rFonts w:hint="eastAsia" w:ascii="仿宋_GB2312" w:hAnsi="仿宋_GB2312" w:eastAsia="仿宋_GB2312" w:cs="仿宋_GB2312"/>
          <w:sz w:val="32"/>
          <w:szCs w:val="32"/>
          <w:u w:val="single"/>
        </w:rPr>
        <w:t xml:space="preserve">                </w:t>
      </w: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（六）采购方式</w:t>
      </w:r>
    </w:p>
    <w:p>
      <w:pPr>
        <w:spacing w:line="560" w:lineRule="exact"/>
        <w:ind w:firstLine="640" w:firstLineChars="200"/>
        <w:jc w:val="left"/>
        <w:rPr>
          <w:rFonts w:hint="eastAsia" w:ascii="仿宋_GB2312" w:hAnsi="仿宋_GB2312" w:eastAsia="仿宋_GB2312" w:cs="仿宋_GB2312"/>
          <w:i/>
          <w:sz w:val="32"/>
          <w:szCs w:val="32"/>
          <w:u w:val="single"/>
        </w:rPr>
      </w:pPr>
      <w:r>
        <w:rPr>
          <w:rFonts w:hint="eastAsia" w:ascii="仿宋_GB2312" w:hAnsi="仿宋_GB2312" w:eastAsia="仿宋_GB2312" w:cs="仿宋_GB2312"/>
          <w:i/>
          <w:sz w:val="32"/>
          <w:szCs w:val="32"/>
          <w:u w:val="single"/>
        </w:rPr>
        <w:t>达到公开招标数额标准，因特殊情况需要采用公开招标以外的采购方式的，应当依法获得批准。</w:t>
      </w:r>
    </w:p>
    <w:p>
      <w:pPr>
        <w:spacing w:line="560" w:lineRule="exact"/>
        <w:ind w:firstLine="640" w:firstLineChars="200"/>
        <w:jc w:val="left"/>
        <w:rPr>
          <w:rFonts w:hint="eastAsia" w:ascii="仿宋_GB2312" w:hAnsi="仿宋_GB2312" w:eastAsia="仿宋_GB2312" w:cs="仿宋_GB2312"/>
          <w:i/>
          <w:sz w:val="32"/>
          <w:szCs w:val="32"/>
          <w:u w:val="single"/>
        </w:rPr>
      </w:pPr>
      <w:r>
        <w:rPr>
          <w:rFonts w:hint="eastAsia" w:ascii="仿宋_GB2312" w:hAnsi="仿宋_GB2312" w:eastAsia="仿宋_GB2312" w:cs="仿宋_GB2312"/>
          <w:i/>
          <w:sz w:val="32"/>
          <w:szCs w:val="32"/>
          <w:u w:val="single"/>
        </w:rPr>
        <w:t>采购需求客观、明确且规格、标准统一的采购项目，如通用设备、物业管理等，一般采用招标或者询价方式采购。</w:t>
      </w:r>
    </w:p>
    <w:p>
      <w:pPr>
        <w:spacing w:line="560" w:lineRule="exact"/>
        <w:ind w:firstLine="640" w:firstLineChars="200"/>
        <w:jc w:val="left"/>
        <w:rPr>
          <w:rFonts w:hint="eastAsia" w:ascii="仿宋_GB2312" w:hAnsi="仿宋_GB2312" w:eastAsia="仿宋_GB2312" w:cs="仿宋_GB2312"/>
          <w:i/>
          <w:sz w:val="32"/>
          <w:szCs w:val="32"/>
          <w:u w:val="single"/>
        </w:rPr>
      </w:pPr>
      <w:r>
        <w:rPr>
          <w:rFonts w:hint="eastAsia" w:ascii="仿宋_GB2312" w:hAnsi="仿宋_GB2312" w:eastAsia="仿宋_GB2312" w:cs="仿宋_GB2312"/>
          <w:i/>
          <w:sz w:val="32"/>
          <w:szCs w:val="32"/>
          <w:u w:val="single"/>
        </w:rPr>
        <w:t>采购需求客观、明确，且技术较复杂或者专业性较强的采购项目，如大型装备、咨询服务等，一般采用招标、谈判（磋商）方式采购。</w:t>
      </w:r>
    </w:p>
    <w:p>
      <w:pPr>
        <w:spacing w:line="560" w:lineRule="exact"/>
        <w:ind w:firstLine="640" w:firstLineChars="200"/>
        <w:jc w:val="left"/>
        <w:rPr>
          <w:rFonts w:hint="eastAsia" w:ascii="仿宋_GB2312" w:hAnsi="仿宋_GB2312" w:eastAsia="仿宋_GB2312" w:cs="仿宋_GB2312"/>
          <w:i/>
          <w:sz w:val="32"/>
          <w:szCs w:val="32"/>
          <w:u w:val="single"/>
        </w:rPr>
      </w:pPr>
      <w:r>
        <w:rPr>
          <w:rFonts w:hint="eastAsia" w:ascii="仿宋_GB2312" w:hAnsi="仿宋_GB2312" w:eastAsia="仿宋_GB2312" w:cs="仿宋_GB2312"/>
          <w:i/>
          <w:sz w:val="32"/>
          <w:szCs w:val="32"/>
          <w:u w:val="single"/>
        </w:rPr>
        <w:t>不能完全确定客观指标，需由供应商提供设计方案、解决方案或者组织方案的采购项目，如首购订购、设计服务、政府和社会资本合作等，一般采用谈判（磋商）方式采购。</w:t>
      </w: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1.包1</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（1）采购方式</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□公开招标</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□邀请招标</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□竞争性谈判</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□竞争性磋商</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□询价</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□单一来源采购</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□其他采购方式：</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选择采购方式的理由：</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（2）采购方式是否需要财政部门批准：</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□不需要</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□需要，报批安排：</w:t>
      </w:r>
      <w:r>
        <w:rPr>
          <w:rFonts w:hint="eastAsia" w:ascii="仿宋" w:hAnsi="仿宋" w:eastAsia="仿宋"/>
          <w:sz w:val="32"/>
          <w:szCs w:val="32"/>
          <w:u w:val="single"/>
        </w:rPr>
        <w:t xml:space="preserve">                               </w:t>
      </w: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2.包2</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w:t>
      </w:r>
    </w:p>
    <w:p>
      <w:pPr>
        <w:spacing w:line="560" w:lineRule="exact"/>
        <w:ind w:firstLine="640" w:firstLineChars="200"/>
        <w:jc w:val="left"/>
        <w:rPr>
          <w:rFonts w:ascii="楷体" w:hAnsi="楷体" w:eastAsia="楷体"/>
          <w:sz w:val="32"/>
          <w:szCs w:val="32"/>
        </w:rPr>
      </w:pP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（七）供应商资格条件</w:t>
      </w:r>
    </w:p>
    <w:p>
      <w:pPr>
        <w:spacing w:line="560" w:lineRule="exact"/>
        <w:ind w:firstLine="640" w:firstLineChars="200"/>
        <w:jc w:val="left"/>
        <w:rPr>
          <w:rFonts w:hint="eastAsia" w:ascii="仿宋_GB2312" w:hAnsi="仿宋_GB2312" w:eastAsia="仿宋_GB2312" w:cs="仿宋_GB2312"/>
          <w:i/>
          <w:sz w:val="32"/>
          <w:szCs w:val="32"/>
          <w:u w:val="single"/>
        </w:rPr>
      </w:pPr>
      <w:r>
        <w:rPr>
          <w:rFonts w:hint="eastAsia" w:ascii="仿宋_GB2312" w:hAnsi="仿宋_GB2312" w:eastAsia="仿宋_GB2312" w:cs="仿宋_GB2312"/>
          <w:i/>
          <w:sz w:val="32"/>
          <w:szCs w:val="32"/>
          <w:u w:val="single"/>
        </w:rPr>
        <w:t>根据采购需求特点提出的供应商资格条件，要与采购标的的功能、质量和供应商履约能力直接相关，且属于履行合同必需的条件，包括特定的专业资格或者技术资格、设备设施、业绩情况、专业人才及其管理能力等。</w:t>
      </w:r>
    </w:p>
    <w:p>
      <w:pPr>
        <w:spacing w:line="560" w:lineRule="exact"/>
        <w:ind w:firstLine="640" w:firstLineChars="200"/>
        <w:jc w:val="left"/>
        <w:rPr>
          <w:rFonts w:hint="eastAsia" w:ascii="仿宋_GB2312" w:hAnsi="仿宋_GB2312" w:eastAsia="仿宋_GB2312" w:cs="仿宋_GB2312"/>
          <w:i/>
          <w:sz w:val="32"/>
          <w:szCs w:val="32"/>
          <w:u w:val="single"/>
        </w:rPr>
      </w:pPr>
      <w:r>
        <w:rPr>
          <w:rFonts w:hint="eastAsia" w:ascii="仿宋_GB2312" w:hAnsi="仿宋_GB2312" w:eastAsia="仿宋_GB2312" w:cs="仿宋_GB2312"/>
          <w:i/>
          <w:sz w:val="32"/>
          <w:szCs w:val="32"/>
          <w:u w:val="single"/>
        </w:rPr>
        <w:t>业绩情况作为资格条件时，要求供应商提供的同类业务合同一般不超过2个，并明确同类业务的具体范围。涉及政府采购政策支持的创新产品采购的，不得提出同类业务合同、生产台数、使用时长等业绩要求。</w:t>
      </w:r>
    </w:p>
    <w:p>
      <w:pPr>
        <w:spacing w:line="560" w:lineRule="exact"/>
        <w:ind w:firstLine="640" w:firstLineChars="200"/>
        <w:jc w:val="left"/>
        <w:rPr>
          <w:rFonts w:hint="eastAsia" w:ascii="仿宋_GB2312" w:hAnsi="仿宋_GB2312" w:eastAsia="仿宋_GB2312" w:cs="仿宋_GB2312"/>
          <w:i/>
          <w:sz w:val="32"/>
          <w:szCs w:val="32"/>
          <w:u w:val="single"/>
        </w:rPr>
      </w:pPr>
      <w:r>
        <w:rPr>
          <w:rFonts w:hint="eastAsia" w:ascii="仿宋_GB2312" w:hAnsi="仿宋_GB2312" w:eastAsia="仿宋_GB2312" w:cs="仿宋_GB2312"/>
          <w:i/>
          <w:sz w:val="32"/>
          <w:szCs w:val="32"/>
          <w:u w:val="single"/>
        </w:rPr>
        <w:t>要求供应商提供超过2个同类业务合同的，需说明合理性。</w:t>
      </w:r>
    </w:p>
    <w:p>
      <w:pPr>
        <w:spacing w:line="560" w:lineRule="exact"/>
        <w:ind w:firstLine="640" w:firstLineChars="200"/>
        <w:jc w:val="left"/>
        <w:rPr>
          <w:rFonts w:hint="eastAsia" w:ascii="仿宋_GB2312" w:hAnsi="仿宋_GB2312" w:eastAsia="仿宋_GB2312" w:cs="仿宋_GB2312"/>
          <w:i/>
          <w:sz w:val="32"/>
          <w:szCs w:val="32"/>
          <w:u w:val="single"/>
        </w:rPr>
      </w:pPr>
      <w:r>
        <w:rPr>
          <w:rFonts w:hint="eastAsia" w:ascii="仿宋_GB2312" w:hAnsi="仿宋_GB2312" w:eastAsia="仿宋_GB2312" w:cs="仿宋_GB2312"/>
          <w:i/>
          <w:sz w:val="32"/>
          <w:szCs w:val="32"/>
          <w:u w:val="single"/>
        </w:rPr>
        <w:t>应落实支持创新、绿色发展、中小企业发展等政府采购政策功能。</w:t>
      </w: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1.包1</w:t>
      </w:r>
    </w:p>
    <w:p>
      <w:pPr>
        <w:spacing w:line="560" w:lineRule="exact"/>
        <w:ind w:firstLine="640" w:firstLineChars="200"/>
        <w:jc w:val="left"/>
        <w:rPr>
          <w:rFonts w:ascii="楷体" w:hAnsi="楷体" w:eastAsia="楷体"/>
          <w:sz w:val="32"/>
          <w:szCs w:val="32"/>
          <w:u w:val="single"/>
        </w:rPr>
      </w:pPr>
      <w:r>
        <w:rPr>
          <w:rFonts w:hint="eastAsia" w:ascii="楷体" w:hAnsi="楷体" w:eastAsia="楷体"/>
          <w:sz w:val="32"/>
          <w:szCs w:val="32"/>
          <w:u w:val="single"/>
        </w:rPr>
        <w:t xml:space="preserve">                                                 </w:t>
      </w: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2.包2</w:t>
      </w:r>
    </w:p>
    <w:p>
      <w:pPr>
        <w:spacing w:line="560" w:lineRule="exact"/>
        <w:ind w:firstLine="640" w:firstLineChars="200"/>
        <w:jc w:val="left"/>
        <w:rPr>
          <w:rFonts w:ascii="楷体" w:hAnsi="楷体" w:eastAsia="楷体"/>
          <w:sz w:val="32"/>
          <w:szCs w:val="32"/>
          <w:u w:val="single"/>
        </w:rPr>
      </w:pPr>
      <w:r>
        <w:rPr>
          <w:rFonts w:hint="eastAsia" w:ascii="楷体" w:hAnsi="楷体" w:eastAsia="楷体"/>
          <w:sz w:val="32"/>
          <w:szCs w:val="32"/>
          <w:u w:val="single"/>
        </w:rPr>
        <w:t xml:space="preserve">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w:t>
      </w:r>
    </w:p>
    <w:p>
      <w:pPr>
        <w:spacing w:line="560" w:lineRule="exact"/>
        <w:ind w:firstLine="640" w:firstLineChars="200"/>
        <w:jc w:val="left"/>
        <w:rPr>
          <w:rFonts w:ascii="楷体" w:hAnsi="楷体" w:eastAsia="楷体"/>
          <w:sz w:val="32"/>
          <w:szCs w:val="32"/>
        </w:rPr>
      </w:pP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（八）竞争范围</w:t>
      </w:r>
    </w:p>
    <w:p>
      <w:pPr>
        <w:spacing w:line="560" w:lineRule="exact"/>
        <w:ind w:firstLine="640" w:firstLineChars="200"/>
        <w:jc w:val="left"/>
        <w:rPr>
          <w:rFonts w:hint="eastAsia" w:ascii="仿宋_GB2312" w:hAnsi="仿宋_GB2312" w:eastAsia="仿宋_GB2312" w:cs="仿宋_GB2312"/>
          <w:i/>
          <w:sz w:val="32"/>
          <w:szCs w:val="32"/>
          <w:u w:val="single"/>
        </w:rPr>
      </w:pPr>
      <w:r>
        <w:rPr>
          <w:rFonts w:hint="eastAsia" w:ascii="仿宋_GB2312" w:hAnsi="仿宋_GB2312" w:eastAsia="仿宋_GB2312" w:cs="仿宋_GB2312"/>
          <w:i/>
          <w:sz w:val="32"/>
          <w:szCs w:val="32"/>
          <w:u w:val="single"/>
        </w:rPr>
        <w:t>除法律法规规定可以在有限范围内竞争或者只能从唯一供应商处采购的情形外，一般采用公开方式邀请供应商参与政府采购活动。</w:t>
      </w:r>
    </w:p>
    <w:p>
      <w:pPr>
        <w:spacing w:line="560" w:lineRule="exact"/>
        <w:ind w:firstLine="640" w:firstLineChars="200"/>
        <w:jc w:val="left"/>
        <w:rPr>
          <w:rFonts w:hint="eastAsia" w:ascii="仿宋_GB2312" w:hAnsi="仿宋_GB2312" w:eastAsia="仿宋_GB2312" w:cs="仿宋_GB2312"/>
          <w:i/>
          <w:sz w:val="32"/>
          <w:szCs w:val="32"/>
          <w:u w:val="single"/>
        </w:rPr>
      </w:pPr>
      <w:r>
        <w:rPr>
          <w:rFonts w:hint="eastAsia" w:ascii="仿宋_GB2312" w:hAnsi="仿宋_GB2312" w:eastAsia="仿宋_GB2312" w:cs="仿宋_GB2312"/>
          <w:i/>
          <w:sz w:val="32"/>
          <w:szCs w:val="32"/>
          <w:u w:val="single"/>
        </w:rPr>
        <w:t>采用邀请方式邀请供应商参与政府采购活动的，应说明依据的法律法规规定。</w:t>
      </w: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1.包1</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□公开方式</w:t>
      </w:r>
    </w:p>
    <w:p>
      <w:pPr>
        <w:spacing w:line="560" w:lineRule="exact"/>
        <w:ind w:firstLine="640" w:firstLineChars="200"/>
        <w:jc w:val="left"/>
        <w:rPr>
          <w:rFonts w:ascii="楷体" w:hAnsi="楷体" w:eastAsia="楷体"/>
          <w:sz w:val="32"/>
          <w:szCs w:val="32"/>
          <w:u w:val="single"/>
        </w:rPr>
      </w:pPr>
      <w:r>
        <w:rPr>
          <w:rFonts w:hint="eastAsia" w:ascii="仿宋" w:hAnsi="仿宋" w:eastAsia="仿宋"/>
          <w:sz w:val="32"/>
          <w:szCs w:val="32"/>
        </w:rPr>
        <w:t>□邀请方式，依据：</w:t>
      </w:r>
      <w:r>
        <w:rPr>
          <w:rFonts w:hint="eastAsia" w:ascii="仿宋" w:hAnsi="仿宋" w:eastAsia="仿宋"/>
          <w:sz w:val="32"/>
          <w:szCs w:val="32"/>
          <w:u w:val="single"/>
        </w:rPr>
        <w:t xml:space="preserve">                               </w:t>
      </w: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2.包2</w:t>
      </w:r>
    </w:p>
    <w:p>
      <w:pPr>
        <w:spacing w:line="560" w:lineRule="exact"/>
        <w:ind w:firstLine="640" w:firstLineChars="200"/>
        <w:jc w:val="left"/>
        <w:rPr>
          <w:rFonts w:ascii="楷体" w:hAnsi="楷体" w:eastAsia="楷体"/>
          <w:sz w:val="32"/>
          <w:szCs w:val="32"/>
        </w:rPr>
      </w:pPr>
      <w:r>
        <w:rPr>
          <w:rFonts w:hint="eastAsia" w:ascii="仿宋" w:hAnsi="仿宋" w:eastAsia="仿宋"/>
          <w:sz w:val="32"/>
          <w:szCs w:val="32"/>
        </w:rPr>
        <w:t>……</w:t>
      </w:r>
    </w:p>
    <w:p>
      <w:pPr>
        <w:spacing w:line="560" w:lineRule="exact"/>
        <w:ind w:firstLine="640" w:firstLineChars="200"/>
        <w:jc w:val="left"/>
        <w:rPr>
          <w:rFonts w:ascii="楷体" w:hAnsi="楷体" w:eastAsia="楷体"/>
          <w:sz w:val="32"/>
          <w:szCs w:val="32"/>
        </w:rPr>
      </w:pP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（九）评审规则</w:t>
      </w:r>
    </w:p>
    <w:p>
      <w:pPr>
        <w:spacing w:line="560" w:lineRule="exact"/>
        <w:ind w:firstLine="640" w:firstLineChars="200"/>
        <w:jc w:val="left"/>
        <w:rPr>
          <w:rFonts w:hint="eastAsia" w:ascii="仿宋_GB2312" w:hAnsi="仿宋_GB2312" w:eastAsia="仿宋_GB2312" w:cs="仿宋_GB2312"/>
          <w:i/>
          <w:sz w:val="32"/>
          <w:szCs w:val="32"/>
          <w:u w:val="single"/>
        </w:rPr>
      </w:pPr>
      <w:r>
        <w:rPr>
          <w:rFonts w:hint="eastAsia" w:ascii="仿宋_GB2312" w:hAnsi="仿宋_GB2312" w:eastAsia="仿宋_GB2312" w:cs="仿宋_GB2312"/>
          <w:i/>
          <w:sz w:val="32"/>
          <w:szCs w:val="32"/>
          <w:u w:val="single"/>
        </w:rPr>
        <w:t>采用综合性评审方法的，评审因素应当按照采购需求和与实现项目目标相关的其他因素确定。</w:t>
      </w:r>
    </w:p>
    <w:p>
      <w:pPr>
        <w:spacing w:line="560" w:lineRule="exact"/>
        <w:ind w:firstLine="640" w:firstLineChars="200"/>
        <w:jc w:val="left"/>
        <w:rPr>
          <w:rFonts w:hint="eastAsia" w:ascii="仿宋_GB2312" w:hAnsi="仿宋_GB2312" w:eastAsia="仿宋_GB2312" w:cs="仿宋_GB2312"/>
          <w:i/>
          <w:sz w:val="32"/>
          <w:szCs w:val="32"/>
          <w:u w:val="single"/>
        </w:rPr>
      </w:pPr>
      <w:r>
        <w:rPr>
          <w:rFonts w:hint="eastAsia" w:ascii="仿宋_GB2312" w:hAnsi="仿宋_GB2312" w:eastAsia="仿宋_GB2312" w:cs="仿宋_GB2312"/>
          <w:i/>
          <w:sz w:val="32"/>
          <w:szCs w:val="32"/>
          <w:u w:val="single"/>
        </w:rPr>
        <w:t>采购需求客观、明确且规格、标准统一的采购项目，如通用设备、物业管理等，以价格作为授予合同的主要考虑因素。</w:t>
      </w:r>
    </w:p>
    <w:p>
      <w:pPr>
        <w:spacing w:line="560" w:lineRule="exact"/>
        <w:ind w:firstLine="640" w:firstLineChars="200"/>
        <w:jc w:val="left"/>
        <w:rPr>
          <w:rFonts w:hint="eastAsia" w:ascii="仿宋_GB2312" w:hAnsi="仿宋_GB2312" w:eastAsia="仿宋_GB2312" w:cs="仿宋_GB2312"/>
          <w:i/>
          <w:sz w:val="32"/>
          <w:szCs w:val="32"/>
          <w:u w:val="single"/>
        </w:rPr>
      </w:pPr>
      <w:r>
        <w:rPr>
          <w:rFonts w:hint="eastAsia" w:ascii="仿宋_GB2312" w:hAnsi="仿宋_GB2312" w:eastAsia="仿宋_GB2312" w:cs="仿宋_GB2312"/>
          <w:i/>
          <w:sz w:val="32"/>
          <w:szCs w:val="32"/>
          <w:u w:val="single"/>
        </w:rPr>
        <w:t>采购需求客观、明确，且技术较复杂或者专业性较强的采购项目，如大型装备、咨询服务等，通过综合性评审选择性价比最优的产品或服务。</w:t>
      </w:r>
    </w:p>
    <w:p>
      <w:pPr>
        <w:spacing w:line="560" w:lineRule="exact"/>
        <w:ind w:firstLine="640" w:firstLineChars="200"/>
        <w:jc w:val="left"/>
        <w:rPr>
          <w:rFonts w:hint="eastAsia" w:ascii="仿宋_GB2312" w:hAnsi="仿宋_GB2312" w:eastAsia="仿宋_GB2312" w:cs="仿宋_GB2312"/>
          <w:i/>
          <w:sz w:val="32"/>
          <w:szCs w:val="32"/>
          <w:u w:val="single"/>
        </w:rPr>
      </w:pPr>
      <w:r>
        <w:rPr>
          <w:rFonts w:hint="eastAsia" w:ascii="仿宋_GB2312" w:hAnsi="仿宋_GB2312" w:eastAsia="仿宋_GB2312" w:cs="仿宋_GB2312"/>
          <w:i/>
          <w:sz w:val="32"/>
          <w:szCs w:val="32"/>
          <w:u w:val="single"/>
        </w:rPr>
        <w:t>不能完全确定客观指标，需由供应商提供设计方案、解决方案或者组织方案的采购项目，如首购订购、设计服务、政府和社会资本合作等，综合考虑以单方案报价、多方案报价以及性价比要求等因素选择评审方法。</w:t>
      </w:r>
    </w:p>
    <w:p>
      <w:pPr>
        <w:spacing w:line="560" w:lineRule="exact"/>
        <w:ind w:firstLine="640" w:firstLineChars="200"/>
        <w:jc w:val="left"/>
        <w:rPr>
          <w:rFonts w:hint="eastAsia" w:ascii="仿宋_GB2312" w:hAnsi="仿宋_GB2312" w:eastAsia="仿宋_GB2312" w:cs="仿宋_GB2312"/>
          <w:i/>
          <w:sz w:val="32"/>
          <w:szCs w:val="32"/>
          <w:u w:val="single"/>
        </w:rPr>
      </w:pPr>
      <w:r>
        <w:rPr>
          <w:rFonts w:hint="eastAsia" w:ascii="仿宋_GB2312" w:hAnsi="仿宋_GB2312" w:eastAsia="仿宋_GB2312" w:cs="仿宋_GB2312"/>
          <w:i/>
          <w:sz w:val="32"/>
          <w:szCs w:val="32"/>
          <w:u w:val="single"/>
        </w:rPr>
        <w:t>评审因素设置不得具有倾向性，将有关履约能力作为评审因素应适当。</w:t>
      </w:r>
    </w:p>
    <w:p>
      <w:pPr>
        <w:spacing w:line="560" w:lineRule="exact"/>
        <w:ind w:firstLine="640" w:firstLineChars="200"/>
        <w:jc w:val="left"/>
        <w:rPr>
          <w:rFonts w:hint="eastAsia" w:ascii="仿宋_GB2312" w:hAnsi="仿宋_GB2312" w:eastAsia="仿宋_GB2312" w:cs="仿宋_GB2312"/>
          <w:i/>
          <w:sz w:val="32"/>
          <w:szCs w:val="32"/>
          <w:u w:val="single"/>
        </w:rPr>
      </w:pPr>
      <w:r>
        <w:rPr>
          <w:rFonts w:hint="eastAsia" w:ascii="仿宋_GB2312" w:hAnsi="仿宋_GB2312" w:eastAsia="仿宋_GB2312" w:cs="仿宋_GB2312"/>
          <w:i/>
          <w:sz w:val="32"/>
          <w:szCs w:val="32"/>
          <w:u w:val="single"/>
        </w:rPr>
        <w:t>应落实支持创新、绿色发展、中小企业发展等政府采购政策功能。</w:t>
      </w: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1.包1</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□最低评标价法，选择该评审规则的理由：</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□综合评分法，选择该评审规则的理由：</w:t>
      </w:r>
      <w:r>
        <w:rPr>
          <w:rFonts w:hint="eastAsia" w:ascii="仿宋" w:hAnsi="仿宋" w:eastAsia="仿宋"/>
          <w:sz w:val="32"/>
          <w:szCs w:val="32"/>
          <w:u w:val="single"/>
        </w:rPr>
        <w:t xml:space="preserve">            </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26"/>
        <w:gridCol w:w="1826"/>
        <w:gridCol w:w="4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6" w:type="dxa"/>
            <w:noWrap w:val="0"/>
            <w:vAlign w:val="center"/>
          </w:tcPr>
          <w:p>
            <w:pPr>
              <w:jc w:val="center"/>
              <w:rPr>
                <w:rFonts w:ascii="仿宋" w:hAnsi="仿宋" w:eastAsia="仿宋"/>
                <w:sz w:val="32"/>
                <w:szCs w:val="32"/>
              </w:rPr>
            </w:pPr>
            <w:r>
              <w:rPr>
                <w:rFonts w:hint="eastAsia" w:ascii="仿宋" w:hAnsi="仿宋" w:eastAsia="仿宋"/>
                <w:sz w:val="32"/>
                <w:szCs w:val="32"/>
              </w:rPr>
              <w:t>评标项目</w:t>
            </w:r>
          </w:p>
        </w:tc>
        <w:tc>
          <w:tcPr>
            <w:tcW w:w="1826" w:type="dxa"/>
            <w:noWrap w:val="0"/>
            <w:vAlign w:val="center"/>
          </w:tcPr>
          <w:p>
            <w:pPr>
              <w:jc w:val="center"/>
              <w:rPr>
                <w:rFonts w:ascii="仿宋" w:hAnsi="仿宋" w:eastAsia="仿宋"/>
                <w:sz w:val="32"/>
                <w:szCs w:val="32"/>
              </w:rPr>
            </w:pPr>
            <w:r>
              <w:rPr>
                <w:rFonts w:hint="eastAsia" w:ascii="仿宋" w:hAnsi="仿宋" w:eastAsia="仿宋"/>
                <w:sz w:val="32"/>
                <w:szCs w:val="32"/>
              </w:rPr>
              <w:t>评标分值</w:t>
            </w:r>
          </w:p>
        </w:tc>
        <w:tc>
          <w:tcPr>
            <w:tcW w:w="4870" w:type="dxa"/>
            <w:noWrap w:val="0"/>
            <w:vAlign w:val="center"/>
          </w:tcPr>
          <w:p>
            <w:pPr>
              <w:jc w:val="center"/>
              <w:rPr>
                <w:rFonts w:ascii="仿宋" w:hAnsi="仿宋" w:eastAsia="仿宋"/>
                <w:sz w:val="32"/>
                <w:szCs w:val="32"/>
              </w:rPr>
            </w:pPr>
            <w:r>
              <w:rPr>
                <w:rFonts w:hint="eastAsia" w:ascii="仿宋" w:hAnsi="仿宋" w:eastAsia="仿宋"/>
                <w:sz w:val="32"/>
                <w:szCs w:val="32"/>
              </w:rPr>
              <w:t>评标方法描述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6" w:type="dxa"/>
            <w:noWrap w:val="0"/>
            <w:vAlign w:val="center"/>
          </w:tcPr>
          <w:p>
            <w:pPr>
              <w:spacing w:line="560" w:lineRule="exact"/>
              <w:jc w:val="center"/>
              <w:rPr>
                <w:rFonts w:ascii="仿宋" w:hAnsi="仿宋" w:eastAsia="仿宋"/>
                <w:sz w:val="32"/>
                <w:szCs w:val="32"/>
              </w:rPr>
            </w:pPr>
          </w:p>
        </w:tc>
        <w:tc>
          <w:tcPr>
            <w:tcW w:w="1826" w:type="dxa"/>
            <w:noWrap w:val="0"/>
            <w:vAlign w:val="center"/>
          </w:tcPr>
          <w:p>
            <w:pPr>
              <w:spacing w:line="560" w:lineRule="exact"/>
              <w:jc w:val="center"/>
              <w:rPr>
                <w:rFonts w:ascii="仿宋" w:hAnsi="仿宋" w:eastAsia="仿宋"/>
                <w:sz w:val="32"/>
                <w:szCs w:val="32"/>
              </w:rPr>
            </w:pPr>
          </w:p>
        </w:tc>
        <w:tc>
          <w:tcPr>
            <w:tcW w:w="4870" w:type="dxa"/>
            <w:noWrap w:val="0"/>
            <w:vAlign w:val="center"/>
          </w:tcPr>
          <w:p>
            <w:pPr>
              <w:spacing w:line="56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6" w:type="dxa"/>
            <w:noWrap w:val="0"/>
            <w:vAlign w:val="center"/>
          </w:tcPr>
          <w:p>
            <w:pPr>
              <w:spacing w:line="560" w:lineRule="exact"/>
              <w:jc w:val="center"/>
              <w:rPr>
                <w:rFonts w:ascii="仿宋" w:hAnsi="仿宋" w:eastAsia="仿宋"/>
                <w:sz w:val="32"/>
                <w:szCs w:val="32"/>
              </w:rPr>
            </w:pPr>
          </w:p>
        </w:tc>
        <w:tc>
          <w:tcPr>
            <w:tcW w:w="1826" w:type="dxa"/>
            <w:noWrap w:val="0"/>
            <w:vAlign w:val="center"/>
          </w:tcPr>
          <w:p>
            <w:pPr>
              <w:spacing w:line="560" w:lineRule="exact"/>
              <w:jc w:val="center"/>
              <w:rPr>
                <w:rFonts w:ascii="仿宋" w:hAnsi="仿宋" w:eastAsia="仿宋"/>
                <w:sz w:val="32"/>
                <w:szCs w:val="32"/>
              </w:rPr>
            </w:pPr>
          </w:p>
        </w:tc>
        <w:tc>
          <w:tcPr>
            <w:tcW w:w="4870" w:type="dxa"/>
            <w:noWrap w:val="0"/>
            <w:vAlign w:val="center"/>
          </w:tcPr>
          <w:p>
            <w:pPr>
              <w:spacing w:line="56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826" w:type="dxa"/>
            <w:noWrap w:val="0"/>
            <w:vAlign w:val="center"/>
          </w:tcPr>
          <w:p>
            <w:pPr>
              <w:spacing w:line="560" w:lineRule="exact"/>
              <w:jc w:val="center"/>
              <w:rPr>
                <w:rFonts w:ascii="仿宋" w:hAnsi="仿宋" w:eastAsia="仿宋"/>
                <w:sz w:val="32"/>
                <w:szCs w:val="32"/>
              </w:rPr>
            </w:pPr>
          </w:p>
        </w:tc>
        <w:tc>
          <w:tcPr>
            <w:tcW w:w="1826" w:type="dxa"/>
            <w:noWrap w:val="0"/>
            <w:vAlign w:val="center"/>
          </w:tcPr>
          <w:p>
            <w:pPr>
              <w:spacing w:line="560" w:lineRule="exact"/>
              <w:jc w:val="center"/>
              <w:rPr>
                <w:rFonts w:ascii="仿宋" w:hAnsi="仿宋" w:eastAsia="仿宋"/>
                <w:sz w:val="32"/>
                <w:szCs w:val="32"/>
              </w:rPr>
            </w:pPr>
          </w:p>
        </w:tc>
        <w:tc>
          <w:tcPr>
            <w:tcW w:w="4870" w:type="dxa"/>
            <w:noWrap w:val="0"/>
            <w:vAlign w:val="center"/>
          </w:tcPr>
          <w:p>
            <w:pPr>
              <w:spacing w:line="560" w:lineRule="exact"/>
              <w:jc w:val="center"/>
              <w:rPr>
                <w:rFonts w:ascii="仿宋" w:hAnsi="仿宋" w:eastAsia="仿宋"/>
                <w:sz w:val="32"/>
                <w:szCs w:val="32"/>
              </w:rPr>
            </w:pPr>
          </w:p>
        </w:tc>
      </w:tr>
    </w:tbl>
    <w:p>
      <w:pPr>
        <w:spacing w:line="560" w:lineRule="exact"/>
        <w:jc w:val="left"/>
        <w:rPr>
          <w:rFonts w:ascii="楷体" w:hAnsi="楷体" w:eastAsia="楷体"/>
          <w:sz w:val="32"/>
          <w:szCs w:val="32"/>
        </w:rPr>
      </w:pP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2.包2</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w:t>
      </w:r>
    </w:p>
    <w:p>
      <w:pPr>
        <w:spacing w:line="560" w:lineRule="exact"/>
        <w:ind w:firstLine="640" w:firstLineChars="200"/>
        <w:jc w:val="left"/>
        <w:rPr>
          <w:rFonts w:ascii="楷体" w:hAnsi="楷体" w:eastAsia="楷体"/>
          <w:sz w:val="32"/>
          <w:szCs w:val="32"/>
        </w:rPr>
      </w:pP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二、合同管理安排</w:t>
      </w: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（一）合同类型</w:t>
      </w:r>
    </w:p>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合同类型按照民法典规定的典型合同类别，结合采购标的的实际情况确定。</w:t>
      </w: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1.包1</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□买卖合同</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□建设工程合同</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□技术合同</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□物业服务合同</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□委托合同</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□其他：</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选择合同类型的理由：</w:t>
      </w:r>
      <w:r>
        <w:rPr>
          <w:rFonts w:hint="eastAsia" w:ascii="仿宋" w:hAnsi="仿宋" w:eastAsia="仿宋"/>
          <w:sz w:val="32"/>
          <w:szCs w:val="32"/>
          <w:u w:val="single"/>
        </w:rPr>
        <w:t xml:space="preserve">                   </w:t>
      </w: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2.包2</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w:t>
      </w:r>
    </w:p>
    <w:p>
      <w:pPr>
        <w:spacing w:line="560" w:lineRule="exact"/>
        <w:ind w:firstLine="640" w:firstLineChars="200"/>
        <w:jc w:val="left"/>
        <w:rPr>
          <w:rFonts w:ascii="楷体" w:hAnsi="楷体" w:eastAsia="楷体"/>
          <w:sz w:val="32"/>
          <w:szCs w:val="32"/>
        </w:rPr>
      </w:pP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（二）定价方式</w:t>
      </w:r>
    </w:p>
    <w:p>
      <w:pPr>
        <w:spacing w:line="560" w:lineRule="exact"/>
        <w:ind w:firstLine="640" w:firstLineChars="200"/>
        <w:jc w:val="left"/>
        <w:rPr>
          <w:rFonts w:hint="eastAsia" w:ascii="仿宋_GB2312" w:hAnsi="仿宋_GB2312" w:eastAsia="仿宋_GB2312" w:cs="仿宋_GB2312"/>
          <w:i/>
          <w:sz w:val="32"/>
          <w:szCs w:val="32"/>
          <w:u w:val="single"/>
        </w:rPr>
      </w:pPr>
      <w:r>
        <w:rPr>
          <w:rFonts w:hint="eastAsia" w:ascii="仿宋_GB2312" w:hAnsi="仿宋_GB2312" w:eastAsia="仿宋_GB2312" w:cs="仿宋_GB2312"/>
          <w:i/>
          <w:sz w:val="32"/>
          <w:szCs w:val="32"/>
          <w:u w:val="single"/>
        </w:rPr>
        <w:t>采购需求客观、明确且规格、标准统一的采购项目，如通用设备、物业管理等，采用固定总价或者固定单价的定价方式。</w:t>
      </w:r>
    </w:p>
    <w:p>
      <w:pPr>
        <w:spacing w:line="560" w:lineRule="exact"/>
        <w:ind w:firstLine="640" w:firstLineChars="200"/>
        <w:jc w:val="left"/>
        <w:rPr>
          <w:rFonts w:hint="eastAsia" w:ascii="仿宋_GB2312" w:hAnsi="仿宋_GB2312" w:eastAsia="仿宋_GB2312" w:cs="仿宋_GB2312"/>
          <w:i/>
          <w:sz w:val="32"/>
          <w:szCs w:val="32"/>
          <w:u w:val="single"/>
        </w:rPr>
      </w:pPr>
      <w:r>
        <w:rPr>
          <w:rFonts w:hint="eastAsia" w:ascii="仿宋_GB2312" w:hAnsi="仿宋_GB2312" w:eastAsia="仿宋_GB2312" w:cs="仿宋_GB2312"/>
          <w:i/>
          <w:sz w:val="32"/>
          <w:szCs w:val="32"/>
          <w:u w:val="single"/>
        </w:rPr>
        <w:t>采购需求客观、明确，且技术较复杂或者专业性较强的采购项目，如大型装备、咨询服务等，采用固定总价或者固定单价的定价方式。</w:t>
      </w:r>
    </w:p>
    <w:p>
      <w:pPr>
        <w:spacing w:line="560" w:lineRule="exact"/>
        <w:ind w:firstLine="640" w:firstLineChars="200"/>
        <w:jc w:val="left"/>
        <w:rPr>
          <w:rFonts w:hint="eastAsia" w:ascii="仿宋_GB2312" w:hAnsi="仿宋_GB2312" w:eastAsia="仿宋_GB2312" w:cs="仿宋_GB2312"/>
          <w:i/>
          <w:sz w:val="32"/>
          <w:szCs w:val="32"/>
          <w:u w:val="single"/>
        </w:rPr>
      </w:pPr>
      <w:r>
        <w:rPr>
          <w:rFonts w:hint="eastAsia" w:ascii="仿宋_GB2312" w:hAnsi="仿宋_GB2312" w:eastAsia="仿宋_GB2312" w:cs="仿宋_GB2312"/>
          <w:i/>
          <w:sz w:val="32"/>
          <w:szCs w:val="32"/>
          <w:u w:val="single"/>
        </w:rPr>
        <w:t>不能完全确定客观指标，需由供应商提供设计方案、解决方案或者组织方案的采购项目，如首购订购、设计服务、政府和社会资本合作等，根据实现项目目标的要求，采取固定总价或者固定单价、成本补偿、绩效激励等单一或者组合定价方式。</w:t>
      </w: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1.包1</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□固定总价，要求：</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□固定单价，要求：</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□成本补偿，要求：</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□绩效激励，要求：</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选择定价方式的理由：</w:t>
      </w:r>
      <w:r>
        <w:rPr>
          <w:rFonts w:hint="eastAsia" w:ascii="仿宋" w:hAnsi="仿宋" w:eastAsia="仿宋"/>
          <w:sz w:val="32"/>
          <w:szCs w:val="32"/>
          <w:u w:val="single"/>
        </w:rPr>
        <w:t xml:space="preserve">                   </w:t>
      </w: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2.包2</w:t>
      </w:r>
    </w:p>
    <w:p>
      <w:pPr>
        <w:spacing w:line="560" w:lineRule="exact"/>
        <w:ind w:firstLine="640" w:firstLineChars="200"/>
        <w:jc w:val="left"/>
        <w:rPr>
          <w:rFonts w:ascii="楷体" w:hAnsi="楷体" w:eastAsia="楷体"/>
          <w:sz w:val="32"/>
          <w:szCs w:val="32"/>
        </w:rPr>
      </w:pPr>
      <w:r>
        <w:rPr>
          <w:rFonts w:hint="eastAsia" w:ascii="仿宋" w:hAnsi="仿宋" w:eastAsia="仿宋"/>
          <w:sz w:val="32"/>
          <w:szCs w:val="32"/>
        </w:rPr>
        <w:t>……</w:t>
      </w:r>
    </w:p>
    <w:p>
      <w:pPr>
        <w:spacing w:line="560" w:lineRule="exact"/>
        <w:ind w:firstLine="640" w:firstLineChars="200"/>
        <w:jc w:val="left"/>
        <w:rPr>
          <w:rFonts w:ascii="楷体" w:hAnsi="楷体" w:eastAsia="楷体"/>
          <w:sz w:val="32"/>
          <w:szCs w:val="32"/>
        </w:rPr>
      </w:pP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（三）合同文本的主要条款</w:t>
      </w:r>
    </w:p>
    <w:p>
      <w:pPr>
        <w:spacing w:line="560" w:lineRule="exact"/>
        <w:ind w:firstLine="640" w:firstLineChars="200"/>
        <w:jc w:val="left"/>
        <w:rPr>
          <w:rFonts w:hint="eastAsia" w:ascii="仿宋_GB2312" w:hAnsi="仿宋_GB2312" w:eastAsia="仿宋_GB2312" w:cs="仿宋_GB2312"/>
          <w:i/>
          <w:sz w:val="32"/>
          <w:szCs w:val="32"/>
          <w:u w:val="single"/>
        </w:rPr>
      </w:pPr>
      <w:r>
        <w:rPr>
          <w:rFonts w:hint="eastAsia" w:ascii="仿宋_GB2312" w:hAnsi="仿宋_GB2312" w:eastAsia="仿宋_GB2312" w:cs="仿宋_GB2312"/>
          <w:i/>
          <w:sz w:val="32"/>
          <w:szCs w:val="32"/>
          <w:u w:val="single"/>
        </w:rPr>
        <w:t>合同文本应当包含法定必备条款和采购需求的所有内容，包括但不限于标的名称，采购标的质量、数量（规模），履行时间（期限）、地点和方式，包装方式，价款或者报酬、付款进度安排、资金支付方式，验收、交付标准和方法，质量保修范围和保修期，违约责任与解决争议的方法等。</w:t>
      </w:r>
    </w:p>
    <w:p>
      <w:pPr>
        <w:spacing w:line="560" w:lineRule="exact"/>
        <w:ind w:firstLine="640" w:firstLineChars="200"/>
        <w:jc w:val="left"/>
        <w:rPr>
          <w:rFonts w:hint="eastAsia" w:ascii="仿宋_GB2312" w:hAnsi="仿宋_GB2312" w:eastAsia="仿宋_GB2312" w:cs="仿宋_GB2312"/>
          <w:i/>
          <w:sz w:val="32"/>
          <w:szCs w:val="32"/>
          <w:u w:val="single"/>
        </w:rPr>
      </w:pPr>
      <w:r>
        <w:rPr>
          <w:rFonts w:hint="eastAsia" w:ascii="仿宋_GB2312" w:hAnsi="仿宋_GB2312" w:eastAsia="仿宋_GB2312" w:cs="仿宋_GB2312"/>
          <w:i/>
          <w:sz w:val="32"/>
          <w:szCs w:val="32"/>
          <w:u w:val="single"/>
        </w:rPr>
        <w:t>采购项目涉及采购标的的知识产权归属、处理的，如订购、设计、定制开发的信息化建设项目等，应当约定知识产权的归属和处理方式。采购人可以根据项目特点划分合同履行阶段，明确分期考核要求和对应的付款进度安排。对于长期运行的项目，要充分考虑成本、收益以及可能出现的重大 市场风险，在合同中约定成本补偿、风险分担等事项。</w:t>
      </w:r>
    </w:p>
    <w:p>
      <w:pPr>
        <w:spacing w:line="560" w:lineRule="exact"/>
        <w:ind w:firstLine="640" w:firstLineChars="200"/>
        <w:jc w:val="left"/>
        <w:rPr>
          <w:rFonts w:hint="eastAsia" w:ascii="仿宋_GB2312" w:hAnsi="仿宋_GB2312" w:eastAsia="仿宋_GB2312" w:cs="仿宋_GB2312"/>
          <w:i/>
          <w:sz w:val="32"/>
          <w:szCs w:val="32"/>
          <w:u w:val="single"/>
        </w:rPr>
      </w:pPr>
      <w:r>
        <w:rPr>
          <w:rFonts w:hint="eastAsia" w:ascii="仿宋_GB2312" w:hAnsi="仿宋_GB2312" w:eastAsia="仿宋_GB2312" w:cs="仿宋_GB2312"/>
          <w:i/>
          <w:sz w:val="32"/>
          <w:szCs w:val="32"/>
          <w:u w:val="single"/>
        </w:rPr>
        <w:t>合同权利义务要围绕采购需求和合同履行设置。国务院有关部门依法制定了政府采购合同标准文本的，应当使用标准文本。</w:t>
      </w: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1.包1</w:t>
      </w:r>
    </w:p>
    <w:p>
      <w:pPr>
        <w:spacing w:line="560" w:lineRule="exact"/>
        <w:ind w:firstLine="640" w:firstLineChars="200"/>
        <w:jc w:val="left"/>
        <w:rPr>
          <w:rFonts w:ascii="楷体" w:hAnsi="楷体" w:eastAsia="楷体"/>
          <w:sz w:val="32"/>
          <w:szCs w:val="32"/>
          <w:u w:val="single"/>
        </w:rPr>
      </w:pPr>
      <w:r>
        <w:rPr>
          <w:rFonts w:hint="eastAsia" w:ascii="楷体" w:hAnsi="楷体" w:eastAsia="楷体"/>
          <w:sz w:val="32"/>
          <w:szCs w:val="32"/>
          <w:u w:val="single"/>
        </w:rPr>
        <w:t xml:space="preserve">                                                </w:t>
      </w: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2.包2</w:t>
      </w:r>
    </w:p>
    <w:p>
      <w:pPr>
        <w:spacing w:line="560" w:lineRule="exact"/>
        <w:ind w:firstLine="640" w:firstLineChars="200"/>
        <w:jc w:val="left"/>
        <w:rPr>
          <w:rFonts w:ascii="楷体" w:hAnsi="楷体" w:eastAsia="楷体"/>
          <w:sz w:val="32"/>
          <w:szCs w:val="32"/>
          <w:u w:val="single"/>
        </w:rPr>
      </w:pPr>
      <w:r>
        <w:rPr>
          <w:rFonts w:hint="eastAsia" w:ascii="楷体" w:hAnsi="楷体" w:eastAsia="楷体"/>
          <w:sz w:val="32"/>
          <w:szCs w:val="32"/>
          <w:u w:val="single"/>
        </w:rPr>
        <w:t xml:space="preserve">                                                 </w:t>
      </w:r>
    </w:p>
    <w:p>
      <w:pPr>
        <w:spacing w:line="560" w:lineRule="exact"/>
        <w:ind w:firstLine="640" w:firstLineChars="200"/>
        <w:jc w:val="left"/>
        <w:rPr>
          <w:rFonts w:ascii="楷体" w:hAnsi="楷体" w:eastAsia="楷体"/>
          <w:sz w:val="32"/>
          <w:szCs w:val="32"/>
        </w:rPr>
      </w:pPr>
      <w:r>
        <w:rPr>
          <w:rFonts w:hint="eastAsia" w:ascii="仿宋" w:hAnsi="仿宋" w:eastAsia="仿宋"/>
          <w:sz w:val="32"/>
          <w:szCs w:val="32"/>
        </w:rPr>
        <w:t>……</w:t>
      </w:r>
    </w:p>
    <w:p>
      <w:pPr>
        <w:spacing w:line="560" w:lineRule="exact"/>
        <w:ind w:firstLine="640" w:firstLineChars="200"/>
        <w:jc w:val="left"/>
        <w:rPr>
          <w:rFonts w:ascii="楷体" w:hAnsi="楷体" w:eastAsia="楷体"/>
          <w:sz w:val="32"/>
          <w:szCs w:val="32"/>
        </w:rPr>
      </w:pP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（四）履约验收方案</w:t>
      </w:r>
    </w:p>
    <w:p>
      <w:pPr>
        <w:spacing w:line="560" w:lineRule="exact"/>
        <w:ind w:firstLine="640" w:firstLineChars="200"/>
        <w:jc w:val="left"/>
        <w:rPr>
          <w:rFonts w:hint="eastAsia" w:ascii="仿宋_GB2312" w:hAnsi="仿宋_GB2312" w:eastAsia="仿宋_GB2312" w:cs="仿宋_GB2312"/>
          <w:i/>
          <w:sz w:val="32"/>
          <w:szCs w:val="32"/>
          <w:u w:val="single"/>
        </w:rPr>
      </w:pPr>
      <w:r>
        <w:rPr>
          <w:rFonts w:hint="eastAsia" w:ascii="仿宋_GB2312" w:hAnsi="仿宋_GB2312" w:eastAsia="仿宋_GB2312" w:cs="仿宋_GB2312"/>
          <w:i/>
          <w:sz w:val="32"/>
          <w:szCs w:val="32"/>
          <w:u w:val="single"/>
        </w:rPr>
        <w:t>分期实施的采购项目，应当结合分期考核的情况，明确分期验收要求。货物类项目可以根据需要设置出厂检验、到货检验、安装调试检验、配套服务检验等多重验收环节。工程类项目的验收方案应当符合行业管理部门规定的标准、方法和内容。</w:t>
      </w:r>
    </w:p>
    <w:p>
      <w:pPr>
        <w:spacing w:line="560" w:lineRule="exact"/>
        <w:ind w:firstLine="640" w:firstLineChars="200"/>
        <w:jc w:val="left"/>
        <w:rPr>
          <w:rFonts w:hint="eastAsia" w:ascii="仿宋_GB2312" w:hAnsi="仿宋_GB2312" w:eastAsia="仿宋_GB2312" w:cs="仿宋_GB2312"/>
          <w:i/>
          <w:sz w:val="32"/>
          <w:szCs w:val="32"/>
          <w:u w:val="single"/>
        </w:rPr>
      </w:pPr>
      <w:r>
        <w:rPr>
          <w:rFonts w:hint="eastAsia" w:ascii="仿宋_GB2312" w:hAnsi="仿宋_GB2312" w:eastAsia="仿宋_GB2312" w:cs="仿宋_GB2312"/>
          <w:i/>
          <w:sz w:val="32"/>
          <w:szCs w:val="32"/>
          <w:u w:val="single"/>
        </w:rPr>
        <w:t>履约验收方案应当在合同中约定。</w:t>
      </w: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1.包1</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（1）履约验收主体</w:t>
      </w:r>
    </w:p>
    <w:p>
      <w:pPr>
        <w:spacing w:line="560" w:lineRule="exact"/>
        <w:ind w:firstLine="640" w:firstLineChars="200"/>
        <w:jc w:val="left"/>
        <w:rPr>
          <w:rFonts w:ascii="仿宋" w:hAnsi="仿宋" w:eastAsia="仿宋"/>
          <w:sz w:val="32"/>
          <w:szCs w:val="32"/>
          <w:u w:val="single"/>
        </w:rPr>
      </w:pPr>
      <w:r>
        <w:rPr>
          <w:rFonts w:ascii="MS Mincho" w:hAnsi="MS Mincho" w:cs="MS Mincho"/>
          <w:sz w:val="32"/>
          <w:szCs w:val="32"/>
        </w:rPr>
        <w:fldChar w:fldCharType="begin"/>
      </w:r>
      <w:r>
        <w:rPr>
          <w:rFonts w:ascii="MS Mincho" w:hAnsi="MS Mincho" w:cs="MS Mincho"/>
          <w:sz w:val="32"/>
          <w:szCs w:val="32"/>
        </w:rPr>
        <w:instrText xml:space="preserve"> </w:instrText>
      </w:r>
      <w:r>
        <w:rPr>
          <w:rFonts w:hint="eastAsia" w:ascii="MS Mincho" w:hAnsi="MS Mincho" w:cs="MS Mincho"/>
          <w:sz w:val="32"/>
          <w:szCs w:val="32"/>
        </w:rPr>
        <w:instrText xml:space="preserve">eq \o\ac(□</w:instrText>
      </w:r>
      <w:r>
        <w:rPr>
          <w:rFonts w:hint="eastAsia" w:ascii="MS Mincho" w:hAnsi="MS Mincho" w:cs="MS Mincho"/>
          <w:sz w:val="32"/>
          <w:szCs w:val="32"/>
          <w:lang w:eastAsia="zh-CN"/>
        </w:rPr>
        <w:instrText xml:space="preserve">,</w:instrText>
      </w:r>
      <w:r>
        <w:rPr>
          <w:rFonts w:hint="eastAsia" w:ascii="MS Mincho" w:hAnsi="MS Mincho" w:cs="MS Mincho"/>
          <w:position w:val="3"/>
          <w:sz w:val="22"/>
          <w:szCs w:val="32"/>
          <w:lang w:eastAsia="zh-CN"/>
        </w:rPr>
        <w:instrText xml:space="preserve">√</w:instrText>
      </w:r>
      <w:r>
        <w:rPr>
          <w:rFonts w:hint="eastAsia" w:ascii="MS Mincho" w:hAnsi="MS Mincho" w:cs="MS Mincho"/>
          <w:sz w:val="32"/>
          <w:szCs w:val="32"/>
        </w:rPr>
        <w:instrText xml:space="preserve">)</w:instrText>
      </w:r>
      <w:r>
        <w:rPr>
          <w:rFonts w:ascii="MS Mincho" w:hAnsi="MS Mincho" w:cs="MS Mincho"/>
          <w:sz w:val="32"/>
          <w:szCs w:val="32"/>
        </w:rPr>
        <w:fldChar w:fldCharType="end"/>
      </w:r>
      <w:r>
        <w:rPr>
          <w:rFonts w:hint="eastAsia" w:ascii="仿宋" w:hAnsi="仿宋" w:eastAsia="仿宋"/>
          <w:sz w:val="32"/>
          <w:szCs w:val="32"/>
        </w:rPr>
        <w:t>采购人：</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□采购代理机构：</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□本项目的其他供应商：</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□第三方专业机构：</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□专家：</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□服务对象：</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□其他：</w:t>
      </w:r>
      <w:r>
        <w:rPr>
          <w:rFonts w:hint="eastAsia" w:ascii="仿宋" w:hAnsi="仿宋" w:eastAsia="仿宋"/>
          <w:sz w:val="32"/>
          <w:szCs w:val="32"/>
          <w:u w:val="single"/>
        </w:rPr>
        <w:t xml:space="preserve">                               </w:t>
      </w:r>
    </w:p>
    <w:p>
      <w:pPr>
        <w:spacing w:line="560" w:lineRule="exact"/>
        <w:ind w:firstLine="640" w:firstLineChars="200"/>
        <w:jc w:val="left"/>
        <w:rPr>
          <w:rFonts w:hint="eastAsia" w:ascii="仿宋_GB2312" w:hAnsi="仿宋_GB2312" w:eastAsia="仿宋_GB2312" w:cs="仿宋_GB2312"/>
          <w:i/>
          <w:sz w:val="32"/>
          <w:szCs w:val="32"/>
          <w:u w:val="single"/>
        </w:rPr>
      </w:pPr>
      <w:r>
        <w:rPr>
          <w:rFonts w:hint="eastAsia" w:ascii="仿宋_GB2312" w:hAnsi="仿宋_GB2312" w:eastAsia="仿宋_GB2312" w:cs="仿宋_GB2312"/>
          <w:i/>
          <w:sz w:val="32"/>
          <w:szCs w:val="32"/>
          <w:u w:val="single"/>
        </w:rPr>
        <w:t>采购人、采购代理机构可以邀请参加本项目的其他供应商或者第三方专业 机构及专家参与验收，相关验收意见作为验收的参考资料。</w:t>
      </w:r>
    </w:p>
    <w:p>
      <w:pPr>
        <w:spacing w:line="560" w:lineRule="exact"/>
        <w:ind w:firstLine="640" w:firstLineChars="200"/>
        <w:jc w:val="left"/>
        <w:rPr>
          <w:rFonts w:hint="eastAsia" w:ascii="仿宋_GB2312" w:hAnsi="仿宋_GB2312" w:eastAsia="仿宋_GB2312" w:cs="仿宋_GB2312"/>
          <w:i/>
          <w:sz w:val="32"/>
          <w:szCs w:val="32"/>
          <w:u w:val="single"/>
        </w:rPr>
      </w:pPr>
      <w:r>
        <w:rPr>
          <w:rFonts w:hint="eastAsia" w:ascii="仿宋_GB2312" w:hAnsi="仿宋_GB2312" w:eastAsia="仿宋_GB2312" w:cs="仿宋_GB2312"/>
          <w:i/>
          <w:sz w:val="32"/>
          <w:szCs w:val="32"/>
          <w:u w:val="single"/>
        </w:rPr>
        <w:t>政府向社会公众提供的公共服务项目，验收时应当邀请服务对象参与并出具意见，验收结果应当向社会公告。</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（2）履约验收时间</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（3）履约验收方式</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（4）履约验收程序</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（5）履约验收内容</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i/>
          <w:sz w:val="32"/>
          <w:szCs w:val="32"/>
          <w:u w:val="single"/>
        </w:rPr>
        <w:t>验收内容要包括每一项技术和商务要求的履约情况，验收标准要包括所有客观、量化指标。不能明确客观标准、涉及主观判断的，可以通过在采购人、使用人中开展问卷调查等方式，转化为客观、量化的验收标准。</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（6）履约验收验收标准</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（7）履约验收其他事项</w:t>
      </w:r>
    </w:p>
    <w:p>
      <w:pPr>
        <w:spacing w:line="560" w:lineRule="exact"/>
        <w:ind w:firstLine="640" w:firstLineChars="200"/>
        <w:jc w:val="left"/>
        <w:rPr>
          <w:rFonts w:ascii="楷体" w:hAnsi="楷体" w:eastAsia="楷体"/>
          <w:sz w:val="32"/>
          <w:szCs w:val="32"/>
          <w:u w:val="single"/>
        </w:rPr>
      </w:pPr>
      <w:r>
        <w:rPr>
          <w:rFonts w:hint="eastAsia" w:ascii="楷体" w:hAnsi="楷体" w:eastAsia="楷体"/>
          <w:sz w:val="32"/>
          <w:szCs w:val="32"/>
          <w:u w:val="single"/>
        </w:rPr>
        <w:t xml:space="preserve">                                                 </w:t>
      </w: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2.包2</w:t>
      </w:r>
    </w:p>
    <w:p>
      <w:pPr>
        <w:spacing w:line="560" w:lineRule="exact"/>
        <w:ind w:firstLine="640" w:firstLineChars="200"/>
        <w:jc w:val="left"/>
        <w:rPr>
          <w:rFonts w:ascii="楷体" w:hAnsi="楷体" w:eastAsia="楷体"/>
          <w:sz w:val="32"/>
          <w:szCs w:val="32"/>
        </w:rPr>
      </w:pPr>
      <w:r>
        <w:rPr>
          <w:rFonts w:hint="eastAsia" w:ascii="仿宋" w:hAnsi="仿宋" w:eastAsia="仿宋"/>
          <w:sz w:val="32"/>
          <w:szCs w:val="32"/>
        </w:rPr>
        <w:t>……</w:t>
      </w:r>
    </w:p>
    <w:p>
      <w:pPr>
        <w:spacing w:line="560" w:lineRule="exact"/>
        <w:ind w:firstLine="640" w:firstLineChars="200"/>
        <w:jc w:val="left"/>
        <w:rPr>
          <w:rFonts w:ascii="楷体" w:hAnsi="楷体" w:eastAsia="楷体"/>
          <w:sz w:val="32"/>
          <w:szCs w:val="32"/>
        </w:rPr>
      </w:pP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（五）风险管控措施</w:t>
      </w:r>
    </w:p>
    <w:p>
      <w:pPr>
        <w:spacing w:line="560" w:lineRule="exact"/>
        <w:ind w:firstLine="640" w:firstLineChars="200"/>
        <w:jc w:val="left"/>
        <w:rPr>
          <w:rFonts w:ascii="仿宋" w:hAnsi="仿宋" w:eastAsia="仿宋"/>
          <w:i/>
          <w:sz w:val="32"/>
          <w:szCs w:val="32"/>
          <w:u w:val="single"/>
        </w:rPr>
      </w:pPr>
      <w:r>
        <w:rPr>
          <w:rFonts w:hint="eastAsia" w:ascii="仿宋_GB2312" w:hAnsi="仿宋_GB2312" w:eastAsia="仿宋_GB2312" w:cs="仿宋_GB2312"/>
          <w:i/>
          <w:sz w:val="32"/>
          <w:szCs w:val="32"/>
          <w:u w:val="single"/>
        </w:rPr>
        <w:t>对于《财政部关于印发政府采购需求管理办法的通知》第十一条规定的采购项目，要研究采购过程和合同履行过程中的风险，判断风险发生的环节、可能性、影响程度和管控责任，提出有针对性的处置措施和替代方案。</w:t>
      </w: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1.包1</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（1）国家政策变化应对措施：</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（2）实施环境变化应对措施：</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（3）重大技术变化应对措施：</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（4）预算项目调整应对措施：</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（5）因质疑投诉影响采购进度应对措施：</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（6）采购失败应对措施：</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（7）不按规定签订或者履行合同应对措施：</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（8）出现损害国家利益和社会公共利益情形应对措施：</w:t>
      </w:r>
      <w:r>
        <w:rPr>
          <w:rFonts w:hint="eastAsia" w:ascii="仿宋" w:hAnsi="仿宋" w:eastAsia="仿宋"/>
          <w:sz w:val="32"/>
          <w:szCs w:val="32"/>
          <w:u w:val="single"/>
        </w:rPr>
        <w:t xml:space="preserve"> </w:t>
      </w:r>
    </w:p>
    <w:p>
      <w:pPr>
        <w:spacing w:line="560" w:lineRule="exact"/>
        <w:ind w:firstLine="640" w:firstLineChars="200"/>
        <w:jc w:val="left"/>
        <w:rPr>
          <w:rFonts w:ascii="楷体" w:hAnsi="楷体" w:eastAsia="楷体"/>
          <w:sz w:val="32"/>
          <w:szCs w:val="32"/>
          <w:u w:val="single"/>
        </w:rPr>
      </w:pPr>
      <w:r>
        <w:rPr>
          <w:rFonts w:hint="eastAsia" w:ascii="仿宋" w:hAnsi="仿宋" w:eastAsia="仿宋"/>
          <w:sz w:val="32"/>
          <w:szCs w:val="32"/>
          <w:u w:val="single"/>
        </w:rPr>
        <w:t xml:space="preserve">                                                 </w:t>
      </w: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2.包2</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w:t>
      </w:r>
    </w:p>
    <w:p>
      <w:pPr>
        <w:sectPr>
          <w:footerReference r:id="rId8" w:type="default"/>
          <w:pgSz w:w="11906" w:h="16838"/>
          <w:pgMar w:top="1440" w:right="1800" w:bottom="1440" w:left="1800" w:header="851" w:footer="992" w:gutter="0"/>
          <w:pgNumType w:fmt="decimal"/>
          <w:cols w:space="720" w:num="1"/>
          <w:docGrid w:type="lines" w:linePitch="312" w:charSpace="0"/>
        </w:sectPr>
      </w:pPr>
    </w:p>
    <w:p>
      <w:pPr>
        <w:rPr>
          <w:rFonts w:hint="eastAsia" w:ascii="黑体" w:hAnsi="黑体" w:eastAsia="黑体" w:cs="宋体"/>
          <w:sz w:val="28"/>
          <w:szCs w:val="28"/>
          <w:lang w:val="en-US" w:eastAsia="zh-CN"/>
        </w:rPr>
      </w:pPr>
      <w:r>
        <w:rPr>
          <w:rFonts w:hint="eastAsia" w:ascii="黑体" w:hAnsi="黑体" w:eastAsia="黑体" w:cs="宋体"/>
          <w:sz w:val="28"/>
          <w:szCs w:val="28"/>
        </w:rPr>
        <w:t>附件</w:t>
      </w:r>
      <w:r>
        <w:rPr>
          <w:rFonts w:hint="eastAsia" w:ascii="黑体" w:hAnsi="黑体" w:eastAsia="黑体" w:cs="宋体"/>
          <w:sz w:val="28"/>
          <w:szCs w:val="28"/>
          <w:lang w:val="en-US" w:eastAsia="zh-CN"/>
        </w:rPr>
        <w:t>5</w:t>
      </w:r>
    </w:p>
    <w:p>
      <w:pPr>
        <w:jc w:val="center"/>
        <w:rPr>
          <w:rFonts w:ascii="方正小标宋简体" w:hAnsi="方正小标宋简体" w:eastAsia="方正小标宋简体" w:cs="宋体"/>
          <w:sz w:val="44"/>
          <w:szCs w:val="44"/>
          <w:u w:val="single"/>
        </w:rPr>
      </w:pPr>
    </w:p>
    <w:p>
      <w:pPr>
        <w:jc w:val="center"/>
        <w:rPr>
          <w:rFonts w:ascii="方正小标宋简体" w:hAnsi="方正小标宋简体" w:eastAsia="方正小标宋简体" w:cs="宋体"/>
          <w:sz w:val="72"/>
          <w:szCs w:val="72"/>
        </w:rPr>
      </w:pPr>
      <w:r>
        <w:rPr>
          <w:rFonts w:hint="eastAsia" w:ascii="方正小标宋简体" w:hAnsi="方正小标宋简体" w:eastAsia="方正小标宋简体" w:cs="宋体"/>
          <w:sz w:val="72"/>
          <w:szCs w:val="72"/>
        </w:rPr>
        <w:t>政 府 采 购 项 目</w:t>
      </w:r>
    </w:p>
    <w:p>
      <w:pPr>
        <w:jc w:val="center"/>
        <w:rPr>
          <w:rFonts w:ascii="方正小标宋简体" w:hAnsi="方正小标宋简体" w:eastAsia="方正小标宋简体" w:cs="宋体"/>
          <w:sz w:val="72"/>
          <w:szCs w:val="72"/>
        </w:rPr>
      </w:pPr>
      <w:r>
        <w:rPr>
          <w:rFonts w:hint="eastAsia" w:ascii="方正小标宋简体" w:hAnsi="方正小标宋简体" w:eastAsia="方正小标宋简体" w:cs="宋体"/>
          <w:sz w:val="72"/>
          <w:szCs w:val="72"/>
        </w:rPr>
        <w:t>采购需求和采购实施计划</w:t>
      </w:r>
    </w:p>
    <w:p>
      <w:pPr>
        <w:jc w:val="center"/>
        <w:rPr>
          <w:rFonts w:hint="default" w:ascii="方正小标宋简体" w:hAnsi="方正小标宋简体" w:eastAsia="方正小标宋简体" w:cs="宋体"/>
          <w:sz w:val="72"/>
          <w:szCs w:val="72"/>
          <w:lang w:val="en-US" w:eastAsia="zh-CN"/>
        </w:rPr>
      </w:pPr>
      <w:r>
        <w:rPr>
          <w:rFonts w:hint="eastAsia" w:ascii="方正小标宋简体" w:hAnsi="方正小标宋简体" w:eastAsia="方正小标宋简体" w:cs="宋体"/>
          <w:sz w:val="72"/>
          <w:szCs w:val="72"/>
        </w:rPr>
        <w:t>一般性审查意见书</w:t>
      </w:r>
      <w:r>
        <w:rPr>
          <w:rFonts w:hint="eastAsia" w:ascii="方正小标宋简体" w:hAnsi="方正小标宋简体" w:eastAsia="方正小标宋简体" w:cs="宋体"/>
          <w:sz w:val="72"/>
          <w:szCs w:val="72"/>
          <w:lang w:val="en-US" w:eastAsia="zh-CN"/>
        </w:rPr>
        <w:t xml:space="preserve">                                                                            </w:t>
      </w:r>
    </w:p>
    <w:p>
      <w:pPr>
        <w:jc w:val="center"/>
        <w:rPr>
          <w:rFonts w:ascii="方正小标宋简体" w:hAnsi="方正小标宋简体" w:eastAsia="方正小标宋简体"/>
          <w:sz w:val="44"/>
          <w:szCs w:val="44"/>
        </w:rPr>
      </w:pPr>
    </w:p>
    <w:p>
      <w:pPr>
        <w:jc w:val="center"/>
        <w:rPr>
          <w:rFonts w:ascii="方正小标宋简体" w:hAnsi="方正小标宋简体" w:eastAsia="方正小标宋简体"/>
          <w:sz w:val="44"/>
          <w:szCs w:val="44"/>
        </w:rPr>
      </w:pPr>
    </w:p>
    <w:p>
      <w:pPr>
        <w:ind w:firstLine="1440" w:firstLineChars="450"/>
        <w:rPr>
          <w:rFonts w:ascii="方正小标宋简体" w:hAnsi="方正小标宋简体" w:eastAsia="方正小标宋简体"/>
          <w:sz w:val="32"/>
          <w:szCs w:val="32"/>
          <w:u w:val="single"/>
        </w:rPr>
      </w:pPr>
      <w:r>
        <w:rPr>
          <w:rFonts w:ascii="方正小标宋简体" w:hAnsi="方正小标宋简体" w:eastAsia="方正小标宋简体"/>
          <w:sz w:val="32"/>
          <w:szCs w:val="32"/>
        </w:rPr>
        <w:t>项</w:t>
      </w:r>
      <w:r>
        <w:rPr>
          <w:rFonts w:hint="eastAsia" w:ascii="方正小标宋简体" w:hAnsi="方正小标宋简体" w:eastAsia="方正小标宋简体"/>
          <w:sz w:val="32"/>
          <w:szCs w:val="32"/>
        </w:rPr>
        <w:t xml:space="preserve"> </w:t>
      </w:r>
      <w:r>
        <w:rPr>
          <w:rFonts w:ascii="方正小标宋简体" w:hAnsi="方正小标宋简体" w:eastAsia="方正小标宋简体"/>
          <w:sz w:val="32"/>
          <w:szCs w:val="32"/>
        </w:rPr>
        <w:t>目</w:t>
      </w:r>
      <w:r>
        <w:rPr>
          <w:rFonts w:hint="eastAsia" w:ascii="方正小标宋简体" w:hAnsi="方正小标宋简体" w:eastAsia="方正小标宋简体"/>
          <w:sz w:val="32"/>
          <w:szCs w:val="32"/>
        </w:rPr>
        <w:t xml:space="preserve"> </w:t>
      </w:r>
      <w:r>
        <w:rPr>
          <w:rFonts w:ascii="方正小标宋简体" w:hAnsi="方正小标宋简体" w:eastAsia="方正小标宋简体"/>
          <w:sz w:val="32"/>
          <w:szCs w:val="32"/>
        </w:rPr>
        <w:t>名</w:t>
      </w:r>
      <w:r>
        <w:rPr>
          <w:rFonts w:hint="eastAsia" w:ascii="方正小标宋简体" w:hAnsi="方正小标宋简体" w:eastAsia="方正小标宋简体"/>
          <w:sz w:val="32"/>
          <w:szCs w:val="32"/>
        </w:rPr>
        <w:t xml:space="preserve"> </w:t>
      </w:r>
      <w:r>
        <w:rPr>
          <w:rFonts w:ascii="方正小标宋简体" w:hAnsi="方正小标宋简体" w:eastAsia="方正小标宋简体"/>
          <w:sz w:val="32"/>
          <w:szCs w:val="32"/>
        </w:rPr>
        <w:t>称</w:t>
      </w:r>
      <w:r>
        <w:rPr>
          <w:rFonts w:hint="eastAsia" w:ascii="方正小标宋简体" w:hAnsi="方正小标宋简体" w:eastAsia="方正小标宋简体"/>
          <w:sz w:val="32"/>
          <w:szCs w:val="32"/>
        </w:rPr>
        <w:t>：</w:t>
      </w:r>
      <w:r>
        <w:rPr>
          <w:rFonts w:hint="eastAsia" w:ascii="方正小标宋简体" w:hAnsi="方正小标宋简体" w:eastAsia="方正小标宋简体"/>
          <w:sz w:val="32"/>
          <w:szCs w:val="32"/>
          <w:u w:val="single"/>
        </w:rPr>
        <w:t xml:space="preserve">                     </w:t>
      </w:r>
    </w:p>
    <w:p>
      <w:pPr>
        <w:ind w:firstLine="1440" w:firstLineChars="450"/>
        <w:rPr>
          <w:rFonts w:ascii="方正小标宋简体" w:hAnsi="方正小标宋简体" w:eastAsia="方正小标宋简体"/>
          <w:sz w:val="32"/>
          <w:szCs w:val="32"/>
          <w:u w:val="single"/>
        </w:rPr>
      </w:pPr>
      <w:r>
        <w:rPr>
          <w:rFonts w:hint="eastAsia" w:ascii="方正小标宋简体" w:hAnsi="方正小标宋简体" w:eastAsia="方正小标宋简体"/>
          <w:sz w:val="32"/>
          <w:szCs w:val="32"/>
        </w:rPr>
        <w:t>采 购 单 位：</w:t>
      </w:r>
      <w:r>
        <w:rPr>
          <w:rFonts w:hint="eastAsia" w:ascii="方正小标宋简体" w:hAnsi="方正小标宋简体" w:eastAsia="方正小标宋简体"/>
          <w:sz w:val="32"/>
          <w:szCs w:val="32"/>
          <w:u w:val="single"/>
        </w:rPr>
        <w:t xml:space="preserve">                     </w:t>
      </w:r>
    </w:p>
    <w:p>
      <w:pPr>
        <w:ind w:firstLine="1440" w:firstLineChars="450"/>
        <w:rPr>
          <w:rFonts w:ascii="方正小标宋简体" w:hAnsi="方正小标宋简体" w:eastAsia="方正小标宋简体"/>
          <w:sz w:val="32"/>
          <w:szCs w:val="32"/>
          <w:u w:val="single"/>
        </w:rPr>
      </w:pPr>
      <w:r>
        <w:rPr>
          <w:rFonts w:hint="eastAsia" w:ascii="方正小标宋简体" w:hAnsi="方正小标宋简体" w:eastAsia="方正小标宋简体"/>
          <w:sz w:val="32"/>
          <w:szCs w:val="32"/>
        </w:rPr>
        <w:t>预算主管部门：</w:t>
      </w:r>
      <w:r>
        <w:rPr>
          <w:rFonts w:hint="eastAsia" w:ascii="方正小标宋简体" w:hAnsi="方正小标宋简体" w:eastAsia="方正小标宋简体"/>
          <w:sz w:val="32"/>
          <w:szCs w:val="32"/>
          <w:u w:val="single"/>
        </w:rPr>
        <w:t xml:space="preserve">                    </w:t>
      </w:r>
    </w:p>
    <w:p>
      <w:pPr>
        <w:ind w:firstLine="1440" w:firstLineChars="450"/>
        <w:rPr>
          <w:rFonts w:ascii="方正小标宋简体" w:hAnsi="方正小标宋简体" w:eastAsia="方正小标宋简体"/>
          <w:sz w:val="32"/>
          <w:szCs w:val="32"/>
          <w:u w:val="single"/>
        </w:rPr>
      </w:pPr>
      <w:r>
        <w:rPr>
          <w:rFonts w:hint="eastAsia" w:ascii="方正小标宋简体" w:hAnsi="方正小标宋简体" w:eastAsia="方正小标宋简体"/>
          <w:sz w:val="32"/>
          <w:szCs w:val="32"/>
        </w:rPr>
        <w:t>审 查 时 间：</w:t>
      </w:r>
      <w:r>
        <w:rPr>
          <w:rFonts w:hint="eastAsia" w:ascii="方正小标宋简体" w:hAnsi="方正小标宋简体" w:eastAsia="方正小标宋简体"/>
          <w:sz w:val="32"/>
          <w:szCs w:val="32"/>
          <w:u w:val="single"/>
        </w:rPr>
        <w:t xml:space="preserve">                     </w:t>
      </w: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sectPr>
          <w:pgSz w:w="11906" w:h="16838"/>
          <w:pgMar w:top="1440" w:right="1800" w:bottom="1440" w:left="1800" w:header="851" w:footer="992" w:gutter="0"/>
          <w:pgNumType w:fmt="decimal"/>
          <w:cols w:space="720" w:num="1"/>
          <w:docGrid w:type="lines" w:linePitch="312" w:charSpace="0"/>
        </w:sectPr>
      </w:pP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 xml:space="preserve">审 查 </w:t>
      </w:r>
      <w:r>
        <w:rPr>
          <w:rFonts w:ascii="方正小标宋简体" w:hAnsi="方正小标宋简体" w:eastAsia="方正小标宋简体"/>
          <w:sz w:val="44"/>
          <w:szCs w:val="44"/>
        </w:rPr>
        <w:t>说</w:t>
      </w:r>
      <w:r>
        <w:rPr>
          <w:rFonts w:hint="eastAsia" w:ascii="方正小标宋简体" w:hAnsi="方正小标宋简体" w:eastAsia="方正小标宋简体"/>
          <w:sz w:val="44"/>
          <w:szCs w:val="44"/>
        </w:rPr>
        <w:t xml:space="preserve"> </w:t>
      </w:r>
      <w:r>
        <w:rPr>
          <w:rFonts w:ascii="方正小标宋简体" w:hAnsi="方正小标宋简体" w:eastAsia="方正小标宋简体"/>
          <w:sz w:val="44"/>
          <w:szCs w:val="44"/>
        </w:rPr>
        <w:t>明</w:t>
      </w:r>
    </w:p>
    <w:p>
      <w:pPr>
        <w:spacing w:line="560" w:lineRule="exact"/>
        <w:ind w:firstLine="640" w:firstLineChars="200"/>
        <w:rPr>
          <w:rFonts w:ascii="仿宋" w:hAnsi="仿宋" w:eastAsia="仿宋"/>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一、采购人应当建立审查工作机制，在采购活动开始前，针对采购需求管理中的重点风险事项，对采购需求和采购实施计划进行审查。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二、一般性审查的具体采购项目范围，由采购人根据实际情况确定。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三、审查应当符合《财政部关于印发政府采购需求管理办法的通知》（财库〔2021〕22号）要求及政府采购的相关规定。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四、对于审查不通过的，应当修改采购需求和采购实施计划的内容并重新进行审查。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五、斜体字部分属于提醒内容，编制时应删除。</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六、对不适用的内容应删除，并调整相应序号。</w:t>
      </w:r>
    </w:p>
    <w:p>
      <w:pPr>
        <w:spacing w:line="560" w:lineRule="exact"/>
        <w:rPr>
          <w:rFonts w:ascii="仿宋_GB2312" w:hAnsi="Calibri" w:eastAsia="仿宋_GB2312"/>
          <w:sz w:val="32"/>
          <w:szCs w:val="32"/>
        </w:rPr>
        <w:sectPr>
          <w:footerReference r:id="rId9" w:type="default"/>
          <w:pgSz w:w="11906" w:h="16838"/>
          <w:pgMar w:top="1440" w:right="1800" w:bottom="1440" w:left="1800" w:header="851" w:footer="992" w:gutter="0"/>
          <w:pgNumType w:fmt="decimal"/>
          <w:cols w:space="720" w:num="1"/>
          <w:docGrid w:type="lines" w:linePitch="312" w:charSpace="0"/>
        </w:sectPr>
      </w:pP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一、审查项目情况</w:t>
      </w:r>
    </w:p>
    <w:p>
      <w:pPr>
        <w:spacing w:line="560" w:lineRule="exact"/>
        <w:ind w:firstLine="640" w:firstLineChars="200"/>
        <w:jc w:val="left"/>
        <w:rPr>
          <w:rFonts w:ascii="楷体" w:hAnsi="楷体" w:eastAsia="楷体"/>
          <w:sz w:val="32"/>
          <w:szCs w:val="32"/>
          <w:u w:val="single"/>
        </w:rPr>
      </w:pPr>
      <w:r>
        <w:rPr>
          <w:rFonts w:hint="eastAsia" w:ascii="楷体" w:hAnsi="楷体" w:eastAsia="楷体"/>
          <w:sz w:val="32"/>
          <w:szCs w:val="32"/>
        </w:rPr>
        <w:t>（一）审查项目名称：</w:t>
      </w:r>
      <w:r>
        <w:rPr>
          <w:rFonts w:hint="eastAsia" w:ascii="楷体" w:hAnsi="楷体" w:eastAsia="楷体"/>
          <w:sz w:val="32"/>
          <w:szCs w:val="32"/>
          <w:u w:val="single"/>
        </w:rPr>
        <w:t xml:space="preserve">                            </w:t>
      </w: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（二）审查对象：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1.采购需求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参与确定采购需求的专家、第三方机构：</w:t>
      </w:r>
    </w:p>
    <w:p>
      <w:pPr>
        <w:spacing w:line="560" w:lineRule="exact"/>
        <w:ind w:firstLine="640" w:firstLineChars="200"/>
        <w:rPr>
          <w:rFonts w:ascii="仿宋" w:hAnsi="仿宋" w:eastAsia="仿宋"/>
          <w:sz w:val="32"/>
          <w:szCs w:val="32"/>
          <w:u w:val="single"/>
        </w:rPr>
      </w:pPr>
      <w:r>
        <w:rPr>
          <w:rFonts w:hint="eastAsia" w:ascii="仿宋" w:hAnsi="仿宋" w:eastAsia="仿宋"/>
          <w:sz w:val="32"/>
          <w:szCs w:val="32"/>
          <w:u w:val="single"/>
        </w:rPr>
        <w:t xml:space="preserve">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2.采购实施计划</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参与确定采购实施计划的专家、第三方机构：</w:t>
      </w:r>
    </w:p>
    <w:p>
      <w:pPr>
        <w:spacing w:line="560" w:lineRule="exact"/>
        <w:ind w:firstLine="640" w:firstLineChars="200"/>
        <w:rPr>
          <w:rFonts w:ascii="仿宋" w:hAnsi="仿宋" w:eastAsia="仿宋"/>
          <w:sz w:val="32"/>
          <w:szCs w:val="32"/>
          <w:u w:val="single"/>
        </w:rPr>
      </w:pPr>
      <w:r>
        <w:rPr>
          <w:rFonts w:hint="eastAsia" w:ascii="仿宋" w:hAnsi="仿宋" w:eastAsia="仿宋"/>
          <w:sz w:val="32"/>
          <w:szCs w:val="32"/>
          <w:u w:val="single"/>
        </w:rPr>
        <w:t xml:space="preserve">                                                </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二、审查人员</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992"/>
        <w:gridCol w:w="993"/>
        <w:gridCol w:w="1505"/>
        <w:gridCol w:w="1744"/>
        <w:gridCol w:w="1799"/>
        <w:gridCol w:w="10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05" w:type="dxa"/>
            <w:noWrap w:val="0"/>
            <w:vAlign w:val="center"/>
          </w:tcPr>
          <w:p>
            <w:pPr>
              <w:spacing w:line="560" w:lineRule="exact"/>
              <w:jc w:val="center"/>
              <w:rPr>
                <w:rFonts w:ascii="仿宋" w:hAnsi="仿宋" w:eastAsia="仿宋"/>
                <w:sz w:val="32"/>
                <w:szCs w:val="32"/>
              </w:rPr>
            </w:pPr>
            <w:r>
              <w:rPr>
                <w:rFonts w:hint="eastAsia" w:ascii="仿宋" w:hAnsi="仿宋" w:eastAsia="仿宋"/>
                <w:sz w:val="32"/>
                <w:szCs w:val="32"/>
              </w:rPr>
              <w:t>序号</w:t>
            </w:r>
          </w:p>
        </w:tc>
        <w:tc>
          <w:tcPr>
            <w:tcW w:w="992" w:type="dxa"/>
            <w:tcBorders>
              <w:right w:val="single" w:color="auto" w:sz="4" w:space="0"/>
            </w:tcBorders>
            <w:noWrap w:val="0"/>
            <w:vAlign w:val="center"/>
          </w:tcPr>
          <w:p>
            <w:pPr>
              <w:spacing w:line="560" w:lineRule="exact"/>
              <w:jc w:val="center"/>
              <w:rPr>
                <w:rFonts w:ascii="仿宋" w:hAnsi="仿宋" w:eastAsia="仿宋"/>
                <w:sz w:val="32"/>
                <w:szCs w:val="32"/>
              </w:rPr>
            </w:pPr>
            <w:r>
              <w:rPr>
                <w:rFonts w:ascii="仿宋" w:hAnsi="仿宋" w:eastAsia="仿宋"/>
                <w:sz w:val="32"/>
                <w:szCs w:val="32"/>
              </w:rPr>
              <w:t>姓名</w:t>
            </w:r>
          </w:p>
        </w:tc>
        <w:tc>
          <w:tcPr>
            <w:tcW w:w="993" w:type="dxa"/>
            <w:tcBorders>
              <w:left w:val="single" w:color="auto" w:sz="4" w:space="0"/>
            </w:tcBorders>
            <w:noWrap w:val="0"/>
            <w:vAlign w:val="center"/>
          </w:tcPr>
          <w:p>
            <w:pPr>
              <w:spacing w:line="560" w:lineRule="exact"/>
              <w:jc w:val="center"/>
              <w:rPr>
                <w:rFonts w:ascii="仿宋" w:hAnsi="仿宋" w:eastAsia="仿宋"/>
                <w:sz w:val="32"/>
                <w:szCs w:val="32"/>
              </w:rPr>
            </w:pPr>
            <w:r>
              <w:rPr>
                <w:rFonts w:hint="eastAsia" w:ascii="仿宋" w:hAnsi="仿宋" w:eastAsia="仿宋"/>
                <w:sz w:val="32"/>
                <w:szCs w:val="32"/>
              </w:rPr>
              <w:t>单位</w:t>
            </w:r>
          </w:p>
        </w:tc>
        <w:tc>
          <w:tcPr>
            <w:tcW w:w="1505" w:type="dxa"/>
            <w:noWrap w:val="0"/>
            <w:vAlign w:val="center"/>
          </w:tcPr>
          <w:p>
            <w:pPr>
              <w:spacing w:line="560" w:lineRule="exact"/>
              <w:jc w:val="center"/>
              <w:rPr>
                <w:rFonts w:ascii="仿宋" w:hAnsi="仿宋" w:eastAsia="仿宋"/>
                <w:sz w:val="32"/>
                <w:szCs w:val="32"/>
              </w:rPr>
            </w:pPr>
            <w:r>
              <w:rPr>
                <w:rFonts w:hint="eastAsia" w:ascii="仿宋" w:hAnsi="仿宋" w:eastAsia="仿宋"/>
                <w:sz w:val="32"/>
                <w:szCs w:val="32"/>
              </w:rPr>
              <w:t>内部机构</w:t>
            </w:r>
          </w:p>
        </w:tc>
        <w:tc>
          <w:tcPr>
            <w:tcW w:w="1744" w:type="dxa"/>
            <w:noWrap w:val="0"/>
            <w:vAlign w:val="center"/>
          </w:tcPr>
          <w:p>
            <w:pPr>
              <w:spacing w:line="560" w:lineRule="exact"/>
              <w:jc w:val="center"/>
              <w:rPr>
                <w:rFonts w:ascii="仿宋" w:hAnsi="仿宋" w:eastAsia="仿宋"/>
                <w:sz w:val="32"/>
                <w:szCs w:val="32"/>
              </w:rPr>
            </w:pPr>
            <w:r>
              <w:rPr>
                <w:rFonts w:hint="eastAsia" w:ascii="仿宋" w:hAnsi="仿宋" w:eastAsia="仿宋"/>
                <w:sz w:val="32"/>
                <w:szCs w:val="32"/>
              </w:rPr>
              <w:t>职务/职称</w:t>
            </w:r>
          </w:p>
        </w:tc>
        <w:tc>
          <w:tcPr>
            <w:tcW w:w="1799" w:type="dxa"/>
            <w:noWrap w:val="0"/>
            <w:vAlign w:val="center"/>
          </w:tcPr>
          <w:p>
            <w:pPr>
              <w:spacing w:line="560" w:lineRule="exact"/>
              <w:jc w:val="center"/>
              <w:rPr>
                <w:rFonts w:ascii="仿宋" w:hAnsi="仿宋" w:eastAsia="仿宋"/>
                <w:sz w:val="32"/>
                <w:szCs w:val="32"/>
              </w:rPr>
            </w:pPr>
            <w:r>
              <w:rPr>
                <w:rFonts w:hint="eastAsia" w:ascii="仿宋" w:hAnsi="仿宋" w:eastAsia="仿宋"/>
                <w:sz w:val="32"/>
                <w:szCs w:val="32"/>
              </w:rPr>
              <w:t>联系方式</w:t>
            </w:r>
          </w:p>
        </w:tc>
        <w:tc>
          <w:tcPr>
            <w:tcW w:w="1043" w:type="dxa"/>
            <w:noWrap w:val="0"/>
            <w:vAlign w:val="center"/>
          </w:tcPr>
          <w:p>
            <w:pPr>
              <w:spacing w:line="560" w:lineRule="exact"/>
              <w:jc w:val="center"/>
              <w:rPr>
                <w:rFonts w:ascii="仿宋" w:hAnsi="仿宋" w:eastAsia="仿宋"/>
                <w:sz w:val="32"/>
                <w:szCs w:val="32"/>
              </w:rPr>
            </w:pPr>
            <w:r>
              <w:rPr>
                <w:rFonts w:hint="eastAsia" w:ascii="仿宋" w:hAnsi="仿宋" w:eastAsia="仿宋"/>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05" w:type="dxa"/>
            <w:noWrap w:val="0"/>
            <w:vAlign w:val="center"/>
          </w:tcPr>
          <w:p>
            <w:pPr>
              <w:spacing w:line="560" w:lineRule="exact"/>
              <w:jc w:val="center"/>
              <w:rPr>
                <w:rFonts w:ascii="仿宋" w:hAnsi="仿宋" w:eastAsia="仿宋"/>
                <w:sz w:val="32"/>
                <w:szCs w:val="32"/>
              </w:rPr>
            </w:pPr>
          </w:p>
        </w:tc>
        <w:tc>
          <w:tcPr>
            <w:tcW w:w="992" w:type="dxa"/>
            <w:tcBorders>
              <w:right w:val="single" w:color="auto" w:sz="4" w:space="0"/>
            </w:tcBorders>
            <w:noWrap w:val="0"/>
            <w:vAlign w:val="center"/>
          </w:tcPr>
          <w:p>
            <w:pPr>
              <w:spacing w:line="560" w:lineRule="exact"/>
              <w:jc w:val="center"/>
              <w:rPr>
                <w:rFonts w:ascii="仿宋" w:hAnsi="仿宋" w:eastAsia="仿宋"/>
                <w:sz w:val="32"/>
                <w:szCs w:val="32"/>
              </w:rPr>
            </w:pPr>
          </w:p>
        </w:tc>
        <w:tc>
          <w:tcPr>
            <w:tcW w:w="993" w:type="dxa"/>
            <w:tcBorders>
              <w:left w:val="single" w:color="auto" w:sz="4" w:space="0"/>
            </w:tcBorders>
            <w:noWrap w:val="0"/>
            <w:vAlign w:val="center"/>
          </w:tcPr>
          <w:p>
            <w:pPr>
              <w:spacing w:line="560" w:lineRule="exact"/>
              <w:jc w:val="center"/>
              <w:rPr>
                <w:rFonts w:ascii="仿宋" w:hAnsi="仿宋" w:eastAsia="仿宋"/>
                <w:sz w:val="32"/>
                <w:szCs w:val="32"/>
              </w:rPr>
            </w:pPr>
          </w:p>
        </w:tc>
        <w:tc>
          <w:tcPr>
            <w:tcW w:w="1505" w:type="dxa"/>
            <w:noWrap w:val="0"/>
            <w:vAlign w:val="center"/>
          </w:tcPr>
          <w:p>
            <w:pPr>
              <w:spacing w:line="560" w:lineRule="exact"/>
              <w:jc w:val="center"/>
              <w:rPr>
                <w:rFonts w:ascii="仿宋" w:hAnsi="仿宋" w:eastAsia="仿宋"/>
                <w:sz w:val="32"/>
                <w:szCs w:val="32"/>
              </w:rPr>
            </w:pPr>
          </w:p>
        </w:tc>
        <w:tc>
          <w:tcPr>
            <w:tcW w:w="1744" w:type="dxa"/>
            <w:noWrap w:val="0"/>
            <w:vAlign w:val="center"/>
          </w:tcPr>
          <w:p>
            <w:pPr>
              <w:spacing w:line="560" w:lineRule="exact"/>
              <w:jc w:val="center"/>
              <w:rPr>
                <w:rFonts w:ascii="仿宋" w:hAnsi="仿宋" w:eastAsia="仿宋"/>
                <w:sz w:val="32"/>
                <w:szCs w:val="32"/>
              </w:rPr>
            </w:pPr>
          </w:p>
        </w:tc>
        <w:tc>
          <w:tcPr>
            <w:tcW w:w="1799" w:type="dxa"/>
            <w:noWrap w:val="0"/>
            <w:vAlign w:val="center"/>
          </w:tcPr>
          <w:p>
            <w:pPr>
              <w:spacing w:line="560" w:lineRule="exact"/>
              <w:jc w:val="center"/>
              <w:rPr>
                <w:rFonts w:ascii="仿宋" w:hAnsi="仿宋" w:eastAsia="仿宋"/>
                <w:sz w:val="32"/>
                <w:szCs w:val="32"/>
              </w:rPr>
            </w:pPr>
          </w:p>
        </w:tc>
        <w:tc>
          <w:tcPr>
            <w:tcW w:w="1043" w:type="dxa"/>
            <w:noWrap w:val="0"/>
            <w:vAlign w:val="center"/>
          </w:tcPr>
          <w:p>
            <w:pPr>
              <w:spacing w:line="56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05" w:type="dxa"/>
            <w:noWrap w:val="0"/>
            <w:vAlign w:val="center"/>
          </w:tcPr>
          <w:p>
            <w:pPr>
              <w:spacing w:line="560" w:lineRule="exact"/>
              <w:jc w:val="center"/>
              <w:rPr>
                <w:rFonts w:ascii="仿宋" w:hAnsi="仿宋" w:eastAsia="仿宋"/>
                <w:sz w:val="32"/>
                <w:szCs w:val="32"/>
              </w:rPr>
            </w:pPr>
          </w:p>
        </w:tc>
        <w:tc>
          <w:tcPr>
            <w:tcW w:w="992" w:type="dxa"/>
            <w:tcBorders>
              <w:right w:val="single" w:color="auto" w:sz="4" w:space="0"/>
            </w:tcBorders>
            <w:noWrap w:val="0"/>
            <w:vAlign w:val="center"/>
          </w:tcPr>
          <w:p>
            <w:pPr>
              <w:spacing w:line="560" w:lineRule="exact"/>
              <w:jc w:val="center"/>
              <w:rPr>
                <w:rFonts w:ascii="仿宋" w:hAnsi="仿宋" w:eastAsia="仿宋"/>
                <w:sz w:val="32"/>
                <w:szCs w:val="32"/>
              </w:rPr>
            </w:pPr>
          </w:p>
        </w:tc>
        <w:tc>
          <w:tcPr>
            <w:tcW w:w="993" w:type="dxa"/>
            <w:tcBorders>
              <w:left w:val="single" w:color="auto" w:sz="4" w:space="0"/>
            </w:tcBorders>
            <w:noWrap w:val="0"/>
            <w:vAlign w:val="center"/>
          </w:tcPr>
          <w:p>
            <w:pPr>
              <w:spacing w:line="560" w:lineRule="exact"/>
              <w:jc w:val="center"/>
              <w:rPr>
                <w:rFonts w:ascii="仿宋" w:hAnsi="仿宋" w:eastAsia="仿宋"/>
                <w:sz w:val="32"/>
                <w:szCs w:val="32"/>
              </w:rPr>
            </w:pPr>
          </w:p>
        </w:tc>
        <w:tc>
          <w:tcPr>
            <w:tcW w:w="1505" w:type="dxa"/>
            <w:noWrap w:val="0"/>
            <w:vAlign w:val="center"/>
          </w:tcPr>
          <w:p>
            <w:pPr>
              <w:spacing w:line="560" w:lineRule="exact"/>
              <w:jc w:val="center"/>
              <w:rPr>
                <w:rFonts w:ascii="仿宋" w:hAnsi="仿宋" w:eastAsia="仿宋"/>
                <w:sz w:val="32"/>
                <w:szCs w:val="32"/>
              </w:rPr>
            </w:pPr>
          </w:p>
        </w:tc>
        <w:tc>
          <w:tcPr>
            <w:tcW w:w="1744" w:type="dxa"/>
            <w:noWrap w:val="0"/>
            <w:vAlign w:val="center"/>
          </w:tcPr>
          <w:p>
            <w:pPr>
              <w:spacing w:line="560" w:lineRule="exact"/>
              <w:jc w:val="center"/>
              <w:rPr>
                <w:rFonts w:ascii="仿宋" w:hAnsi="仿宋" w:eastAsia="仿宋"/>
                <w:sz w:val="32"/>
                <w:szCs w:val="32"/>
              </w:rPr>
            </w:pPr>
          </w:p>
        </w:tc>
        <w:tc>
          <w:tcPr>
            <w:tcW w:w="1799" w:type="dxa"/>
            <w:noWrap w:val="0"/>
            <w:vAlign w:val="center"/>
          </w:tcPr>
          <w:p>
            <w:pPr>
              <w:spacing w:line="560" w:lineRule="exact"/>
              <w:jc w:val="center"/>
              <w:rPr>
                <w:rFonts w:ascii="仿宋" w:hAnsi="仿宋" w:eastAsia="仿宋"/>
                <w:sz w:val="32"/>
                <w:szCs w:val="32"/>
              </w:rPr>
            </w:pPr>
          </w:p>
        </w:tc>
        <w:tc>
          <w:tcPr>
            <w:tcW w:w="1043" w:type="dxa"/>
            <w:noWrap w:val="0"/>
            <w:vAlign w:val="center"/>
          </w:tcPr>
          <w:p>
            <w:pPr>
              <w:spacing w:line="56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05" w:type="dxa"/>
            <w:noWrap w:val="0"/>
            <w:vAlign w:val="center"/>
          </w:tcPr>
          <w:p>
            <w:pPr>
              <w:spacing w:line="560" w:lineRule="exact"/>
              <w:jc w:val="center"/>
              <w:rPr>
                <w:rFonts w:ascii="仿宋" w:hAnsi="仿宋" w:eastAsia="仿宋"/>
                <w:sz w:val="32"/>
                <w:szCs w:val="32"/>
              </w:rPr>
            </w:pPr>
          </w:p>
        </w:tc>
        <w:tc>
          <w:tcPr>
            <w:tcW w:w="992" w:type="dxa"/>
            <w:tcBorders>
              <w:right w:val="single" w:color="auto" w:sz="4" w:space="0"/>
            </w:tcBorders>
            <w:noWrap w:val="0"/>
            <w:vAlign w:val="center"/>
          </w:tcPr>
          <w:p>
            <w:pPr>
              <w:spacing w:line="560" w:lineRule="exact"/>
              <w:jc w:val="center"/>
              <w:rPr>
                <w:rFonts w:ascii="仿宋" w:hAnsi="仿宋" w:eastAsia="仿宋"/>
                <w:sz w:val="32"/>
                <w:szCs w:val="32"/>
              </w:rPr>
            </w:pPr>
          </w:p>
        </w:tc>
        <w:tc>
          <w:tcPr>
            <w:tcW w:w="993" w:type="dxa"/>
            <w:tcBorders>
              <w:left w:val="single" w:color="auto" w:sz="4" w:space="0"/>
            </w:tcBorders>
            <w:noWrap w:val="0"/>
            <w:vAlign w:val="center"/>
          </w:tcPr>
          <w:p>
            <w:pPr>
              <w:spacing w:line="560" w:lineRule="exact"/>
              <w:jc w:val="center"/>
              <w:rPr>
                <w:rFonts w:ascii="仿宋" w:hAnsi="仿宋" w:eastAsia="仿宋"/>
                <w:sz w:val="32"/>
                <w:szCs w:val="32"/>
              </w:rPr>
            </w:pPr>
          </w:p>
        </w:tc>
        <w:tc>
          <w:tcPr>
            <w:tcW w:w="1505" w:type="dxa"/>
            <w:noWrap w:val="0"/>
            <w:vAlign w:val="center"/>
          </w:tcPr>
          <w:p>
            <w:pPr>
              <w:spacing w:line="560" w:lineRule="exact"/>
              <w:jc w:val="center"/>
              <w:rPr>
                <w:rFonts w:ascii="仿宋" w:hAnsi="仿宋" w:eastAsia="仿宋"/>
                <w:sz w:val="32"/>
                <w:szCs w:val="32"/>
              </w:rPr>
            </w:pPr>
          </w:p>
        </w:tc>
        <w:tc>
          <w:tcPr>
            <w:tcW w:w="1744" w:type="dxa"/>
            <w:noWrap w:val="0"/>
            <w:vAlign w:val="center"/>
          </w:tcPr>
          <w:p>
            <w:pPr>
              <w:spacing w:line="560" w:lineRule="exact"/>
              <w:jc w:val="center"/>
              <w:rPr>
                <w:rFonts w:ascii="仿宋" w:hAnsi="仿宋" w:eastAsia="仿宋"/>
                <w:sz w:val="32"/>
                <w:szCs w:val="32"/>
              </w:rPr>
            </w:pPr>
          </w:p>
        </w:tc>
        <w:tc>
          <w:tcPr>
            <w:tcW w:w="1799" w:type="dxa"/>
            <w:noWrap w:val="0"/>
            <w:vAlign w:val="center"/>
          </w:tcPr>
          <w:p>
            <w:pPr>
              <w:spacing w:line="560" w:lineRule="exact"/>
              <w:jc w:val="center"/>
              <w:rPr>
                <w:rFonts w:ascii="仿宋" w:hAnsi="仿宋" w:eastAsia="仿宋"/>
                <w:sz w:val="32"/>
                <w:szCs w:val="32"/>
              </w:rPr>
            </w:pPr>
          </w:p>
        </w:tc>
        <w:tc>
          <w:tcPr>
            <w:tcW w:w="1043" w:type="dxa"/>
            <w:noWrap w:val="0"/>
            <w:vAlign w:val="center"/>
          </w:tcPr>
          <w:p>
            <w:pPr>
              <w:spacing w:line="56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05" w:type="dxa"/>
            <w:noWrap w:val="0"/>
            <w:vAlign w:val="center"/>
          </w:tcPr>
          <w:p>
            <w:pPr>
              <w:spacing w:line="560" w:lineRule="exact"/>
              <w:jc w:val="center"/>
              <w:rPr>
                <w:rFonts w:ascii="仿宋" w:hAnsi="仿宋" w:eastAsia="仿宋"/>
                <w:sz w:val="32"/>
                <w:szCs w:val="32"/>
              </w:rPr>
            </w:pPr>
          </w:p>
        </w:tc>
        <w:tc>
          <w:tcPr>
            <w:tcW w:w="992" w:type="dxa"/>
            <w:tcBorders>
              <w:right w:val="single" w:color="auto" w:sz="4" w:space="0"/>
            </w:tcBorders>
            <w:noWrap w:val="0"/>
            <w:vAlign w:val="center"/>
          </w:tcPr>
          <w:p>
            <w:pPr>
              <w:spacing w:line="560" w:lineRule="exact"/>
              <w:jc w:val="center"/>
              <w:rPr>
                <w:rFonts w:ascii="仿宋" w:hAnsi="仿宋" w:eastAsia="仿宋"/>
                <w:sz w:val="32"/>
                <w:szCs w:val="32"/>
              </w:rPr>
            </w:pPr>
          </w:p>
        </w:tc>
        <w:tc>
          <w:tcPr>
            <w:tcW w:w="993" w:type="dxa"/>
            <w:tcBorders>
              <w:left w:val="single" w:color="auto" w:sz="4" w:space="0"/>
            </w:tcBorders>
            <w:noWrap w:val="0"/>
            <w:vAlign w:val="center"/>
          </w:tcPr>
          <w:p>
            <w:pPr>
              <w:spacing w:line="560" w:lineRule="exact"/>
              <w:jc w:val="center"/>
              <w:rPr>
                <w:rFonts w:ascii="仿宋" w:hAnsi="仿宋" w:eastAsia="仿宋"/>
                <w:sz w:val="32"/>
                <w:szCs w:val="32"/>
              </w:rPr>
            </w:pPr>
          </w:p>
        </w:tc>
        <w:tc>
          <w:tcPr>
            <w:tcW w:w="1505" w:type="dxa"/>
            <w:noWrap w:val="0"/>
            <w:vAlign w:val="center"/>
          </w:tcPr>
          <w:p>
            <w:pPr>
              <w:spacing w:line="560" w:lineRule="exact"/>
              <w:jc w:val="center"/>
              <w:rPr>
                <w:rFonts w:ascii="仿宋" w:hAnsi="仿宋" w:eastAsia="仿宋"/>
                <w:sz w:val="32"/>
                <w:szCs w:val="32"/>
              </w:rPr>
            </w:pPr>
          </w:p>
        </w:tc>
        <w:tc>
          <w:tcPr>
            <w:tcW w:w="1744" w:type="dxa"/>
            <w:noWrap w:val="0"/>
            <w:vAlign w:val="center"/>
          </w:tcPr>
          <w:p>
            <w:pPr>
              <w:spacing w:line="560" w:lineRule="exact"/>
              <w:jc w:val="center"/>
              <w:rPr>
                <w:rFonts w:ascii="仿宋" w:hAnsi="仿宋" w:eastAsia="仿宋"/>
                <w:sz w:val="32"/>
                <w:szCs w:val="32"/>
              </w:rPr>
            </w:pPr>
          </w:p>
        </w:tc>
        <w:tc>
          <w:tcPr>
            <w:tcW w:w="1799" w:type="dxa"/>
            <w:noWrap w:val="0"/>
            <w:vAlign w:val="center"/>
          </w:tcPr>
          <w:p>
            <w:pPr>
              <w:spacing w:line="560" w:lineRule="exact"/>
              <w:jc w:val="center"/>
              <w:rPr>
                <w:rFonts w:ascii="仿宋" w:hAnsi="仿宋" w:eastAsia="仿宋"/>
                <w:sz w:val="32"/>
                <w:szCs w:val="32"/>
              </w:rPr>
            </w:pPr>
          </w:p>
        </w:tc>
        <w:tc>
          <w:tcPr>
            <w:tcW w:w="1043" w:type="dxa"/>
            <w:noWrap w:val="0"/>
            <w:vAlign w:val="center"/>
          </w:tcPr>
          <w:p>
            <w:pPr>
              <w:spacing w:line="56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05" w:type="dxa"/>
            <w:noWrap w:val="0"/>
            <w:vAlign w:val="center"/>
          </w:tcPr>
          <w:p>
            <w:pPr>
              <w:spacing w:line="560" w:lineRule="exact"/>
              <w:jc w:val="center"/>
              <w:rPr>
                <w:rFonts w:ascii="仿宋" w:hAnsi="仿宋" w:eastAsia="仿宋"/>
                <w:sz w:val="32"/>
                <w:szCs w:val="32"/>
              </w:rPr>
            </w:pPr>
          </w:p>
        </w:tc>
        <w:tc>
          <w:tcPr>
            <w:tcW w:w="992" w:type="dxa"/>
            <w:tcBorders>
              <w:right w:val="single" w:color="auto" w:sz="4" w:space="0"/>
            </w:tcBorders>
            <w:noWrap w:val="0"/>
            <w:vAlign w:val="center"/>
          </w:tcPr>
          <w:p>
            <w:pPr>
              <w:spacing w:line="560" w:lineRule="exact"/>
              <w:jc w:val="center"/>
              <w:rPr>
                <w:rFonts w:ascii="仿宋" w:hAnsi="仿宋" w:eastAsia="仿宋"/>
                <w:sz w:val="32"/>
                <w:szCs w:val="32"/>
              </w:rPr>
            </w:pPr>
          </w:p>
        </w:tc>
        <w:tc>
          <w:tcPr>
            <w:tcW w:w="993" w:type="dxa"/>
            <w:tcBorders>
              <w:left w:val="single" w:color="auto" w:sz="4" w:space="0"/>
            </w:tcBorders>
            <w:noWrap w:val="0"/>
            <w:vAlign w:val="center"/>
          </w:tcPr>
          <w:p>
            <w:pPr>
              <w:spacing w:line="560" w:lineRule="exact"/>
              <w:jc w:val="center"/>
              <w:rPr>
                <w:rFonts w:ascii="仿宋" w:hAnsi="仿宋" w:eastAsia="仿宋"/>
                <w:sz w:val="32"/>
                <w:szCs w:val="32"/>
              </w:rPr>
            </w:pPr>
          </w:p>
        </w:tc>
        <w:tc>
          <w:tcPr>
            <w:tcW w:w="1505" w:type="dxa"/>
            <w:noWrap w:val="0"/>
            <w:vAlign w:val="center"/>
          </w:tcPr>
          <w:p>
            <w:pPr>
              <w:spacing w:line="560" w:lineRule="exact"/>
              <w:jc w:val="center"/>
              <w:rPr>
                <w:rFonts w:ascii="仿宋" w:hAnsi="仿宋" w:eastAsia="仿宋"/>
                <w:sz w:val="32"/>
                <w:szCs w:val="32"/>
              </w:rPr>
            </w:pPr>
          </w:p>
        </w:tc>
        <w:tc>
          <w:tcPr>
            <w:tcW w:w="1744" w:type="dxa"/>
            <w:noWrap w:val="0"/>
            <w:vAlign w:val="center"/>
          </w:tcPr>
          <w:p>
            <w:pPr>
              <w:spacing w:line="560" w:lineRule="exact"/>
              <w:jc w:val="center"/>
              <w:rPr>
                <w:rFonts w:ascii="仿宋" w:hAnsi="仿宋" w:eastAsia="仿宋"/>
                <w:sz w:val="32"/>
                <w:szCs w:val="32"/>
              </w:rPr>
            </w:pPr>
          </w:p>
        </w:tc>
        <w:tc>
          <w:tcPr>
            <w:tcW w:w="1799" w:type="dxa"/>
            <w:noWrap w:val="0"/>
            <w:vAlign w:val="center"/>
          </w:tcPr>
          <w:p>
            <w:pPr>
              <w:spacing w:line="560" w:lineRule="exact"/>
              <w:jc w:val="center"/>
              <w:rPr>
                <w:rFonts w:ascii="仿宋" w:hAnsi="仿宋" w:eastAsia="仿宋"/>
                <w:sz w:val="32"/>
                <w:szCs w:val="32"/>
              </w:rPr>
            </w:pPr>
          </w:p>
        </w:tc>
        <w:tc>
          <w:tcPr>
            <w:tcW w:w="1043" w:type="dxa"/>
            <w:noWrap w:val="0"/>
            <w:vAlign w:val="center"/>
          </w:tcPr>
          <w:p>
            <w:pPr>
              <w:spacing w:line="560" w:lineRule="exact"/>
              <w:jc w:val="center"/>
              <w:rPr>
                <w:rFonts w:ascii="仿宋" w:hAnsi="仿宋" w:eastAsia="仿宋"/>
                <w:sz w:val="32"/>
                <w:szCs w:val="32"/>
              </w:rPr>
            </w:pPr>
          </w:p>
        </w:tc>
      </w:tr>
    </w:tbl>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审查工作机制成员应当包括本部门、本单位的采购、财务、业务、监督等内部机构。采购人可以根据本单位实际情况，建立相关专家和第三方机构参与审查的工作机制。</w:t>
      </w:r>
    </w:p>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参与确定采购需求和编制采购实施计划的专家和第三方机构不得参与审查。</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三、审查会议</w:t>
      </w:r>
    </w:p>
    <w:p>
      <w:pPr>
        <w:spacing w:line="560" w:lineRule="exact"/>
        <w:ind w:firstLine="640" w:firstLineChars="200"/>
        <w:rPr>
          <w:rFonts w:ascii="仿宋" w:hAnsi="仿宋" w:eastAsia="仿宋"/>
          <w:sz w:val="32"/>
          <w:szCs w:val="32"/>
          <w:u w:val="single"/>
        </w:rPr>
      </w:pPr>
      <w:r>
        <w:rPr>
          <w:rFonts w:hint="eastAsia" w:ascii="仿宋" w:hAnsi="仿宋" w:eastAsia="仿宋"/>
          <w:sz w:val="32"/>
          <w:szCs w:val="32"/>
        </w:rPr>
        <w:t>1.审查时间：</w:t>
      </w:r>
      <w:r>
        <w:rPr>
          <w:rFonts w:hint="eastAsia" w:ascii="仿宋" w:hAnsi="仿宋" w:eastAsia="仿宋"/>
          <w:sz w:val="32"/>
          <w:szCs w:val="32"/>
          <w:u w:val="single"/>
        </w:rPr>
        <w:t xml:space="preserve">                       </w:t>
      </w:r>
    </w:p>
    <w:p>
      <w:pPr>
        <w:spacing w:line="560" w:lineRule="exact"/>
        <w:ind w:firstLine="640" w:firstLineChars="200"/>
        <w:rPr>
          <w:rFonts w:ascii="仿宋" w:hAnsi="仿宋" w:eastAsia="仿宋"/>
          <w:sz w:val="32"/>
          <w:szCs w:val="32"/>
          <w:u w:val="single"/>
        </w:rPr>
      </w:pPr>
      <w:r>
        <w:rPr>
          <w:rFonts w:hint="eastAsia" w:ascii="仿宋" w:hAnsi="仿宋" w:eastAsia="仿宋"/>
          <w:sz w:val="32"/>
          <w:szCs w:val="32"/>
        </w:rPr>
        <w:t>2.审查地点：</w:t>
      </w:r>
      <w:r>
        <w:rPr>
          <w:rFonts w:hint="eastAsia" w:ascii="仿宋" w:hAnsi="仿宋" w:eastAsia="仿宋"/>
          <w:sz w:val="32"/>
          <w:szCs w:val="32"/>
          <w:u w:val="single"/>
        </w:rPr>
        <w:t xml:space="preserve">                       </w:t>
      </w:r>
    </w:p>
    <w:p>
      <w:pPr>
        <w:spacing w:line="560" w:lineRule="exact"/>
        <w:ind w:firstLine="640" w:firstLineChars="200"/>
        <w:rPr>
          <w:rFonts w:ascii="仿宋" w:hAnsi="仿宋" w:eastAsia="仿宋"/>
          <w:sz w:val="32"/>
          <w:szCs w:val="32"/>
        </w:rPr>
      </w:pP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四、审查意见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一般性审查主要审查</w:t>
      </w:r>
      <w:r>
        <w:rPr>
          <w:rFonts w:hint="eastAsia" w:ascii="仿宋_GB2312" w:hAnsi="仿宋_GB2312" w:eastAsia="仿宋_GB2312" w:cs="仿宋_GB2312"/>
          <w:sz w:val="28"/>
          <w:szCs w:val="28"/>
        </w:rPr>
        <w:t>是否按照《政府采购需求管理办法》规定的程序和内容确定采购需求、编制采购实施计划</w:t>
      </w:r>
      <w:r>
        <w:rPr>
          <w:rFonts w:hint="eastAsia" w:ascii="仿宋_GB2312" w:hAnsi="仿宋_GB2312" w:eastAsia="仿宋_GB2312" w:cs="仿宋_GB2312"/>
          <w:sz w:val="32"/>
          <w:szCs w:val="32"/>
        </w:rPr>
        <w:t>。</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9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91" w:type="dxa"/>
            <w:noWrap w:val="0"/>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审 查 内 容</w:t>
            </w:r>
          </w:p>
        </w:tc>
        <w:tc>
          <w:tcPr>
            <w:tcW w:w="2131" w:type="dxa"/>
            <w:noWrap w:val="0"/>
            <w:vAlign w:val="center"/>
          </w:tcPr>
          <w:p>
            <w:pPr>
              <w:spacing w:line="560" w:lineRule="exact"/>
              <w:jc w:val="center"/>
              <w:rPr>
                <w:rFonts w:ascii="仿宋" w:hAnsi="仿宋" w:eastAsia="仿宋"/>
                <w:b/>
                <w:sz w:val="28"/>
                <w:szCs w:val="28"/>
              </w:rPr>
            </w:pPr>
            <w:r>
              <w:rPr>
                <w:rFonts w:ascii="仿宋" w:hAnsi="仿宋" w:eastAsia="仿宋"/>
                <w:b/>
                <w:sz w:val="28"/>
                <w:szCs w:val="28"/>
              </w:rPr>
              <w:t>审查</w:t>
            </w:r>
            <w:r>
              <w:rPr>
                <w:rFonts w:hint="eastAsia" w:ascii="仿宋" w:hAnsi="仿宋" w:eastAsia="仿宋"/>
                <w:b/>
                <w:sz w:val="28"/>
                <w:szCs w:val="28"/>
              </w:rPr>
              <w:t>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91" w:type="dxa"/>
            <w:noWrap w:val="0"/>
            <w:vAlign w:val="center"/>
          </w:tcPr>
          <w:p>
            <w:pPr>
              <w:spacing w:line="560" w:lineRule="exact"/>
              <w:rPr>
                <w:rFonts w:ascii="仿宋" w:hAnsi="仿宋" w:eastAsia="仿宋"/>
                <w:sz w:val="28"/>
                <w:szCs w:val="28"/>
              </w:rPr>
            </w:pPr>
            <w:r>
              <w:rPr>
                <w:rFonts w:hint="eastAsia" w:ascii="仿宋" w:hAnsi="仿宋" w:eastAsia="仿宋"/>
                <w:sz w:val="28"/>
                <w:szCs w:val="28"/>
              </w:rPr>
              <w:t>如需开展需求调查的，是否按规定开展需求调查</w:t>
            </w:r>
          </w:p>
        </w:tc>
        <w:tc>
          <w:tcPr>
            <w:tcW w:w="2131" w:type="dxa"/>
            <w:noWrap w:val="0"/>
            <w:vAlign w:val="center"/>
          </w:tcPr>
          <w:p>
            <w:pPr>
              <w:spacing w:line="56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91" w:type="dxa"/>
            <w:noWrap w:val="0"/>
            <w:vAlign w:val="center"/>
          </w:tcPr>
          <w:p>
            <w:pPr>
              <w:spacing w:line="560" w:lineRule="exact"/>
              <w:rPr>
                <w:rFonts w:ascii="仿宋" w:hAnsi="仿宋" w:eastAsia="仿宋"/>
                <w:sz w:val="28"/>
                <w:szCs w:val="28"/>
              </w:rPr>
            </w:pPr>
            <w:r>
              <w:rPr>
                <w:rFonts w:hint="eastAsia" w:ascii="仿宋" w:hAnsi="仿宋" w:eastAsia="仿宋"/>
                <w:sz w:val="28"/>
                <w:szCs w:val="28"/>
              </w:rPr>
              <w:t>采购需求是否符合预算、资产、财务等管理制度规定</w:t>
            </w:r>
          </w:p>
        </w:tc>
        <w:tc>
          <w:tcPr>
            <w:tcW w:w="2131" w:type="dxa"/>
            <w:noWrap w:val="0"/>
            <w:vAlign w:val="center"/>
          </w:tcPr>
          <w:p>
            <w:pPr>
              <w:spacing w:line="56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6391" w:type="dxa"/>
            <w:noWrap w:val="0"/>
            <w:vAlign w:val="center"/>
          </w:tcPr>
          <w:p>
            <w:pPr>
              <w:spacing w:line="560" w:lineRule="exact"/>
              <w:rPr>
                <w:rFonts w:ascii="仿宋" w:hAnsi="仿宋" w:eastAsia="仿宋"/>
                <w:sz w:val="28"/>
                <w:szCs w:val="28"/>
              </w:rPr>
            </w:pPr>
            <w:r>
              <w:rPr>
                <w:rFonts w:hint="eastAsia" w:ascii="仿宋" w:hAnsi="仿宋" w:eastAsia="仿宋"/>
                <w:sz w:val="28"/>
                <w:szCs w:val="28"/>
              </w:rPr>
              <w:t>对采购方式、评审规则、合同类型、定价方式的选择是否说明适用理由</w:t>
            </w:r>
          </w:p>
        </w:tc>
        <w:tc>
          <w:tcPr>
            <w:tcW w:w="2131" w:type="dxa"/>
            <w:noWrap w:val="0"/>
            <w:vAlign w:val="center"/>
          </w:tcPr>
          <w:p>
            <w:pPr>
              <w:spacing w:line="56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91" w:type="dxa"/>
            <w:noWrap w:val="0"/>
            <w:vAlign w:val="center"/>
          </w:tcPr>
          <w:p>
            <w:pPr>
              <w:spacing w:line="560" w:lineRule="exact"/>
              <w:rPr>
                <w:rFonts w:ascii="仿宋" w:hAnsi="仿宋" w:eastAsia="仿宋"/>
                <w:sz w:val="28"/>
                <w:szCs w:val="28"/>
              </w:rPr>
            </w:pPr>
            <w:r>
              <w:rPr>
                <w:rFonts w:hint="eastAsia" w:ascii="仿宋" w:hAnsi="仿宋" w:eastAsia="仿宋"/>
                <w:sz w:val="28"/>
                <w:szCs w:val="28"/>
              </w:rPr>
              <w:t>属于按规定需要报相关监管部门批准、核准的事项，是否作出相关安排</w:t>
            </w:r>
          </w:p>
        </w:tc>
        <w:tc>
          <w:tcPr>
            <w:tcW w:w="2131" w:type="dxa"/>
            <w:noWrap w:val="0"/>
            <w:vAlign w:val="center"/>
          </w:tcPr>
          <w:p>
            <w:pPr>
              <w:spacing w:line="56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91" w:type="dxa"/>
            <w:noWrap w:val="0"/>
            <w:vAlign w:val="center"/>
          </w:tcPr>
          <w:p>
            <w:pPr>
              <w:spacing w:line="560" w:lineRule="exact"/>
              <w:rPr>
                <w:rFonts w:ascii="仿宋" w:hAnsi="仿宋" w:eastAsia="仿宋"/>
                <w:sz w:val="28"/>
                <w:szCs w:val="28"/>
              </w:rPr>
            </w:pPr>
            <w:r>
              <w:rPr>
                <w:rFonts w:hint="eastAsia" w:ascii="仿宋" w:hAnsi="仿宋" w:eastAsia="仿宋"/>
                <w:sz w:val="28"/>
                <w:szCs w:val="28"/>
              </w:rPr>
              <w:t>采购实施计划是否完整</w:t>
            </w:r>
          </w:p>
        </w:tc>
        <w:tc>
          <w:tcPr>
            <w:tcW w:w="2131" w:type="dxa"/>
            <w:noWrap w:val="0"/>
            <w:vAlign w:val="center"/>
          </w:tcPr>
          <w:p>
            <w:pPr>
              <w:spacing w:line="56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91" w:type="dxa"/>
            <w:noWrap w:val="0"/>
            <w:vAlign w:val="center"/>
          </w:tcPr>
          <w:p>
            <w:pPr>
              <w:spacing w:line="560" w:lineRule="exact"/>
              <w:jc w:val="right"/>
              <w:rPr>
                <w:rFonts w:ascii="仿宋" w:hAnsi="仿宋" w:eastAsia="仿宋"/>
                <w:b/>
                <w:sz w:val="28"/>
                <w:szCs w:val="28"/>
              </w:rPr>
            </w:pPr>
            <w:r>
              <w:rPr>
                <w:rFonts w:hint="eastAsia" w:ascii="仿宋" w:hAnsi="仿宋" w:eastAsia="仿宋"/>
                <w:b/>
                <w:sz w:val="28"/>
                <w:szCs w:val="28"/>
              </w:rPr>
              <w:t>审查结论</w:t>
            </w:r>
          </w:p>
        </w:tc>
        <w:tc>
          <w:tcPr>
            <w:tcW w:w="2131" w:type="dxa"/>
            <w:noWrap w:val="0"/>
            <w:vAlign w:val="center"/>
          </w:tcPr>
          <w:p>
            <w:pPr>
              <w:spacing w:line="560" w:lineRule="exact"/>
              <w:jc w:val="center"/>
              <w:rPr>
                <w:rFonts w:ascii="仿宋" w:hAnsi="仿宋" w:eastAsia="仿宋"/>
                <w:sz w:val="28"/>
                <w:szCs w:val="28"/>
              </w:rPr>
            </w:pPr>
            <w:r>
              <w:rPr>
                <w:rFonts w:ascii="仿宋" w:hAnsi="仿宋" w:eastAsia="仿宋"/>
                <w:sz w:val="28"/>
                <w:szCs w:val="28"/>
              </w:rPr>
              <w:t>通过</w:t>
            </w:r>
            <w:r>
              <w:rPr>
                <w:rFonts w:hint="eastAsia" w:ascii="仿宋" w:hAnsi="仿宋" w:eastAsia="仿宋"/>
                <w:sz w:val="28"/>
                <w:szCs w:val="28"/>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522" w:type="dxa"/>
            <w:gridSpan w:val="2"/>
            <w:noWrap w:val="0"/>
            <w:vAlign w:val="center"/>
          </w:tcPr>
          <w:p>
            <w:pPr>
              <w:spacing w:line="560" w:lineRule="exact"/>
              <w:jc w:val="left"/>
              <w:rPr>
                <w:rFonts w:ascii="仿宋" w:hAnsi="仿宋" w:eastAsia="仿宋"/>
                <w:sz w:val="32"/>
                <w:szCs w:val="32"/>
              </w:rPr>
            </w:pPr>
            <w:r>
              <w:rPr>
                <w:rFonts w:hint="eastAsia" w:ascii="仿宋" w:hAnsi="仿宋" w:eastAsia="仿宋"/>
                <w:sz w:val="32"/>
                <w:szCs w:val="32"/>
              </w:rPr>
              <w:t>审查意见：</w:t>
            </w:r>
          </w:p>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示例：经审查，采购需求、采购实施计划符合相关规定，审查通过。</w:t>
            </w:r>
          </w:p>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示例：经审查，选择的采购方式为竞争性磋商，但本项目不符合《政府采购竞争性磋商采购方式管理暂行办法》（财库〔2014〕214号）第三条规定的适用情形，审查不通过，根据相关规定修改后，再重新进行审查。</w:t>
            </w:r>
          </w:p>
          <w:p>
            <w:pPr>
              <w:spacing w:line="560" w:lineRule="exact"/>
              <w:ind w:firstLine="640" w:firstLineChars="200"/>
              <w:jc w:val="left"/>
              <w:rPr>
                <w:rFonts w:ascii="仿宋" w:hAnsi="仿宋" w:eastAsia="仿宋"/>
                <w:i/>
                <w:sz w:val="32"/>
                <w:szCs w:val="32"/>
                <w:u w:val="single"/>
              </w:rPr>
            </w:pPr>
          </w:p>
        </w:tc>
      </w:tr>
    </w:tbl>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审查结果为“通过”或“不通过”，审查结果“不通过”的，还需说明具体原因。</w:t>
      </w:r>
    </w:p>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审查结果全部为“通过”的，则审查结论为“通过”。审查结果有一项为“不通过”的，则审查结论为“不通过”。</w:t>
      </w:r>
    </w:p>
    <w:p>
      <w:pPr>
        <w:spacing w:line="560" w:lineRule="exact"/>
        <w:ind w:firstLine="640" w:firstLineChars="200"/>
        <w:jc w:val="left"/>
        <w:rPr>
          <w:rFonts w:ascii="仿宋" w:hAnsi="仿宋" w:eastAsia="仿宋"/>
          <w:i/>
          <w:sz w:val="32"/>
          <w:szCs w:val="32"/>
          <w:u w:val="single"/>
        </w:rPr>
      </w:pP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审查人员（签字）：</w:t>
      </w:r>
    </w:p>
    <w:p/>
    <w:p>
      <w:pPr>
        <w:sectPr>
          <w:pgSz w:w="11906" w:h="16838"/>
          <w:pgMar w:top="1440" w:right="1800" w:bottom="1440" w:left="1800" w:header="851" w:footer="992" w:gutter="0"/>
          <w:pgNumType w:fmt="decimal"/>
          <w:cols w:space="720" w:num="1"/>
          <w:docGrid w:type="lines" w:linePitch="312" w:charSpace="0"/>
        </w:sectPr>
      </w:pPr>
    </w:p>
    <w:p>
      <w:pPr>
        <w:rPr>
          <w:rFonts w:hint="eastAsia" w:ascii="黑体" w:hAnsi="黑体" w:eastAsia="黑体" w:cs="宋体"/>
          <w:sz w:val="28"/>
          <w:szCs w:val="28"/>
          <w:lang w:val="en-US" w:eastAsia="zh-CN"/>
        </w:rPr>
      </w:pPr>
      <w:r>
        <w:rPr>
          <w:rFonts w:hint="eastAsia" w:ascii="黑体" w:hAnsi="黑体" w:eastAsia="黑体" w:cs="宋体"/>
          <w:sz w:val="28"/>
          <w:szCs w:val="28"/>
        </w:rPr>
        <w:t>附件</w:t>
      </w:r>
      <w:r>
        <w:rPr>
          <w:rFonts w:hint="eastAsia" w:ascii="黑体" w:hAnsi="黑体" w:eastAsia="黑体" w:cs="宋体"/>
          <w:sz w:val="28"/>
          <w:szCs w:val="28"/>
          <w:lang w:val="en-US" w:eastAsia="zh-CN"/>
        </w:rPr>
        <w:t>6</w:t>
      </w:r>
    </w:p>
    <w:p>
      <w:pPr>
        <w:jc w:val="center"/>
        <w:rPr>
          <w:rFonts w:ascii="方正小标宋简体" w:hAnsi="方正小标宋简体" w:eastAsia="方正小标宋简体" w:cs="宋体"/>
          <w:sz w:val="44"/>
          <w:szCs w:val="44"/>
          <w:u w:val="single"/>
        </w:rPr>
      </w:pPr>
    </w:p>
    <w:p>
      <w:pPr>
        <w:jc w:val="center"/>
        <w:rPr>
          <w:rFonts w:ascii="方正小标宋简体" w:hAnsi="方正小标宋简体" w:eastAsia="方正小标宋简体" w:cs="宋体"/>
          <w:sz w:val="72"/>
          <w:szCs w:val="72"/>
        </w:rPr>
      </w:pPr>
      <w:r>
        <w:rPr>
          <w:rFonts w:hint="eastAsia" w:ascii="方正小标宋简体" w:hAnsi="方正小标宋简体" w:eastAsia="方正小标宋简体" w:cs="宋体"/>
          <w:sz w:val="72"/>
          <w:szCs w:val="72"/>
        </w:rPr>
        <w:t>政 府 采 购 项 目</w:t>
      </w:r>
    </w:p>
    <w:p>
      <w:pPr>
        <w:jc w:val="center"/>
        <w:rPr>
          <w:rFonts w:ascii="方正小标宋简体" w:hAnsi="方正小标宋简体" w:eastAsia="方正小标宋简体" w:cs="宋体"/>
          <w:sz w:val="72"/>
          <w:szCs w:val="72"/>
        </w:rPr>
      </w:pPr>
      <w:r>
        <w:rPr>
          <w:rFonts w:hint="eastAsia" w:ascii="方正小标宋简体" w:hAnsi="方正小标宋简体" w:eastAsia="方正小标宋简体" w:cs="宋体"/>
          <w:sz w:val="72"/>
          <w:szCs w:val="72"/>
        </w:rPr>
        <w:t>采购需求和采购实施计划</w:t>
      </w:r>
    </w:p>
    <w:p>
      <w:pPr>
        <w:jc w:val="center"/>
        <w:rPr>
          <w:rFonts w:ascii="方正小标宋简体" w:hAnsi="方正小标宋简体" w:eastAsia="方正小标宋简体" w:cs="宋体"/>
          <w:sz w:val="72"/>
          <w:szCs w:val="72"/>
        </w:rPr>
      </w:pPr>
      <w:r>
        <w:rPr>
          <w:rFonts w:hint="eastAsia" w:ascii="方正小标宋简体" w:hAnsi="方正小标宋简体" w:eastAsia="方正小标宋简体" w:cs="宋体"/>
          <w:sz w:val="72"/>
          <w:szCs w:val="72"/>
        </w:rPr>
        <w:t>重 点 审 查 意 见 书</w:t>
      </w:r>
    </w:p>
    <w:p>
      <w:pPr>
        <w:jc w:val="center"/>
        <w:rPr>
          <w:rFonts w:ascii="方正小标宋简体" w:hAnsi="方正小标宋简体" w:eastAsia="方正小标宋简体"/>
          <w:sz w:val="44"/>
          <w:szCs w:val="44"/>
        </w:rPr>
      </w:pPr>
    </w:p>
    <w:p>
      <w:pPr>
        <w:jc w:val="center"/>
        <w:rPr>
          <w:rFonts w:ascii="方正小标宋简体" w:hAnsi="方正小标宋简体" w:eastAsia="方正小标宋简体"/>
          <w:sz w:val="44"/>
          <w:szCs w:val="44"/>
        </w:rPr>
      </w:pPr>
    </w:p>
    <w:p>
      <w:pPr>
        <w:ind w:firstLine="1440" w:firstLineChars="450"/>
        <w:rPr>
          <w:rFonts w:ascii="方正小标宋简体" w:hAnsi="方正小标宋简体" w:eastAsia="方正小标宋简体"/>
          <w:sz w:val="32"/>
          <w:szCs w:val="32"/>
          <w:u w:val="single"/>
        </w:rPr>
      </w:pPr>
      <w:r>
        <w:rPr>
          <w:rFonts w:ascii="方正小标宋简体" w:hAnsi="方正小标宋简体" w:eastAsia="方正小标宋简体"/>
          <w:sz w:val="32"/>
          <w:szCs w:val="32"/>
        </w:rPr>
        <w:t>项目名称</w:t>
      </w:r>
      <w:r>
        <w:rPr>
          <w:rFonts w:hint="eastAsia" w:ascii="方正小标宋简体" w:hAnsi="方正小标宋简体" w:eastAsia="方正小标宋简体"/>
          <w:sz w:val="32"/>
          <w:szCs w:val="32"/>
        </w:rPr>
        <w:t>：</w:t>
      </w:r>
      <w:r>
        <w:rPr>
          <w:rFonts w:hint="eastAsia" w:ascii="方正小标宋简体" w:hAnsi="方正小标宋简体" w:eastAsia="方正小标宋简体"/>
          <w:sz w:val="32"/>
          <w:szCs w:val="32"/>
          <w:u w:val="single"/>
        </w:rPr>
        <w:t xml:space="preserve">                     </w:t>
      </w:r>
    </w:p>
    <w:p>
      <w:pPr>
        <w:ind w:firstLine="1440" w:firstLineChars="450"/>
        <w:rPr>
          <w:rFonts w:ascii="方正小标宋简体" w:hAnsi="方正小标宋简体" w:eastAsia="方正小标宋简体"/>
          <w:sz w:val="32"/>
          <w:szCs w:val="32"/>
          <w:u w:val="single"/>
        </w:rPr>
      </w:pPr>
      <w:r>
        <w:rPr>
          <w:rFonts w:hint="eastAsia" w:ascii="方正小标宋简体" w:hAnsi="方正小标宋简体" w:eastAsia="方正小标宋简体"/>
          <w:sz w:val="32"/>
          <w:szCs w:val="32"/>
        </w:rPr>
        <w:t>采购单位：</w:t>
      </w:r>
      <w:r>
        <w:rPr>
          <w:rFonts w:hint="eastAsia" w:ascii="方正小标宋简体" w:hAnsi="方正小标宋简体" w:eastAsia="方正小标宋简体"/>
          <w:sz w:val="32"/>
          <w:szCs w:val="32"/>
          <w:u w:val="single"/>
        </w:rPr>
        <w:t xml:space="preserve">                     </w:t>
      </w:r>
    </w:p>
    <w:p>
      <w:pPr>
        <w:ind w:firstLine="1440" w:firstLineChars="450"/>
        <w:rPr>
          <w:rFonts w:ascii="方正小标宋简体" w:hAnsi="方正小标宋简体" w:eastAsia="方正小标宋简体"/>
          <w:sz w:val="32"/>
          <w:szCs w:val="32"/>
          <w:u w:val="single"/>
        </w:rPr>
      </w:pPr>
      <w:r>
        <w:rPr>
          <w:rFonts w:hint="eastAsia" w:ascii="方正小标宋简体" w:hAnsi="方正小标宋简体" w:eastAsia="方正小标宋简体"/>
          <w:sz w:val="32"/>
          <w:szCs w:val="32"/>
        </w:rPr>
        <w:t>审查时间：</w:t>
      </w:r>
      <w:r>
        <w:rPr>
          <w:rFonts w:hint="eastAsia" w:ascii="方正小标宋简体" w:hAnsi="方正小标宋简体" w:eastAsia="方正小标宋简体"/>
          <w:sz w:val="32"/>
          <w:szCs w:val="32"/>
          <w:u w:val="single"/>
        </w:rPr>
        <w:t xml:space="preserve">                     </w:t>
      </w: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sectPr>
          <w:pgSz w:w="11906" w:h="16838"/>
          <w:pgMar w:top="1440" w:right="1800" w:bottom="1440" w:left="1800" w:header="851" w:footer="992" w:gutter="0"/>
          <w:pgNumType w:fmt="decimal"/>
          <w:cols w:space="720" w:num="1"/>
          <w:docGrid w:type="lines" w:linePitch="312" w:charSpace="0"/>
        </w:sectPr>
      </w:pP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 xml:space="preserve">审 查 </w:t>
      </w:r>
      <w:r>
        <w:rPr>
          <w:rFonts w:ascii="方正小标宋简体" w:hAnsi="方正小标宋简体" w:eastAsia="方正小标宋简体"/>
          <w:sz w:val="44"/>
          <w:szCs w:val="44"/>
        </w:rPr>
        <w:t>说</w:t>
      </w:r>
      <w:r>
        <w:rPr>
          <w:rFonts w:hint="eastAsia" w:ascii="方正小标宋简体" w:hAnsi="方正小标宋简体" w:eastAsia="方正小标宋简体"/>
          <w:sz w:val="44"/>
          <w:szCs w:val="44"/>
        </w:rPr>
        <w:t xml:space="preserve"> </w:t>
      </w:r>
      <w:r>
        <w:rPr>
          <w:rFonts w:ascii="方正小标宋简体" w:hAnsi="方正小标宋简体" w:eastAsia="方正小标宋简体"/>
          <w:sz w:val="44"/>
          <w:szCs w:val="44"/>
        </w:rPr>
        <w:t>明</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黑体" w:hAnsi="黑体" w:eastAsia="黑体"/>
          <w:sz w:val="32"/>
          <w:szCs w:val="32"/>
        </w:rPr>
        <w:t>一、</w:t>
      </w:r>
      <w:r>
        <w:rPr>
          <w:rFonts w:hint="eastAsia" w:ascii="仿宋" w:hAnsi="仿宋" w:eastAsia="仿宋"/>
          <w:sz w:val="32"/>
          <w:szCs w:val="32"/>
        </w:rPr>
        <w:t>采购人应当建立审查工作机制，在采购活动开始前，针对采购需求管理中的重点风险事项，对采购需求和采购实施计划进行审查。</w:t>
      </w:r>
    </w:p>
    <w:p>
      <w:pPr>
        <w:spacing w:line="560" w:lineRule="exact"/>
        <w:ind w:firstLine="640" w:firstLineChars="200"/>
        <w:rPr>
          <w:rFonts w:ascii="仿宋" w:hAnsi="仿宋" w:eastAsia="仿宋"/>
          <w:b/>
          <w:sz w:val="32"/>
          <w:szCs w:val="32"/>
        </w:rPr>
      </w:pPr>
      <w:r>
        <w:rPr>
          <w:rFonts w:hint="eastAsia" w:ascii="黑体" w:hAnsi="黑体" w:eastAsia="黑体"/>
          <w:sz w:val="32"/>
          <w:szCs w:val="32"/>
        </w:rPr>
        <w:t>二、</w:t>
      </w:r>
      <w:r>
        <w:rPr>
          <w:rFonts w:hint="eastAsia" w:ascii="仿宋" w:hAnsi="仿宋" w:eastAsia="仿宋"/>
          <w:b/>
          <w:sz w:val="32"/>
          <w:szCs w:val="32"/>
        </w:rPr>
        <w:t>重点审查应在一般性审查通过的基础上再进行。</w:t>
      </w:r>
    </w:p>
    <w:p>
      <w:pPr>
        <w:spacing w:line="560" w:lineRule="exact"/>
        <w:ind w:firstLine="640" w:firstLineChars="200"/>
        <w:rPr>
          <w:rFonts w:ascii="仿宋" w:hAnsi="仿宋" w:eastAsia="仿宋"/>
          <w:sz w:val="32"/>
          <w:szCs w:val="32"/>
        </w:rPr>
      </w:pPr>
      <w:r>
        <w:rPr>
          <w:rFonts w:hint="eastAsia" w:ascii="黑体" w:hAnsi="黑体" w:eastAsia="黑体"/>
          <w:sz w:val="32"/>
          <w:szCs w:val="32"/>
        </w:rPr>
        <w:t>三、</w:t>
      </w:r>
      <w:r>
        <w:rPr>
          <w:rFonts w:hint="eastAsia" w:ascii="仿宋" w:hAnsi="仿宋" w:eastAsia="仿宋"/>
          <w:b/>
          <w:sz w:val="32"/>
          <w:szCs w:val="32"/>
        </w:rPr>
        <w:t>主管预算单位可以根据本部门实际情况，确定由主管预算单位统一组织重点审查的项目类别或者金额范围。</w:t>
      </w:r>
      <w:r>
        <w:rPr>
          <w:rFonts w:hint="eastAsia" w:ascii="仿宋" w:hAnsi="仿宋" w:eastAsia="仿宋"/>
          <w:sz w:val="32"/>
          <w:szCs w:val="32"/>
        </w:rPr>
        <w:t>属于《财政部关于印发政府采购需求管理办法的通知》（财库〔2021〕22号）第十一条规定范围的采购项目，应当开展重点审查。</w:t>
      </w:r>
    </w:p>
    <w:p>
      <w:pPr>
        <w:spacing w:line="560" w:lineRule="exact"/>
        <w:ind w:firstLine="640" w:firstLineChars="200"/>
        <w:rPr>
          <w:rFonts w:ascii="仿宋" w:hAnsi="仿宋" w:eastAsia="仿宋"/>
          <w:sz w:val="32"/>
          <w:szCs w:val="32"/>
        </w:rPr>
      </w:pPr>
      <w:r>
        <w:rPr>
          <w:rFonts w:hint="eastAsia" w:ascii="黑体" w:hAnsi="黑体" w:eastAsia="黑体"/>
          <w:sz w:val="32"/>
          <w:szCs w:val="32"/>
        </w:rPr>
        <w:t>四、</w:t>
      </w:r>
      <w:r>
        <w:rPr>
          <w:rFonts w:hint="eastAsia" w:ascii="仿宋" w:hAnsi="仿宋" w:eastAsia="仿宋"/>
          <w:sz w:val="32"/>
          <w:szCs w:val="32"/>
        </w:rPr>
        <w:t>审查应当符合《财政部关于印发政府采购需求管理办法的通知》（财库〔2021〕22号）要求及政府采购的相关规定。</w:t>
      </w:r>
    </w:p>
    <w:p>
      <w:pPr>
        <w:spacing w:line="560" w:lineRule="exact"/>
        <w:ind w:firstLine="640" w:firstLineChars="200"/>
        <w:rPr>
          <w:rFonts w:ascii="仿宋" w:hAnsi="仿宋" w:eastAsia="仿宋"/>
          <w:sz w:val="32"/>
          <w:szCs w:val="32"/>
        </w:rPr>
      </w:pPr>
      <w:r>
        <w:rPr>
          <w:rFonts w:hint="eastAsia" w:ascii="黑体" w:hAnsi="黑体" w:eastAsia="黑体"/>
          <w:sz w:val="32"/>
          <w:szCs w:val="32"/>
        </w:rPr>
        <w:t>五、</w:t>
      </w:r>
      <w:r>
        <w:rPr>
          <w:rFonts w:hint="eastAsia" w:ascii="仿宋" w:hAnsi="仿宋" w:eastAsia="仿宋"/>
          <w:sz w:val="32"/>
          <w:szCs w:val="32"/>
        </w:rPr>
        <w:t>对于审查不通过的，应当修改采购需求和采购实施计划的内容并重新进行审查。</w:t>
      </w:r>
    </w:p>
    <w:p>
      <w:pPr>
        <w:spacing w:line="560" w:lineRule="exact"/>
        <w:ind w:firstLine="640" w:firstLineChars="200"/>
        <w:rPr>
          <w:rFonts w:ascii="仿宋" w:hAnsi="仿宋" w:eastAsia="仿宋"/>
          <w:sz w:val="32"/>
          <w:szCs w:val="32"/>
        </w:rPr>
      </w:pPr>
      <w:r>
        <w:rPr>
          <w:rFonts w:hint="eastAsia" w:ascii="黑体" w:hAnsi="黑体" w:eastAsia="黑体"/>
          <w:sz w:val="32"/>
          <w:szCs w:val="32"/>
        </w:rPr>
        <w:t>六、</w:t>
      </w:r>
      <w:r>
        <w:rPr>
          <w:rFonts w:hint="eastAsia" w:ascii="仿宋" w:hAnsi="仿宋" w:eastAsia="仿宋"/>
          <w:sz w:val="32"/>
          <w:szCs w:val="32"/>
        </w:rPr>
        <w:t>斜体字部分属于提醒内容，编制时应删除。</w:t>
      </w:r>
    </w:p>
    <w:p>
      <w:pPr>
        <w:spacing w:line="560" w:lineRule="exact"/>
        <w:ind w:firstLine="640" w:firstLineChars="200"/>
        <w:rPr>
          <w:rFonts w:hint="eastAsia" w:ascii="仿宋" w:hAnsi="仿宋" w:eastAsia="仿宋"/>
          <w:sz w:val="32"/>
          <w:szCs w:val="32"/>
        </w:rPr>
      </w:pPr>
      <w:r>
        <w:rPr>
          <w:rFonts w:hint="eastAsia" w:ascii="黑体" w:hAnsi="黑体" w:eastAsia="黑体"/>
          <w:sz w:val="32"/>
          <w:szCs w:val="32"/>
        </w:rPr>
        <w:t>七、</w:t>
      </w:r>
      <w:r>
        <w:rPr>
          <w:rFonts w:hint="eastAsia" w:ascii="仿宋" w:hAnsi="仿宋" w:eastAsia="仿宋"/>
          <w:sz w:val="32"/>
          <w:szCs w:val="32"/>
        </w:rPr>
        <w:t>对不适用的内容应删除，并调整相应序号。</w:t>
      </w:r>
    </w:p>
    <w:p>
      <w:pPr>
        <w:spacing w:line="560" w:lineRule="exact"/>
        <w:ind w:firstLine="640" w:firstLineChars="200"/>
        <w:rPr>
          <w:rFonts w:ascii="仿宋" w:hAnsi="仿宋" w:eastAsia="仿宋"/>
          <w:sz w:val="32"/>
          <w:szCs w:val="32"/>
        </w:rPr>
      </w:pPr>
      <w:r>
        <w:rPr>
          <w:rFonts w:hint="eastAsia" w:ascii="仿宋" w:hAnsi="仿宋" w:eastAsia="仿宋"/>
          <w:sz w:val="32"/>
          <w:szCs w:val="32"/>
        </w:rPr>
        <w:br w:type="column"/>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一、审查项目情况</w:t>
      </w:r>
    </w:p>
    <w:p>
      <w:pPr>
        <w:spacing w:line="560" w:lineRule="exact"/>
        <w:ind w:firstLine="640" w:firstLineChars="200"/>
        <w:jc w:val="left"/>
        <w:rPr>
          <w:rFonts w:ascii="楷体" w:hAnsi="楷体" w:eastAsia="楷体"/>
          <w:sz w:val="32"/>
          <w:szCs w:val="32"/>
          <w:u w:val="single"/>
        </w:rPr>
      </w:pPr>
      <w:r>
        <w:rPr>
          <w:rFonts w:hint="eastAsia" w:ascii="楷体" w:hAnsi="楷体" w:eastAsia="楷体"/>
          <w:sz w:val="32"/>
          <w:szCs w:val="32"/>
        </w:rPr>
        <w:t>（一）审查项目名称：</w:t>
      </w:r>
      <w:r>
        <w:rPr>
          <w:rFonts w:hint="eastAsia" w:ascii="楷体" w:hAnsi="楷体" w:eastAsia="楷体"/>
          <w:sz w:val="32"/>
          <w:szCs w:val="32"/>
          <w:u w:val="single"/>
        </w:rPr>
        <w:t xml:space="preserve">                            </w:t>
      </w: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（二）审查对象：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1.采购需求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参与确定采购需求的专家、第三方机构：</w:t>
      </w:r>
    </w:p>
    <w:p>
      <w:pPr>
        <w:spacing w:line="560" w:lineRule="exact"/>
        <w:ind w:firstLine="640" w:firstLineChars="200"/>
        <w:rPr>
          <w:rFonts w:ascii="仿宋" w:hAnsi="仿宋" w:eastAsia="仿宋"/>
          <w:sz w:val="32"/>
          <w:szCs w:val="32"/>
          <w:u w:val="single"/>
        </w:rPr>
      </w:pPr>
      <w:r>
        <w:rPr>
          <w:rFonts w:hint="eastAsia" w:ascii="仿宋" w:hAnsi="仿宋" w:eastAsia="仿宋"/>
          <w:sz w:val="32"/>
          <w:szCs w:val="32"/>
          <w:u w:val="single"/>
        </w:rPr>
        <w:t xml:space="preserve">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2.采购实施计划</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参与确定采购实施计划的专家、第三方机构：</w:t>
      </w:r>
    </w:p>
    <w:p>
      <w:pPr>
        <w:spacing w:line="560" w:lineRule="exact"/>
        <w:ind w:firstLine="640" w:firstLineChars="200"/>
        <w:rPr>
          <w:rFonts w:ascii="仿宋" w:hAnsi="仿宋" w:eastAsia="仿宋"/>
          <w:sz w:val="32"/>
          <w:szCs w:val="32"/>
          <w:u w:val="single"/>
        </w:rPr>
      </w:pPr>
      <w:r>
        <w:rPr>
          <w:rFonts w:hint="eastAsia" w:ascii="仿宋" w:hAnsi="仿宋" w:eastAsia="仿宋"/>
          <w:sz w:val="32"/>
          <w:szCs w:val="32"/>
          <w:u w:val="single"/>
        </w:rPr>
        <w:t xml:space="preserve">                                                </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二、审查人员</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992"/>
        <w:gridCol w:w="993"/>
        <w:gridCol w:w="1505"/>
        <w:gridCol w:w="1744"/>
        <w:gridCol w:w="1799"/>
        <w:gridCol w:w="10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center"/>
          </w:tcPr>
          <w:p>
            <w:pPr>
              <w:spacing w:line="560" w:lineRule="exact"/>
              <w:jc w:val="center"/>
              <w:rPr>
                <w:rFonts w:ascii="仿宋" w:hAnsi="仿宋" w:eastAsia="仿宋"/>
                <w:sz w:val="32"/>
                <w:szCs w:val="32"/>
              </w:rPr>
            </w:pPr>
            <w:r>
              <w:rPr>
                <w:rFonts w:hint="eastAsia" w:ascii="仿宋" w:hAnsi="仿宋" w:eastAsia="仿宋"/>
                <w:sz w:val="32"/>
                <w:szCs w:val="32"/>
              </w:rPr>
              <w:t>序号</w:t>
            </w:r>
          </w:p>
        </w:tc>
        <w:tc>
          <w:tcPr>
            <w:tcW w:w="992" w:type="dxa"/>
            <w:tcBorders>
              <w:right w:val="single" w:color="auto" w:sz="4" w:space="0"/>
            </w:tcBorders>
            <w:noWrap w:val="0"/>
            <w:vAlign w:val="center"/>
          </w:tcPr>
          <w:p>
            <w:pPr>
              <w:spacing w:line="560" w:lineRule="exact"/>
              <w:jc w:val="center"/>
              <w:rPr>
                <w:rFonts w:ascii="仿宋" w:hAnsi="仿宋" w:eastAsia="仿宋"/>
                <w:sz w:val="32"/>
                <w:szCs w:val="32"/>
              </w:rPr>
            </w:pPr>
            <w:r>
              <w:rPr>
                <w:rFonts w:ascii="仿宋" w:hAnsi="仿宋" w:eastAsia="仿宋"/>
                <w:sz w:val="32"/>
                <w:szCs w:val="32"/>
              </w:rPr>
              <w:t>姓名</w:t>
            </w:r>
          </w:p>
        </w:tc>
        <w:tc>
          <w:tcPr>
            <w:tcW w:w="993" w:type="dxa"/>
            <w:tcBorders>
              <w:left w:val="single" w:color="auto" w:sz="4" w:space="0"/>
            </w:tcBorders>
            <w:noWrap w:val="0"/>
            <w:vAlign w:val="center"/>
          </w:tcPr>
          <w:p>
            <w:pPr>
              <w:spacing w:line="560" w:lineRule="exact"/>
              <w:jc w:val="center"/>
              <w:rPr>
                <w:rFonts w:ascii="仿宋" w:hAnsi="仿宋" w:eastAsia="仿宋"/>
                <w:sz w:val="32"/>
                <w:szCs w:val="32"/>
              </w:rPr>
            </w:pPr>
            <w:r>
              <w:rPr>
                <w:rFonts w:hint="eastAsia" w:ascii="仿宋" w:hAnsi="仿宋" w:eastAsia="仿宋"/>
                <w:sz w:val="32"/>
                <w:szCs w:val="32"/>
              </w:rPr>
              <w:t>单位</w:t>
            </w:r>
          </w:p>
        </w:tc>
        <w:tc>
          <w:tcPr>
            <w:tcW w:w="1505" w:type="dxa"/>
            <w:noWrap w:val="0"/>
            <w:vAlign w:val="center"/>
          </w:tcPr>
          <w:p>
            <w:pPr>
              <w:spacing w:line="560" w:lineRule="exact"/>
              <w:jc w:val="center"/>
              <w:rPr>
                <w:rFonts w:ascii="仿宋" w:hAnsi="仿宋" w:eastAsia="仿宋"/>
                <w:sz w:val="32"/>
                <w:szCs w:val="32"/>
              </w:rPr>
            </w:pPr>
            <w:r>
              <w:rPr>
                <w:rFonts w:hint="eastAsia" w:ascii="仿宋" w:hAnsi="仿宋" w:eastAsia="仿宋"/>
                <w:sz w:val="32"/>
                <w:szCs w:val="32"/>
              </w:rPr>
              <w:t>内部机构</w:t>
            </w:r>
          </w:p>
        </w:tc>
        <w:tc>
          <w:tcPr>
            <w:tcW w:w="1744" w:type="dxa"/>
            <w:noWrap w:val="0"/>
            <w:vAlign w:val="center"/>
          </w:tcPr>
          <w:p>
            <w:pPr>
              <w:spacing w:line="560" w:lineRule="exact"/>
              <w:jc w:val="center"/>
              <w:rPr>
                <w:rFonts w:ascii="仿宋" w:hAnsi="仿宋" w:eastAsia="仿宋"/>
                <w:sz w:val="32"/>
                <w:szCs w:val="32"/>
              </w:rPr>
            </w:pPr>
            <w:r>
              <w:rPr>
                <w:rFonts w:hint="eastAsia" w:ascii="仿宋" w:hAnsi="仿宋" w:eastAsia="仿宋"/>
                <w:sz w:val="32"/>
                <w:szCs w:val="32"/>
              </w:rPr>
              <w:t>职务/职称</w:t>
            </w:r>
          </w:p>
        </w:tc>
        <w:tc>
          <w:tcPr>
            <w:tcW w:w="1799" w:type="dxa"/>
            <w:noWrap w:val="0"/>
            <w:vAlign w:val="center"/>
          </w:tcPr>
          <w:p>
            <w:pPr>
              <w:spacing w:line="560" w:lineRule="exact"/>
              <w:jc w:val="center"/>
              <w:rPr>
                <w:rFonts w:ascii="仿宋" w:hAnsi="仿宋" w:eastAsia="仿宋"/>
                <w:sz w:val="32"/>
                <w:szCs w:val="32"/>
              </w:rPr>
            </w:pPr>
            <w:r>
              <w:rPr>
                <w:rFonts w:hint="eastAsia" w:ascii="仿宋" w:hAnsi="仿宋" w:eastAsia="仿宋"/>
                <w:sz w:val="32"/>
                <w:szCs w:val="32"/>
              </w:rPr>
              <w:t>联系方式</w:t>
            </w:r>
          </w:p>
        </w:tc>
        <w:tc>
          <w:tcPr>
            <w:tcW w:w="1043" w:type="dxa"/>
            <w:noWrap w:val="0"/>
            <w:vAlign w:val="center"/>
          </w:tcPr>
          <w:p>
            <w:pPr>
              <w:spacing w:line="560" w:lineRule="exact"/>
              <w:jc w:val="center"/>
              <w:rPr>
                <w:rFonts w:ascii="仿宋" w:hAnsi="仿宋" w:eastAsia="仿宋"/>
                <w:sz w:val="32"/>
                <w:szCs w:val="32"/>
              </w:rPr>
            </w:pPr>
            <w:r>
              <w:rPr>
                <w:rFonts w:hint="eastAsia" w:ascii="仿宋" w:hAnsi="仿宋" w:eastAsia="仿宋"/>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center"/>
          </w:tcPr>
          <w:p>
            <w:pPr>
              <w:spacing w:line="560" w:lineRule="exact"/>
              <w:jc w:val="center"/>
              <w:rPr>
                <w:rFonts w:ascii="仿宋" w:hAnsi="仿宋" w:eastAsia="仿宋"/>
                <w:sz w:val="32"/>
                <w:szCs w:val="32"/>
              </w:rPr>
            </w:pPr>
          </w:p>
        </w:tc>
        <w:tc>
          <w:tcPr>
            <w:tcW w:w="992" w:type="dxa"/>
            <w:tcBorders>
              <w:right w:val="single" w:color="auto" w:sz="4" w:space="0"/>
            </w:tcBorders>
            <w:noWrap w:val="0"/>
            <w:vAlign w:val="center"/>
          </w:tcPr>
          <w:p>
            <w:pPr>
              <w:spacing w:line="560" w:lineRule="exact"/>
              <w:jc w:val="center"/>
              <w:rPr>
                <w:rFonts w:ascii="仿宋" w:hAnsi="仿宋" w:eastAsia="仿宋"/>
                <w:sz w:val="32"/>
                <w:szCs w:val="32"/>
              </w:rPr>
            </w:pPr>
          </w:p>
        </w:tc>
        <w:tc>
          <w:tcPr>
            <w:tcW w:w="993" w:type="dxa"/>
            <w:tcBorders>
              <w:left w:val="single" w:color="auto" w:sz="4" w:space="0"/>
            </w:tcBorders>
            <w:noWrap w:val="0"/>
            <w:vAlign w:val="center"/>
          </w:tcPr>
          <w:p>
            <w:pPr>
              <w:spacing w:line="560" w:lineRule="exact"/>
              <w:jc w:val="center"/>
              <w:rPr>
                <w:rFonts w:ascii="仿宋" w:hAnsi="仿宋" w:eastAsia="仿宋"/>
                <w:sz w:val="32"/>
                <w:szCs w:val="32"/>
              </w:rPr>
            </w:pPr>
          </w:p>
        </w:tc>
        <w:tc>
          <w:tcPr>
            <w:tcW w:w="1505" w:type="dxa"/>
            <w:noWrap w:val="0"/>
            <w:vAlign w:val="center"/>
          </w:tcPr>
          <w:p>
            <w:pPr>
              <w:spacing w:line="560" w:lineRule="exact"/>
              <w:jc w:val="center"/>
              <w:rPr>
                <w:rFonts w:ascii="仿宋" w:hAnsi="仿宋" w:eastAsia="仿宋"/>
                <w:sz w:val="32"/>
                <w:szCs w:val="32"/>
              </w:rPr>
            </w:pPr>
          </w:p>
        </w:tc>
        <w:tc>
          <w:tcPr>
            <w:tcW w:w="1744" w:type="dxa"/>
            <w:noWrap w:val="0"/>
            <w:vAlign w:val="center"/>
          </w:tcPr>
          <w:p>
            <w:pPr>
              <w:spacing w:line="560" w:lineRule="exact"/>
              <w:jc w:val="center"/>
              <w:rPr>
                <w:rFonts w:ascii="仿宋" w:hAnsi="仿宋" w:eastAsia="仿宋"/>
                <w:sz w:val="32"/>
                <w:szCs w:val="32"/>
              </w:rPr>
            </w:pPr>
          </w:p>
        </w:tc>
        <w:tc>
          <w:tcPr>
            <w:tcW w:w="1799" w:type="dxa"/>
            <w:noWrap w:val="0"/>
            <w:vAlign w:val="center"/>
          </w:tcPr>
          <w:p>
            <w:pPr>
              <w:spacing w:line="560" w:lineRule="exact"/>
              <w:jc w:val="center"/>
              <w:rPr>
                <w:rFonts w:ascii="仿宋" w:hAnsi="仿宋" w:eastAsia="仿宋"/>
                <w:sz w:val="32"/>
                <w:szCs w:val="32"/>
              </w:rPr>
            </w:pPr>
          </w:p>
        </w:tc>
        <w:tc>
          <w:tcPr>
            <w:tcW w:w="1043" w:type="dxa"/>
            <w:noWrap w:val="0"/>
            <w:vAlign w:val="center"/>
          </w:tcPr>
          <w:p>
            <w:pPr>
              <w:spacing w:line="56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center"/>
          </w:tcPr>
          <w:p>
            <w:pPr>
              <w:spacing w:line="560" w:lineRule="exact"/>
              <w:jc w:val="center"/>
              <w:rPr>
                <w:rFonts w:ascii="仿宋" w:hAnsi="仿宋" w:eastAsia="仿宋"/>
                <w:sz w:val="32"/>
                <w:szCs w:val="32"/>
              </w:rPr>
            </w:pPr>
          </w:p>
        </w:tc>
        <w:tc>
          <w:tcPr>
            <w:tcW w:w="992" w:type="dxa"/>
            <w:tcBorders>
              <w:right w:val="single" w:color="auto" w:sz="4" w:space="0"/>
            </w:tcBorders>
            <w:noWrap w:val="0"/>
            <w:vAlign w:val="center"/>
          </w:tcPr>
          <w:p>
            <w:pPr>
              <w:spacing w:line="560" w:lineRule="exact"/>
              <w:jc w:val="center"/>
              <w:rPr>
                <w:rFonts w:ascii="仿宋" w:hAnsi="仿宋" w:eastAsia="仿宋"/>
                <w:sz w:val="32"/>
                <w:szCs w:val="32"/>
              </w:rPr>
            </w:pPr>
          </w:p>
        </w:tc>
        <w:tc>
          <w:tcPr>
            <w:tcW w:w="993" w:type="dxa"/>
            <w:tcBorders>
              <w:left w:val="single" w:color="auto" w:sz="4" w:space="0"/>
            </w:tcBorders>
            <w:noWrap w:val="0"/>
            <w:vAlign w:val="center"/>
          </w:tcPr>
          <w:p>
            <w:pPr>
              <w:spacing w:line="560" w:lineRule="exact"/>
              <w:jc w:val="center"/>
              <w:rPr>
                <w:rFonts w:ascii="仿宋" w:hAnsi="仿宋" w:eastAsia="仿宋"/>
                <w:sz w:val="32"/>
                <w:szCs w:val="32"/>
              </w:rPr>
            </w:pPr>
          </w:p>
        </w:tc>
        <w:tc>
          <w:tcPr>
            <w:tcW w:w="1505" w:type="dxa"/>
            <w:noWrap w:val="0"/>
            <w:vAlign w:val="center"/>
          </w:tcPr>
          <w:p>
            <w:pPr>
              <w:spacing w:line="560" w:lineRule="exact"/>
              <w:jc w:val="center"/>
              <w:rPr>
                <w:rFonts w:ascii="仿宋" w:hAnsi="仿宋" w:eastAsia="仿宋"/>
                <w:sz w:val="32"/>
                <w:szCs w:val="32"/>
              </w:rPr>
            </w:pPr>
          </w:p>
        </w:tc>
        <w:tc>
          <w:tcPr>
            <w:tcW w:w="1744" w:type="dxa"/>
            <w:noWrap w:val="0"/>
            <w:vAlign w:val="center"/>
          </w:tcPr>
          <w:p>
            <w:pPr>
              <w:spacing w:line="560" w:lineRule="exact"/>
              <w:jc w:val="center"/>
              <w:rPr>
                <w:rFonts w:ascii="仿宋" w:hAnsi="仿宋" w:eastAsia="仿宋"/>
                <w:sz w:val="32"/>
                <w:szCs w:val="32"/>
              </w:rPr>
            </w:pPr>
          </w:p>
        </w:tc>
        <w:tc>
          <w:tcPr>
            <w:tcW w:w="1799" w:type="dxa"/>
            <w:noWrap w:val="0"/>
            <w:vAlign w:val="center"/>
          </w:tcPr>
          <w:p>
            <w:pPr>
              <w:spacing w:line="560" w:lineRule="exact"/>
              <w:jc w:val="center"/>
              <w:rPr>
                <w:rFonts w:ascii="仿宋" w:hAnsi="仿宋" w:eastAsia="仿宋"/>
                <w:sz w:val="32"/>
                <w:szCs w:val="32"/>
              </w:rPr>
            </w:pPr>
          </w:p>
        </w:tc>
        <w:tc>
          <w:tcPr>
            <w:tcW w:w="1043" w:type="dxa"/>
            <w:noWrap w:val="0"/>
            <w:vAlign w:val="center"/>
          </w:tcPr>
          <w:p>
            <w:pPr>
              <w:spacing w:line="56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05" w:type="dxa"/>
            <w:noWrap w:val="0"/>
            <w:vAlign w:val="center"/>
          </w:tcPr>
          <w:p>
            <w:pPr>
              <w:spacing w:line="560" w:lineRule="exact"/>
              <w:jc w:val="center"/>
              <w:rPr>
                <w:rFonts w:ascii="仿宋" w:hAnsi="仿宋" w:eastAsia="仿宋"/>
                <w:sz w:val="32"/>
                <w:szCs w:val="32"/>
              </w:rPr>
            </w:pPr>
          </w:p>
        </w:tc>
        <w:tc>
          <w:tcPr>
            <w:tcW w:w="992" w:type="dxa"/>
            <w:tcBorders>
              <w:right w:val="single" w:color="auto" w:sz="4" w:space="0"/>
            </w:tcBorders>
            <w:noWrap w:val="0"/>
            <w:vAlign w:val="center"/>
          </w:tcPr>
          <w:p>
            <w:pPr>
              <w:spacing w:line="560" w:lineRule="exact"/>
              <w:jc w:val="center"/>
              <w:rPr>
                <w:rFonts w:ascii="仿宋" w:hAnsi="仿宋" w:eastAsia="仿宋"/>
                <w:sz w:val="32"/>
                <w:szCs w:val="32"/>
              </w:rPr>
            </w:pPr>
          </w:p>
        </w:tc>
        <w:tc>
          <w:tcPr>
            <w:tcW w:w="993" w:type="dxa"/>
            <w:tcBorders>
              <w:left w:val="single" w:color="auto" w:sz="4" w:space="0"/>
            </w:tcBorders>
            <w:noWrap w:val="0"/>
            <w:vAlign w:val="center"/>
          </w:tcPr>
          <w:p>
            <w:pPr>
              <w:spacing w:line="560" w:lineRule="exact"/>
              <w:jc w:val="center"/>
              <w:rPr>
                <w:rFonts w:ascii="仿宋" w:hAnsi="仿宋" w:eastAsia="仿宋"/>
                <w:sz w:val="32"/>
                <w:szCs w:val="32"/>
              </w:rPr>
            </w:pPr>
          </w:p>
        </w:tc>
        <w:tc>
          <w:tcPr>
            <w:tcW w:w="1505" w:type="dxa"/>
            <w:noWrap w:val="0"/>
            <w:vAlign w:val="center"/>
          </w:tcPr>
          <w:p>
            <w:pPr>
              <w:spacing w:line="560" w:lineRule="exact"/>
              <w:jc w:val="center"/>
              <w:rPr>
                <w:rFonts w:ascii="仿宋" w:hAnsi="仿宋" w:eastAsia="仿宋"/>
                <w:sz w:val="32"/>
                <w:szCs w:val="32"/>
              </w:rPr>
            </w:pPr>
          </w:p>
        </w:tc>
        <w:tc>
          <w:tcPr>
            <w:tcW w:w="1744" w:type="dxa"/>
            <w:noWrap w:val="0"/>
            <w:vAlign w:val="center"/>
          </w:tcPr>
          <w:p>
            <w:pPr>
              <w:spacing w:line="560" w:lineRule="exact"/>
              <w:jc w:val="center"/>
              <w:rPr>
                <w:rFonts w:ascii="仿宋" w:hAnsi="仿宋" w:eastAsia="仿宋"/>
                <w:sz w:val="32"/>
                <w:szCs w:val="32"/>
              </w:rPr>
            </w:pPr>
          </w:p>
        </w:tc>
        <w:tc>
          <w:tcPr>
            <w:tcW w:w="1799" w:type="dxa"/>
            <w:noWrap w:val="0"/>
            <w:vAlign w:val="center"/>
          </w:tcPr>
          <w:p>
            <w:pPr>
              <w:spacing w:line="560" w:lineRule="exact"/>
              <w:jc w:val="center"/>
              <w:rPr>
                <w:rFonts w:ascii="仿宋" w:hAnsi="仿宋" w:eastAsia="仿宋"/>
                <w:sz w:val="32"/>
                <w:szCs w:val="32"/>
              </w:rPr>
            </w:pPr>
          </w:p>
        </w:tc>
        <w:tc>
          <w:tcPr>
            <w:tcW w:w="1043" w:type="dxa"/>
            <w:noWrap w:val="0"/>
            <w:vAlign w:val="center"/>
          </w:tcPr>
          <w:p>
            <w:pPr>
              <w:spacing w:line="56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center"/>
          </w:tcPr>
          <w:p>
            <w:pPr>
              <w:spacing w:line="560" w:lineRule="exact"/>
              <w:jc w:val="center"/>
              <w:rPr>
                <w:rFonts w:ascii="仿宋" w:hAnsi="仿宋" w:eastAsia="仿宋"/>
                <w:sz w:val="32"/>
                <w:szCs w:val="32"/>
              </w:rPr>
            </w:pPr>
          </w:p>
        </w:tc>
        <w:tc>
          <w:tcPr>
            <w:tcW w:w="992" w:type="dxa"/>
            <w:tcBorders>
              <w:right w:val="single" w:color="auto" w:sz="4" w:space="0"/>
            </w:tcBorders>
            <w:noWrap w:val="0"/>
            <w:vAlign w:val="center"/>
          </w:tcPr>
          <w:p>
            <w:pPr>
              <w:spacing w:line="560" w:lineRule="exact"/>
              <w:jc w:val="center"/>
              <w:rPr>
                <w:rFonts w:ascii="仿宋" w:hAnsi="仿宋" w:eastAsia="仿宋"/>
                <w:sz w:val="32"/>
                <w:szCs w:val="32"/>
              </w:rPr>
            </w:pPr>
          </w:p>
        </w:tc>
        <w:tc>
          <w:tcPr>
            <w:tcW w:w="993" w:type="dxa"/>
            <w:tcBorders>
              <w:left w:val="single" w:color="auto" w:sz="4" w:space="0"/>
            </w:tcBorders>
            <w:noWrap w:val="0"/>
            <w:vAlign w:val="center"/>
          </w:tcPr>
          <w:p>
            <w:pPr>
              <w:spacing w:line="560" w:lineRule="exact"/>
              <w:jc w:val="center"/>
              <w:rPr>
                <w:rFonts w:ascii="仿宋" w:hAnsi="仿宋" w:eastAsia="仿宋"/>
                <w:sz w:val="32"/>
                <w:szCs w:val="32"/>
              </w:rPr>
            </w:pPr>
          </w:p>
        </w:tc>
        <w:tc>
          <w:tcPr>
            <w:tcW w:w="1505" w:type="dxa"/>
            <w:noWrap w:val="0"/>
            <w:vAlign w:val="center"/>
          </w:tcPr>
          <w:p>
            <w:pPr>
              <w:spacing w:line="560" w:lineRule="exact"/>
              <w:jc w:val="center"/>
              <w:rPr>
                <w:rFonts w:ascii="仿宋" w:hAnsi="仿宋" w:eastAsia="仿宋"/>
                <w:sz w:val="32"/>
                <w:szCs w:val="32"/>
              </w:rPr>
            </w:pPr>
          </w:p>
        </w:tc>
        <w:tc>
          <w:tcPr>
            <w:tcW w:w="1744" w:type="dxa"/>
            <w:noWrap w:val="0"/>
            <w:vAlign w:val="center"/>
          </w:tcPr>
          <w:p>
            <w:pPr>
              <w:spacing w:line="560" w:lineRule="exact"/>
              <w:jc w:val="center"/>
              <w:rPr>
                <w:rFonts w:ascii="仿宋" w:hAnsi="仿宋" w:eastAsia="仿宋"/>
                <w:sz w:val="32"/>
                <w:szCs w:val="32"/>
              </w:rPr>
            </w:pPr>
          </w:p>
        </w:tc>
        <w:tc>
          <w:tcPr>
            <w:tcW w:w="1799" w:type="dxa"/>
            <w:noWrap w:val="0"/>
            <w:vAlign w:val="center"/>
          </w:tcPr>
          <w:p>
            <w:pPr>
              <w:spacing w:line="560" w:lineRule="exact"/>
              <w:jc w:val="center"/>
              <w:rPr>
                <w:rFonts w:ascii="仿宋" w:hAnsi="仿宋" w:eastAsia="仿宋"/>
                <w:sz w:val="32"/>
                <w:szCs w:val="32"/>
              </w:rPr>
            </w:pPr>
          </w:p>
        </w:tc>
        <w:tc>
          <w:tcPr>
            <w:tcW w:w="1043" w:type="dxa"/>
            <w:noWrap w:val="0"/>
            <w:vAlign w:val="center"/>
          </w:tcPr>
          <w:p>
            <w:pPr>
              <w:spacing w:line="56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center"/>
          </w:tcPr>
          <w:p>
            <w:pPr>
              <w:spacing w:line="560" w:lineRule="exact"/>
              <w:jc w:val="center"/>
              <w:rPr>
                <w:rFonts w:ascii="仿宋" w:hAnsi="仿宋" w:eastAsia="仿宋"/>
                <w:sz w:val="32"/>
                <w:szCs w:val="32"/>
              </w:rPr>
            </w:pPr>
          </w:p>
        </w:tc>
        <w:tc>
          <w:tcPr>
            <w:tcW w:w="992" w:type="dxa"/>
            <w:tcBorders>
              <w:right w:val="single" w:color="auto" w:sz="4" w:space="0"/>
            </w:tcBorders>
            <w:noWrap w:val="0"/>
            <w:vAlign w:val="center"/>
          </w:tcPr>
          <w:p>
            <w:pPr>
              <w:spacing w:line="560" w:lineRule="exact"/>
              <w:jc w:val="center"/>
              <w:rPr>
                <w:rFonts w:ascii="仿宋" w:hAnsi="仿宋" w:eastAsia="仿宋"/>
                <w:sz w:val="32"/>
                <w:szCs w:val="32"/>
              </w:rPr>
            </w:pPr>
          </w:p>
        </w:tc>
        <w:tc>
          <w:tcPr>
            <w:tcW w:w="993" w:type="dxa"/>
            <w:tcBorders>
              <w:left w:val="single" w:color="auto" w:sz="4" w:space="0"/>
            </w:tcBorders>
            <w:noWrap w:val="0"/>
            <w:vAlign w:val="center"/>
          </w:tcPr>
          <w:p>
            <w:pPr>
              <w:spacing w:line="560" w:lineRule="exact"/>
              <w:jc w:val="center"/>
              <w:rPr>
                <w:rFonts w:ascii="仿宋" w:hAnsi="仿宋" w:eastAsia="仿宋"/>
                <w:sz w:val="32"/>
                <w:szCs w:val="32"/>
              </w:rPr>
            </w:pPr>
          </w:p>
        </w:tc>
        <w:tc>
          <w:tcPr>
            <w:tcW w:w="1505" w:type="dxa"/>
            <w:noWrap w:val="0"/>
            <w:vAlign w:val="center"/>
          </w:tcPr>
          <w:p>
            <w:pPr>
              <w:spacing w:line="560" w:lineRule="exact"/>
              <w:jc w:val="center"/>
              <w:rPr>
                <w:rFonts w:ascii="仿宋" w:hAnsi="仿宋" w:eastAsia="仿宋"/>
                <w:sz w:val="32"/>
                <w:szCs w:val="32"/>
              </w:rPr>
            </w:pPr>
          </w:p>
        </w:tc>
        <w:tc>
          <w:tcPr>
            <w:tcW w:w="1744" w:type="dxa"/>
            <w:noWrap w:val="0"/>
            <w:vAlign w:val="center"/>
          </w:tcPr>
          <w:p>
            <w:pPr>
              <w:spacing w:line="560" w:lineRule="exact"/>
              <w:jc w:val="center"/>
              <w:rPr>
                <w:rFonts w:ascii="仿宋" w:hAnsi="仿宋" w:eastAsia="仿宋"/>
                <w:sz w:val="32"/>
                <w:szCs w:val="32"/>
              </w:rPr>
            </w:pPr>
          </w:p>
        </w:tc>
        <w:tc>
          <w:tcPr>
            <w:tcW w:w="1799" w:type="dxa"/>
            <w:noWrap w:val="0"/>
            <w:vAlign w:val="center"/>
          </w:tcPr>
          <w:p>
            <w:pPr>
              <w:spacing w:line="560" w:lineRule="exact"/>
              <w:jc w:val="center"/>
              <w:rPr>
                <w:rFonts w:ascii="仿宋" w:hAnsi="仿宋" w:eastAsia="仿宋"/>
                <w:sz w:val="32"/>
                <w:szCs w:val="32"/>
              </w:rPr>
            </w:pPr>
          </w:p>
        </w:tc>
        <w:tc>
          <w:tcPr>
            <w:tcW w:w="1043" w:type="dxa"/>
            <w:noWrap w:val="0"/>
            <w:vAlign w:val="center"/>
          </w:tcPr>
          <w:p>
            <w:pPr>
              <w:spacing w:line="560" w:lineRule="exact"/>
              <w:jc w:val="center"/>
              <w:rPr>
                <w:rFonts w:ascii="仿宋" w:hAnsi="仿宋" w:eastAsia="仿宋"/>
                <w:sz w:val="32"/>
                <w:szCs w:val="32"/>
              </w:rPr>
            </w:pPr>
          </w:p>
        </w:tc>
      </w:tr>
    </w:tbl>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审查工作机制成员应当包括本部门、本单位的采购、财务、业务、监督等内部机构。采购人可以根据本单位实际情况，建立相关专家和第三方机构参与审查的工作机制。</w:t>
      </w:r>
    </w:p>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参与确定采购需求和编制采购实施计划的专家和第三方机构不得参与审查。</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三、审查会议</w:t>
      </w:r>
    </w:p>
    <w:p>
      <w:pPr>
        <w:rPr>
          <w:rFonts w:ascii="仿宋_GB2312" w:hAnsi="Calibri" w:eastAsia="仿宋_GB2312"/>
          <w:sz w:val="32"/>
          <w:szCs w:val="32"/>
        </w:rPr>
      </w:pPr>
      <w:r>
        <w:rPr>
          <w:rFonts w:ascii="仿宋_GB2312" w:hAnsi="Calibri" w:eastAsia="仿宋_GB2312"/>
          <w:sz w:val="32"/>
          <w:szCs w:val="32"/>
        </w:rPr>
        <w:br w:type="page"/>
      </w:r>
    </w:p>
    <w:p>
      <w:pPr>
        <w:spacing w:line="560" w:lineRule="exact"/>
        <w:ind w:firstLine="640" w:firstLineChars="200"/>
        <w:rPr>
          <w:rFonts w:ascii="仿宋" w:hAnsi="仿宋" w:eastAsia="仿宋"/>
          <w:sz w:val="32"/>
          <w:szCs w:val="32"/>
          <w:u w:val="single"/>
        </w:rPr>
      </w:pPr>
      <w:r>
        <w:rPr>
          <w:rFonts w:hint="eastAsia" w:ascii="仿宋" w:hAnsi="仿宋" w:eastAsia="仿宋"/>
          <w:sz w:val="32"/>
          <w:szCs w:val="32"/>
        </w:rPr>
        <w:t>1.审查时间：</w:t>
      </w:r>
      <w:r>
        <w:rPr>
          <w:rFonts w:hint="eastAsia" w:ascii="仿宋" w:hAnsi="仿宋" w:eastAsia="仿宋"/>
          <w:sz w:val="32"/>
          <w:szCs w:val="32"/>
          <w:u w:val="single"/>
        </w:rPr>
        <w:t xml:space="preserve">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2.审查地点：</w:t>
      </w:r>
      <w:r>
        <w:rPr>
          <w:rFonts w:hint="eastAsia" w:ascii="仿宋" w:hAnsi="仿宋" w:eastAsia="仿宋"/>
          <w:sz w:val="32"/>
          <w:szCs w:val="32"/>
          <w:u w:val="single"/>
        </w:rPr>
        <w:t xml:space="preserve">                       </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四、审查意见</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27"/>
        <w:gridCol w:w="5331"/>
        <w:gridCol w:w="1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8" w:type="dxa"/>
            <w:gridSpan w:val="2"/>
            <w:noWrap w:val="0"/>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审 查 内 容</w:t>
            </w:r>
          </w:p>
        </w:tc>
        <w:tc>
          <w:tcPr>
            <w:tcW w:w="1900" w:type="dxa"/>
            <w:noWrap w:val="0"/>
            <w:vAlign w:val="center"/>
          </w:tcPr>
          <w:p>
            <w:pPr>
              <w:spacing w:line="560" w:lineRule="exact"/>
              <w:jc w:val="center"/>
              <w:rPr>
                <w:rFonts w:ascii="仿宋" w:hAnsi="仿宋" w:eastAsia="仿宋"/>
                <w:b/>
                <w:sz w:val="28"/>
                <w:szCs w:val="28"/>
              </w:rPr>
            </w:pPr>
            <w:r>
              <w:rPr>
                <w:rFonts w:ascii="仿宋" w:hAnsi="仿宋" w:eastAsia="仿宋"/>
                <w:b/>
                <w:sz w:val="28"/>
                <w:szCs w:val="28"/>
              </w:rPr>
              <w:t>审查</w:t>
            </w:r>
            <w:r>
              <w:rPr>
                <w:rFonts w:hint="eastAsia" w:ascii="仿宋" w:hAnsi="仿宋" w:eastAsia="仿宋"/>
                <w:b/>
                <w:sz w:val="28"/>
                <w:szCs w:val="28"/>
              </w:rPr>
              <w:t>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7" w:type="dxa"/>
            <w:vMerge w:val="restart"/>
            <w:noWrap w:val="0"/>
            <w:vAlign w:val="center"/>
          </w:tcPr>
          <w:p>
            <w:pPr>
              <w:spacing w:line="560" w:lineRule="exact"/>
              <w:rPr>
                <w:rFonts w:ascii="仿宋" w:hAnsi="仿宋" w:eastAsia="仿宋"/>
                <w:sz w:val="28"/>
                <w:szCs w:val="28"/>
              </w:rPr>
            </w:pPr>
            <w:r>
              <w:rPr>
                <w:rFonts w:hint="eastAsia" w:ascii="仿宋" w:hAnsi="仿宋" w:eastAsia="仿宋"/>
                <w:sz w:val="28"/>
                <w:szCs w:val="28"/>
              </w:rPr>
              <w:t>（一）非歧视性审查（主要审查是否指向特定供应商或者特定产品）</w:t>
            </w:r>
          </w:p>
        </w:tc>
        <w:tc>
          <w:tcPr>
            <w:tcW w:w="5331" w:type="dxa"/>
            <w:tcBorders>
              <w:bottom w:val="single" w:color="auto" w:sz="4" w:space="0"/>
            </w:tcBorders>
            <w:noWrap w:val="0"/>
            <w:vAlign w:val="center"/>
          </w:tcPr>
          <w:p>
            <w:pPr>
              <w:spacing w:line="560" w:lineRule="exact"/>
              <w:rPr>
                <w:rFonts w:ascii="仿宋" w:hAnsi="仿宋" w:eastAsia="仿宋"/>
                <w:b/>
                <w:sz w:val="28"/>
                <w:szCs w:val="28"/>
              </w:rPr>
            </w:pPr>
            <w:r>
              <w:rPr>
                <w:rFonts w:hint="eastAsia" w:ascii="仿宋" w:hAnsi="仿宋" w:eastAsia="仿宋"/>
                <w:sz w:val="28"/>
                <w:szCs w:val="28"/>
              </w:rPr>
              <w:t>资格条件设置是否合理</w:t>
            </w:r>
          </w:p>
        </w:tc>
        <w:tc>
          <w:tcPr>
            <w:tcW w:w="1900" w:type="dxa"/>
            <w:tcBorders>
              <w:bottom w:val="single" w:color="auto" w:sz="4" w:space="0"/>
            </w:tcBorders>
            <w:noWrap w:val="0"/>
            <w:vAlign w:val="center"/>
          </w:tcPr>
          <w:p>
            <w:pPr>
              <w:spacing w:line="56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7" w:type="dxa"/>
            <w:vMerge w:val="continue"/>
            <w:noWrap w:val="0"/>
            <w:vAlign w:val="center"/>
          </w:tcPr>
          <w:p>
            <w:pPr>
              <w:spacing w:line="560" w:lineRule="exact"/>
              <w:rPr>
                <w:rFonts w:ascii="仿宋" w:hAnsi="仿宋" w:eastAsia="仿宋"/>
                <w:sz w:val="28"/>
                <w:szCs w:val="28"/>
              </w:rPr>
            </w:pPr>
          </w:p>
        </w:tc>
        <w:tc>
          <w:tcPr>
            <w:tcW w:w="5331" w:type="dxa"/>
            <w:tcBorders>
              <w:top w:val="single" w:color="auto" w:sz="4" w:space="0"/>
              <w:bottom w:val="single" w:color="auto" w:sz="4" w:space="0"/>
            </w:tcBorders>
            <w:noWrap w:val="0"/>
            <w:vAlign w:val="center"/>
          </w:tcPr>
          <w:p>
            <w:pPr>
              <w:spacing w:line="560" w:lineRule="exact"/>
              <w:rPr>
                <w:rFonts w:ascii="仿宋" w:hAnsi="仿宋" w:eastAsia="仿宋"/>
                <w:sz w:val="28"/>
                <w:szCs w:val="28"/>
              </w:rPr>
            </w:pPr>
            <w:r>
              <w:rPr>
                <w:rFonts w:hint="eastAsia" w:ascii="仿宋" w:hAnsi="仿宋" w:eastAsia="仿宋"/>
                <w:sz w:val="28"/>
                <w:szCs w:val="28"/>
              </w:rPr>
              <w:t>要求供应商提供超过2个同类业务合同的，是否具有合理性</w:t>
            </w:r>
          </w:p>
        </w:tc>
        <w:tc>
          <w:tcPr>
            <w:tcW w:w="1900" w:type="dxa"/>
            <w:tcBorders>
              <w:top w:val="single" w:color="auto" w:sz="4" w:space="0"/>
              <w:bottom w:val="single" w:color="auto" w:sz="4" w:space="0"/>
            </w:tcBorders>
            <w:noWrap w:val="0"/>
            <w:vAlign w:val="center"/>
          </w:tcPr>
          <w:p>
            <w:pPr>
              <w:spacing w:line="56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7" w:type="dxa"/>
            <w:vMerge w:val="continue"/>
            <w:noWrap w:val="0"/>
            <w:vAlign w:val="center"/>
          </w:tcPr>
          <w:p>
            <w:pPr>
              <w:spacing w:line="560" w:lineRule="exact"/>
              <w:rPr>
                <w:rFonts w:ascii="仿宋" w:hAnsi="仿宋" w:eastAsia="仿宋"/>
                <w:sz w:val="28"/>
                <w:szCs w:val="28"/>
              </w:rPr>
            </w:pPr>
          </w:p>
        </w:tc>
        <w:tc>
          <w:tcPr>
            <w:tcW w:w="5331" w:type="dxa"/>
            <w:tcBorders>
              <w:top w:val="single" w:color="auto" w:sz="4" w:space="0"/>
              <w:bottom w:val="single" w:color="auto" w:sz="4" w:space="0"/>
            </w:tcBorders>
            <w:noWrap w:val="0"/>
            <w:vAlign w:val="center"/>
          </w:tcPr>
          <w:p>
            <w:pPr>
              <w:spacing w:line="560" w:lineRule="exact"/>
              <w:rPr>
                <w:rFonts w:ascii="仿宋" w:hAnsi="仿宋" w:eastAsia="仿宋"/>
                <w:sz w:val="28"/>
                <w:szCs w:val="28"/>
              </w:rPr>
            </w:pPr>
            <w:r>
              <w:rPr>
                <w:rFonts w:hint="eastAsia" w:ascii="仿宋" w:hAnsi="仿宋" w:eastAsia="仿宋"/>
                <w:sz w:val="28"/>
                <w:szCs w:val="28"/>
              </w:rPr>
              <w:t>技术要求是否指向特定的专利、商标、品牌、技术路线等</w:t>
            </w:r>
          </w:p>
        </w:tc>
        <w:tc>
          <w:tcPr>
            <w:tcW w:w="1900" w:type="dxa"/>
            <w:tcBorders>
              <w:top w:val="single" w:color="auto" w:sz="4" w:space="0"/>
              <w:bottom w:val="single" w:color="auto" w:sz="4" w:space="0"/>
            </w:tcBorders>
            <w:noWrap w:val="0"/>
            <w:vAlign w:val="center"/>
          </w:tcPr>
          <w:p>
            <w:pPr>
              <w:spacing w:line="56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7" w:type="dxa"/>
            <w:vMerge w:val="continue"/>
            <w:noWrap w:val="0"/>
            <w:vAlign w:val="center"/>
          </w:tcPr>
          <w:p>
            <w:pPr>
              <w:spacing w:line="560" w:lineRule="exact"/>
              <w:rPr>
                <w:rFonts w:ascii="仿宋" w:hAnsi="仿宋" w:eastAsia="仿宋"/>
                <w:sz w:val="28"/>
                <w:szCs w:val="28"/>
              </w:rPr>
            </w:pPr>
          </w:p>
        </w:tc>
        <w:tc>
          <w:tcPr>
            <w:tcW w:w="5331" w:type="dxa"/>
            <w:tcBorders>
              <w:top w:val="single" w:color="auto" w:sz="4" w:space="0"/>
              <w:bottom w:val="single" w:color="auto" w:sz="4" w:space="0"/>
            </w:tcBorders>
            <w:noWrap w:val="0"/>
            <w:vAlign w:val="center"/>
          </w:tcPr>
          <w:p>
            <w:pPr>
              <w:spacing w:line="560" w:lineRule="exact"/>
              <w:rPr>
                <w:rFonts w:ascii="仿宋" w:hAnsi="仿宋" w:eastAsia="仿宋"/>
                <w:sz w:val="28"/>
                <w:szCs w:val="28"/>
              </w:rPr>
            </w:pPr>
            <w:r>
              <w:rPr>
                <w:rFonts w:hint="eastAsia" w:ascii="仿宋" w:hAnsi="仿宋" w:eastAsia="仿宋"/>
                <w:sz w:val="28"/>
                <w:szCs w:val="28"/>
              </w:rPr>
              <w:t>评审因素设置是否具有倾向性</w:t>
            </w:r>
          </w:p>
        </w:tc>
        <w:tc>
          <w:tcPr>
            <w:tcW w:w="1900" w:type="dxa"/>
            <w:tcBorders>
              <w:top w:val="single" w:color="auto" w:sz="4" w:space="0"/>
              <w:bottom w:val="single" w:color="auto" w:sz="4" w:space="0"/>
            </w:tcBorders>
            <w:noWrap w:val="0"/>
            <w:vAlign w:val="center"/>
          </w:tcPr>
          <w:p>
            <w:pPr>
              <w:spacing w:line="56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7" w:type="dxa"/>
            <w:vMerge w:val="continue"/>
            <w:noWrap w:val="0"/>
            <w:vAlign w:val="center"/>
          </w:tcPr>
          <w:p>
            <w:pPr>
              <w:spacing w:line="560" w:lineRule="exact"/>
              <w:rPr>
                <w:rFonts w:ascii="仿宋" w:hAnsi="仿宋" w:eastAsia="仿宋"/>
                <w:sz w:val="28"/>
                <w:szCs w:val="28"/>
              </w:rPr>
            </w:pPr>
          </w:p>
        </w:tc>
        <w:tc>
          <w:tcPr>
            <w:tcW w:w="5331" w:type="dxa"/>
            <w:tcBorders>
              <w:top w:val="single" w:color="auto" w:sz="4" w:space="0"/>
            </w:tcBorders>
            <w:noWrap w:val="0"/>
            <w:vAlign w:val="center"/>
          </w:tcPr>
          <w:p>
            <w:pPr>
              <w:spacing w:line="560" w:lineRule="exact"/>
              <w:rPr>
                <w:rFonts w:ascii="仿宋" w:hAnsi="仿宋" w:eastAsia="仿宋"/>
                <w:sz w:val="28"/>
                <w:szCs w:val="28"/>
              </w:rPr>
            </w:pPr>
            <w:r>
              <w:rPr>
                <w:rFonts w:hint="eastAsia" w:ascii="仿宋" w:hAnsi="仿宋" w:eastAsia="仿宋"/>
                <w:sz w:val="28"/>
                <w:szCs w:val="28"/>
              </w:rPr>
              <w:t>将有关履约能力作为评审因素是否适当</w:t>
            </w:r>
          </w:p>
        </w:tc>
        <w:tc>
          <w:tcPr>
            <w:tcW w:w="1900" w:type="dxa"/>
            <w:tcBorders>
              <w:top w:val="single" w:color="auto" w:sz="4" w:space="0"/>
            </w:tcBorders>
            <w:noWrap w:val="0"/>
            <w:vAlign w:val="center"/>
          </w:tcPr>
          <w:p>
            <w:pPr>
              <w:spacing w:line="56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7" w:type="dxa"/>
            <w:vMerge w:val="restart"/>
            <w:noWrap w:val="0"/>
            <w:vAlign w:val="center"/>
          </w:tcPr>
          <w:p>
            <w:pPr>
              <w:spacing w:line="560" w:lineRule="exact"/>
              <w:rPr>
                <w:rFonts w:ascii="仿宋" w:hAnsi="仿宋" w:eastAsia="仿宋"/>
                <w:sz w:val="28"/>
                <w:szCs w:val="28"/>
              </w:rPr>
            </w:pPr>
            <w:r>
              <w:rPr>
                <w:rFonts w:hint="eastAsia" w:ascii="仿宋" w:hAnsi="仿宋" w:eastAsia="仿宋"/>
                <w:sz w:val="28"/>
                <w:szCs w:val="28"/>
              </w:rPr>
              <w:t>（二）竞争性审查（主要审查是否确保充分竞争）</w:t>
            </w:r>
          </w:p>
        </w:tc>
        <w:tc>
          <w:tcPr>
            <w:tcW w:w="5331" w:type="dxa"/>
            <w:tcBorders>
              <w:bottom w:val="single" w:color="auto" w:sz="4" w:space="0"/>
            </w:tcBorders>
            <w:noWrap w:val="0"/>
            <w:vAlign w:val="center"/>
          </w:tcPr>
          <w:p>
            <w:pPr>
              <w:spacing w:line="560" w:lineRule="exact"/>
              <w:rPr>
                <w:rFonts w:ascii="仿宋" w:hAnsi="仿宋" w:eastAsia="仿宋"/>
                <w:b/>
                <w:sz w:val="28"/>
                <w:szCs w:val="28"/>
              </w:rPr>
            </w:pPr>
            <w:r>
              <w:rPr>
                <w:rFonts w:hint="eastAsia" w:ascii="仿宋" w:hAnsi="仿宋" w:eastAsia="仿宋"/>
                <w:sz w:val="28"/>
                <w:szCs w:val="28"/>
              </w:rPr>
              <w:t>应当以公开方式邀请供应商的，是否依法采用公开竞争方式</w:t>
            </w:r>
          </w:p>
        </w:tc>
        <w:tc>
          <w:tcPr>
            <w:tcW w:w="1900" w:type="dxa"/>
            <w:tcBorders>
              <w:bottom w:val="single" w:color="auto" w:sz="4" w:space="0"/>
            </w:tcBorders>
            <w:noWrap w:val="0"/>
            <w:vAlign w:val="center"/>
          </w:tcPr>
          <w:p>
            <w:pPr>
              <w:spacing w:line="56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7" w:type="dxa"/>
            <w:vMerge w:val="continue"/>
            <w:noWrap w:val="0"/>
            <w:vAlign w:val="center"/>
          </w:tcPr>
          <w:p>
            <w:pPr>
              <w:spacing w:line="560" w:lineRule="exact"/>
              <w:rPr>
                <w:rFonts w:ascii="仿宋" w:hAnsi="仿宋" w:eastAsia="仿宋"/>
                <w:sz w:val="28"/>
                <w:szCs w:val="28"/>
              </w:rPr>
            </w:pPr>
          </w:p>
        </w:tc>
        <w:tc>
          <w:tcPr>
            <w:tcW w:w="5331" w:type="dxa"/>
            <w:tcBorders>
              <w:top w:val="single" w:color="auto" w:sz="4" w:space="0"/>
              <w:bottom w:val="single" w:color="auto" w:sz="4" w:space="0"/>
            </w:tcBorders>
            <w:noWrap w:val="0"/>
            <w:vAlign w:val="center"/>
          </w:tcPr>
          <w:p>
            <w:pPr>
              <w:spacing w:line="560" w:lineRule="exact"/>
              <w:rPr>
                <w:rFonts w:ascii="仿宋" w:hAnsi="仿宋" w:eastAsia="仿宋"/>
                <w:sz w:val="28"/>
                <w:szCs w:val="28"/>
              </w:rPr>
            </w:pPr>
            <w:r>
              <w:rPr>
                <w:rFonts w:hint="eastAsia" w:ascii="仿宋" w:hAnsi="仿宋" w:eastAsia="仿宋"/>
                <w:sz w:val="28"/>
                <w:szCs w:val="28"/>
              </w:rPr>
              <w:t>采用单一来源采购方式的，是否符合法定情形</w:t>
            </w:r>
          </w:p>
        </w:tc>
        <w:tc>
          <w:tcPr>
            <w:tcW w:w="1900" w:type="dxa"/>
            <w:tcBorders>
              <w:top w:val="single" w:color="auto" w:sz="4" w:space="0"/>
              <w:bottom w:val="single" w:color="auto" w:sz="4" w:space="0"/>
            </w:tcBorders>
            <w:noWrap w:val="0"/>
            <w:vAlign w:val="center"/>
          </w:tcPr>
          <w:p>
            <w:pPr>
              <w:spacing w:line="56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7" w:type="dxa"/>
            <w:vMerge w:val="continue"/>
            <w:noWrap w:val="0"/>
            <w:vAlign w:val="center"/>
          </w:tcPr>
          <w:p>
            <w:pPr>
              <w:spacing w:line="560" w:lineRule="exact"/>
              <w:rPr>
                <w:rFonts w:ascii="仿宋" w:hAnsi="仿宋" w:eastAsia="仿宋"/>
                <w:sz w:val="28"/>
                <w:szCs w:val="28"/>
              </w:rPr>
            </w:pPr>
          </w:p>
        </w:tc>
        <w:tc>
          <w:tcPr>
            <w:tcW w:w="5331" w:type="dxa"/>
            <w:tcBorders>
              <w:top w:val="single" w:color="auto" w:sz="4" w:space="0"/>
              <w:bottom w:val="single" w:color="auto" w:sz="4" w:space="0"/>
            </w:tcBorders>
            <w:noWrap w:val="0"/>
            <w:vAlign w:val="center"/>
          </w:tcPr>
          <w:p>
            <w:pPr>
              <w:spacing w:line="560" w:lineRule="exact"/>
              <w:rPr>
                <w:rFonts w:ascii="仿宋" w:hAnsi="仿宋" w:eastAsia="仿宋"/>
                <w:sz w:val="28"/>
                <w:szCs w:val="28"/>
              </w:rPr>
            </w:pPr>
            <w:r>
              <w:rPr>
                <w:rFonts w:hint="eastAsia" w:ascii="仿宋" w:hAnsi="仿宋" w:eastAsia="仿宋"/>
                <w:sz w:val="28"/>
                <w:szCs w:val="28"/>
              </w:rPr>
              <w:t>采购需求的内容是否完整、明确</w:t>
            </w:r>
          </w:p>
        </w:tc>
        <w:tc>
          <w:tcPr>
            <w:tcW w:w="1900" w:type="dxa"/>
            <w:tcBorders>
              <w:top w:val="single" w:color="auto" w:sz="4" w:space="0"/>
              <w:bottom w:val="single" w:color="auto" w:sz="4" w:space="0"/>
            </w:tcBorders>
            <w:noWrap w:val="0"/>
            <w:vAlign w:val="center"/>
          </w:tcPr>
          <w:p>
            <w:pPr>
              <w:spacing w:line="56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7" w:type="dxa"/>
            <w:vMerge w:val="continue"/>
            <w:noWrap w:val="0"/>
            <w:vAlign w:val="center"/>
          </w:tcPr>
          <w:p>
            <w:pPr>
              <w:spacing w:line="560" w:lineRule="exact"/>
              <w:rPr>
                <w:rFonts w:ascii="仿宋" w:hAnsi="仿宋" w:eastAsia="仿宋"/>
                <w:sz w:val="28"/>
                <w:szCs w:val="28"/>
              </w:rPr>
            </w:pPr>
          </w:p>
        </w:tc>
        <w:tc>
          <w:tcPr>
            <w:tcW w:w="5331" w:type="dxa"/>
            <w:tcBorders>
              <w:top w:val="single" w:color="auto" w:sz="4" w:space="0"/>
              <w:bottom w:val="single" w:color="auto" w:sz="4" w:space="0"/>
            </w:tcBorders>
            <w:noWrap w:val="0"/>
            <w:vAlign w:val="center"/>
          </w:tcPr>
          <w:p>
            <w:pPr>
              <w:spacing w:line="560" w:lineRule="exact"/>
              <w:rPr>
                <w:rFonts w:ascii="仿宋" w:hAnsi="仿宋" w:eastAsia="仿宋"/>
                <w:sz w:val="28"/>
                <w:szCs w:val="28"/>
              </w:rPr>
            </w:pPr>
            <w:r>
              <w:rPr>
                <w:rFonts w:hint="eastAsia" w:ascii="仿宋" w:hAnsi="仿宋" w:eastAsia="仿宋"/>
                <w:sz w:val="28"/>
                <w:szCs w:val="28"/>
              </w:rPr>
              <w:t>采购需求的内容是否考虑后续采购竞争性</w:t>
            </w:r>
          </w:p>
        </w:tc>
        <w:tc>
          <w:tcPr>
            <w:tcW w:w="1900" w:type="dxa"/>
            <w:tcBorders>
              <w:top w:val="single" w:color="auto" w:sz="4" w:space="0"/>
              <w:bottom w:val="single" w:color="auto" w:sz="4" w:space="0"/>
            </w:tcBorders>
            <w:noWrap w:val="0"/>
            <w:vAlign w:val="center"/>
          </w:tcPr>
          <w:p>
            <w:pPr>
              <w:spacing w:line="56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7" w:type="dxa"/>
            <w:vMerge w:val="continue"/>
            <w:noWrap w:val="0"/>
            <w:vAlign w:val="center"/>
          </w:tcPr>
          <w:p>
            <w:pPr>
              <w:spacing w:line="560" w:lineRule="exact"/>
              <w:rPr>
                <w:rFonts w:ascii="仿宋" w:hAnsi="仿宋" w:eastAsia="仿宋"/>
                <w:sz w:val="28"/>
                <w:szCs w:val="28"/>
              </w:rPr>
            </w:pPr>
          </w:p>
        </w:tc>
        <w:tc>
          <w:tcPr>
            <w:tcW w:w="5331" w:type="dxa"/>
            <w:tcBorders>
              <w:top w:val="single" w:color="auto" w:sz="4" w:space="0"/>
            </w:tcBorders>
            <w:noWrap w:val="0"/>
            <w:vAlign w:val="center"/>
          </w:tcPr>
          <w:p>
            <w:pPr>
              <w:spacing w:line="560" w:lineRule="exact"/>
              <w:rPr>
                <w:rFonts w:ascii="仿宋" w:hAnsi="仿宋" w:eastAsia="仿宋"/>
                <w:sz w:val="28"/>
                <w:szCs w:val="28"/>
              </w:rPr>
            </w:pPr>
            <w:r>
              <w:rPr>
                <w:rFonts w:hint="eastAsia" w:ascii="仿宋" w:hAnsi="仿宋" w:eastAsia="仿宋"/>
                <w:sz w:val="28"/>
                <w:szCs w:val="28"/>
              </w:rPr>
              <w:t>评审方法、评审因素、价格权重等评审规则是否适当</w:t>
            </w:r>
          </w:p>
        </w:tc>
        <w:tc>
          <w:tcPr>
            <w:tcW w:w="1900" w:type="dxa"/>
            <w:tcBorders>
              <w:top w:val="single" w:color="auto" w:sz="4" w:space="0"/>
            </w:tcBorders>
            <w:noWrap w:val="0"/>
            <w:vAlign w:val="center"/>
          </w:tcPr>
          <w:p>
            <w:pPr>
              <w:spacing w:line="56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7" w:type="dxa"/>
            <w:vMerge w:val="restart"/>
            <w:noWrap w:val="0"/>
            <w:vAlign w:val="center"/>
          </w:tcPr>
          <w:p>
            <w:pPr>
              <w:spacing w:line="560" w:lineRule="exact"/>
              <w:rPr>
                <w:rFonts w:ascii="仿宋" w:hAnsi="仿宋" w:eastAsia="仿宋"/>
                <w:sz w:val="28"/>
                <w:szCs w:val="28"/>
              </w:rPr>
            </w:pPr>
            <w:r>
              <w:rPr>
                <w:rFonts w:hint="eastAsia" w:ascii="仿宋" w:hAnsi="仿宋" w:eastAsia="仿宋"/>
                <w:sz w:val="28"/>
                <w:szCs w:val="28"/>
              </w:rPr>
              <w:t>（三）采购政策审查</w:t>
            </w:r>
          </w:p>
        </w:tc>
        <w:tc>
          <w:tcPr>
            <w:tcW w:w="5331" w:type="dxa"/>
            <w:tcBorders>
              <w:bottom w:val="single" w:color="auto" w:sz="4" w:space="0"/>
            </w:tcBorders>
            <w:noWrap w:val="0"/>
            <w:vAlign w:val="center"/>
          </w:tcPr>
          <w:p>
            <w:pPr>
              <w:spacing w:line="560" w:lineRule="exact"/>
              <w:rPr>
                <w:rFonts w:ascii="仿宋" w:hAnsi="仿宋" w:eastAsia="仿宋"/>
                <w:sz w:val="28"/>
                <w:szCs w:val="28"/>
              </w:rPr>
            </w:pPr>
            <w:r>
              <w:rPr>
                <w:rFonts w:hint="eastAsia" w:ascii="仿宋" w:hAnsi="仿宋" w:eastAsia="仿宋"/>
                <w:sz w:val="28"/>
                <w:szCs w:val="28"/>
              </w:rPr>
              <w:t>进口产品的采购是否必要</w:t>
            </w:r>
          </w:p>
        </w:tc>
        <w:tc>
          <w:tcPr>
            <w:tcW w:w="1900" w:type="dxa"/>
            <w:tcBorders>
              <w:bottom w:val="single" w:color="auto" w:sz="4" w:space="0"/>
            </w:tcBorders>
            <w:noWrap w:val="0"/>
            <w:vAlign w:val="center"/>
          </w:tcPr>
          <w:p>
            <w:pPr>
              <w:spacing w:line="56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7" w:type="dxa"/>
            <w:vMerge w:val="continue"/>
            <w:noWrap w:val="0"/>
            <w:vAlign w:val="center"/>
          </w:tcPr>
          <w:p>
            <w:pPr>
              <w:spacing w:line="560" w:lineRule="exact"/>
              <w:rPr>
                <w:rFonts w:ascii="仿宋" w:hAnsi="仿宋" w:eastAsia="仿宋"/>
                <w:sz w:val="28"/>
                <w:szCs w:val="28"/>
              </w:rPr>
            </w:pPr>
          </w:p>
        </w:tc>
        <w:tc>
          <w:tcPr>
            <w:tcW w:w="5331" w:type="dxa"/>
            <w:tcBorders>
              <w:bottom w:val="single" w:color="auto" w:sz="4" w:space="0"/>
            </w:tcBorders>
            <w:noWrap w:val="0"/>
            <w:vAlign w:val="center"/>
          </w:tcPr>
          <w:p>
            <w:pPr>
              <w:spacing w:line="560" w:lineRule="exact"/>
              <w:rPr>
                <w:rFonts w:ascii="仿宋" w:hAnsi="仿宋" w:eastAsia="仿宋"/>
                <w:sz w:val="28"/>
                <w:szCs w:val="28"/>
              </w:rPr>
            </w:pPr>
            <w:r>
              <w:rPr>
                <w:rFonts w:hint="eastAsia" w:ascii="仿宋" w:hAnsi="仿宋" w:eastAsia="仿宋"/>
                <w:sz w:val="28"/>
                <w:szCs w:val="28"/>
              </w:rPr>
              <w:t>是否落实支持创新政府采购政策要求</w:t>
            </w:r>
          </w:p>
        </w:tc>
        <w:tc>
          <w:tcPr>
            <w:tcW w:w="1900" w:type="dxa"/>
            <w:tcBorders>
              <w:bottom w:val="single" w:color="auto" w:sz="4" w:space="0"/>
            </w:tcBorders>
            <w:noWrap w:val="0"/>
            <w:vAlign w:val="center"/>
          </w:tcPr>
          <w:p>
            <w:pPr>
              <w:spacing w:line="56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7" w:type="dxa"/>
            <w:vMerge w:val="continue"/>
            <w:noWrap w:val="0"/>
            <w:vAlign w:val="center"/>
          </w:tcPr>
          <w:p>
            <w:pPr>
              <w:spacing w:line="560" w:lineRule="exact"/>
              <w:rPr>
                <w:rFonts w:ascii="仿宋" w:hAnsi="仿宋" w:eastAsia="仿宋"/>
                <w:sz w:val="28"/>
                <w:szCs w:val="28"/>
              </w:rPr>
            </w:pPr>
          </w:p>
        </w:tc>
        <w:tc>
          <w:tcPr>
            <w:tcW w:w="5331" w:type="dxa"/>
            <w:tcBorders>
              <w:bottom w:val="single" w:color="auto" w:sz="4" w:space="0"/>
            </w:tcBorders>
            <w:noWrap w:val="0"/>
            <w:vAlign w:val="center"/>
          </w:tcPr>
          <w:p>
            <w:pPr>
              <w:spacing w:line="560" w:lineRule="exact"/>
              <w:rPr>
                <w:rFonts w:ascii="仿宋" w:hAnsi="仿宋" w:eastAsia="仿宋"/>
                <w:sz w:val="28"/>
                <w:szCs w:val="28"/>
              </w:rPr>
            </w:pPr>
            <w:r>
              <w:rPr>
                <w:rFonts w:hint="eastAsia" w:ascii="仿宋" w:hAnsi="仿宋" w:eastAsia="仿宋"/>
                <w:sz w:val="28"/>
                <w:szCs w:val="28"/>
              </w:rPr>
              <w:t>是否落实绿色发展、节能环保政府采购政策要求</w:t>
            </w:r>
          </w:p>
        </w:tc>
        <w:tc>
          <w:tcPr>
            <w:tcW w:w="1900" w:type="dxa"/>
            <w:tcBorders>
              <w:bottom w:val="single" w:color="auto" w:sz="4" w:space="0"/>
            </w:tcBorders>
            <w:noWrap w:val="0"/>
            <w:vAlign w:val="center"/>
          </w:tcPr>
          <w:p>
            <w:pPr>
              <w:spacing w:line="56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7" w:type="dxa"/>
            <w:vMerge w:val="continue"/>
            <w:noWrap w:val="0"/>
            <w:vAlign w:val="center"/>
          </w:tcPr>
          <w:p>
            <w:pPr>
              <w:spacing w:line="560" w:lineRule="exact"/>
              <w:rPr>
                <w:rFonts w:ascii="仿宋" w:hAnsi="仿宋" w:eastAsia="仿宋"/>
                <w:sz w:val="28"/>
                <w:szCs w:val="28"/>
              </w:rPr>
            </w:pPr>
          </w:p>
        </w:tc>
        <w:tc>
          <w:tcPr>
            <w:tcW w:w="5331" w:type="dxa"/>
            <w:tcBorders>
              <w:bottom w:val="single" w:color="auto" w:sz="4" w:space="0"/>
            </w:tcBorders>
            <w:noWrap w:val="0"/>
            <w:vAlign w:val="center"/>
          </w:tcPr>
          <w:p>
            <w:pPr>
              <w:spacing w:line="560" w:lineRule="exact"/>
              <w:rPr>
                <w:rFonts w:ascii="仿宋" w:hAnsi="仿宋" w:eastAsia="仿宋"/>
                <w:sz w:val="28"/>
                <w:szCs w:val="28"/>
              </w:rPr>
            </w:pPr>
            <w:r>
              <w:rPr>
                <w:rFonts w:hint="eastAsia" w:ascii="仿宋" w:hAnsi="仿宋" w:eastAsia="仿宋"/>
                <w:sz w:val="28"/>
                <w:szCs w:val="28"/>
              </w:rPr>
              <w:t>是否落实中小企业发展政府采购政策要求</w:t>
            </w:r>
          </w:p>
        </w:tc>
        <w:tc>
          <w:tcPr>
            <w:tcW w:w="1900" w:type="dxa"/>
            <w:tcBorders>
              <w:bottom w:val="single" w:color="auto" w:sz="4" w:space="0"/>
            </w:tcBorders>
            <w:noWrap w:val="0"/>
            <w:vAlign w:val="center"/>
          </w:tcPr>
          <w:p>
            <w:pPr>
              <w:spacing w:line="56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7" w:type="dxa"/>
            <w:vMerge w:val="continue"/>
            <w:noWrap w:val="0"/>
            <w:vAlign w:val="center"/>
          </w:tcPr>
          <w:p>
            <w:pPr>
              <w:spacing w:line="560" w:lineRule="exact"/>
              <w:rPr>
                <w:rFonts w:ascii="仿宋" w:hAnsi="仿宋" w:eastAsia="仿宋"/>
                <w:sz w:val="28"/>
                <w:szCs w:val="28"/>
              </w:rPr>
            </w:pPr>
          </w:p>
        </w:tc>
        <w:tc>
          <w:tcPr>
            <w:tcW w:w="5331" w:type="dxa"/>
            <w:tcBorders>
              <w:bottom w:val="single" w:color="auto" w:sz="4" w:space="0"/>
            </w:tcBorders>
            <w:noWrap w:val="0"/>
            <w:vAlign w:val="center"/>
          </w:tcPr>
          <w:p>
            <w:pPr>
              <w:spacing w:line="560" w:lineRule="exact"/>
              <w:rPr>
                <w:rFonts w:ascii="仿宋" w:hAnsi="仿宋" w:eastAsia="仿宋"/>
                <w:sz w:val="28"/>
                <w:szCs w:val="28"/>
              </w:rPr>
            </w:pPr>
            <w:r>
              <w:rPr>
                <w:rFonts w:hint="eastAsia" w:ascii="仿宋" w:hAnsi="仿宋" w:eastAsia="仿宋"/>
                <w:sz w:val="28"/>
                <w:szCs w:val="28"/>
              </w:rPr>
              <w:t>是否落实支持监狱发展政府采购政策要求</w:t>
            </w:r>
          </w:p>
        </w:tc>
        <w:tc>
          <w:tcPr>
            <w:tcW w:w="1900" w:type="dxa"/>
            <w:tcBorders>
              <w:bottom w:val="single" w:color="auto" w:sz="4" w:space="0"/>
            </w:tcBorders>
            <w:noWrap w:val="0"/>
            <w:vAlign w:val="center"/>
          </w:tcPr>
          <w:p>
            <w:pPr>
              <w:spacing w:line="56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7" w:type="dxa"/>
            <w:vMerge w:val="continue"/>
            <w:noWrap w:val="0"/>
            <w:vAlign w:val="center"/>
          </w:tcPr>
          <w:p>
            <w:pPr>
              <w:spacing w:line="560" w:lineRule="exact"/>
              <w:rPr>
                <w:rFonts w:ascii="仿宋" w:hAnsi="仿宋" w:eastAsia="仿宋"/>
                <w:sz w:val="28"/>
                <w:szCs w:val="28"/>
              </w:rPr>
            </w:pPr>
          </w:p>
        </w:tc>
        <w:tc>
          <w:tcPr>
            <w:tcW w:w="5331" w:type="dxa"/>
            <w:tcBorders>
              <w:top w:val="single" w:color="auto" w:sz="4" w:space="0"/>
            </w:tcBorders>
            <w:noWrap w:val="0"/>
            <w:vAlign w:val="center"/>
          </w:tcPr>
          <w:p>
            <w:pPr>
              <w:spacing w:line="560" w:lineRule="exact"/>
              <w:rPr>
                <w:rFonts w:ascii="仿宋" w:hAnsi="仿宋" w:eastAsia="仿宋"/>
                <w:sz w:val="28"/>
                <w:szCs w:val="28"/>
              </w:rPr>
            </w:pPr>
            <w:r>
              <w:rPr>
                <w:rFonts w:hint="eastAsia" w:ascii="仿宋" w:hAnsi="仿宋" w:eastAsia="仿宋"/>
                <w:sz w:val="28"/>
                <w:szCs w:val="28"/>
              </w:rPr>
              <w:t>是否落实促进残疾人就业政府采购政策要求</w:t>
            </w:r>
          </w:p>
        </w:tc>
        <w:tc>
          <w:tcPr>
            <w:tcW w:w="1900" w:type="dxa"/>
            <w:tcBorders>
              <w:top w:val="single" w:color="auto" w:sz="4" w:space="0"/>
            </w:tcBorders>
            <w:noWrap w:val="0"/>
            <w:vAlign w:val="center"/>
          </w:tcPr>
          <w:p>
            <w:pPr>
              <w:spacing w:line="56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7" w:type="dxa"/>
            <w:vMerge w:val="restart"/>
            <w:noWrap w:val="0"/>
            <w:vAlign w:val="center"/>
          </w:tcPr>
          <w:p>
            <w:pPr>
              <w:spacing w:line="560" w:lineRule="exact"/>
              <w:rPr>
                <w:rFonts w:ascii="仿宋" w:hAnsi="仿宋" w:eastAsia="仿宋"/>
                <w:sz w:val="28"/>
                <w:szCs w:val="28"/>
              </w:rPr>
            </w:pPr>
            <w:r>
              <w:rPr>
                <w:rFonts w:hint="eastAsia" w:ascii="仿宋" w:hAnsi="仿宋" w:eastAsia="仿宋"/>
                <w:sz w:val="28"/>
                <w:szCs w:val="28"/>
              </w:rPr>
              <w:t>（四）履约风险审查</w:t>
            </w:r>
          </w:p>
        </w:tc>
        <w:tc>
          <w:tcPr>
            <w:tcW w:w="5331" w:type="dxa"/>
            <w:tcBorders>
              <w:bottom w:val="single" w:color="auto" w:sz="4" w:space="0"/>
            </w:tcBorders>
            <w:noWrap w:val="0"/>
            <w:vAlign w:val="center"/>
          </w:tcPr>
          <w:p>
            <w:pPr>
              <w:spacing w:line="560" w:lineRule="exact"/>
              <w:rPr>
                <w:rFonts w:ascii="仿宋" w:hAnsi="仿宋" w:eastAsia="仿宋"/>
                <w:sz w:val="28"/>
                <w:szCs w:val="28"/>
              </w:rPr>
            </w:pPr>
            <w:r>
              <w:rPr>
                <w:rFonts w:hint="eastAsia" w:ascii="仿宋" w:hAnsi="仿宋" w:eastAsia="仿宋"/>
                <w:sz w:val="28"/>
                <w:szCs w:val="28"/>
              </w:rPr>
              <w:t>合同文本是否按规定由法律顾问审定</w:t>
            </w:r>
          </w:p>
        </w:tc>
        <w:tc>
          <w:tcPr>
            <w:tcW w:w="1900" w:type="dxa"/>
            <w:tcBorders>
              <w:bottom w:val="single" w:color="auto" w:sz="4" w:space="0"/>
            </w:tcBorders>
            <w:noWrap w:val="0"/>
            <w:vAlign w:val="center"/>
          </w:tcPr>
          <w:p>
            <w:pPr>
              <w:spacing w:line="56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7" w:type="dxa"/>
            <w:vMerge w:val="continue"/>
            <w:noWrap w:val="0"/>
            <w:vAlign w:val="center"/>
          </w:tcPr>
          <w:p>
            <w:pPr>
              <w:spacing w:line="560" w:lineRule="exact"/>
              <w:rPr>
                <w:rFonts w:ascii="仿宋" w:hAnsi="仿宋" w:eastAsia="仿宋"/>
                <w:sz w:val="28"/>
                <w:szCs w:val="28"/>
              </w:rPr>
            </w:pPr>
          </w:p>
        </w:tc>
        <w:tc>
          <w:tcPr>
            <w:tcW w:w="5331" w:type="dxa"/>
            <w:tcBorders>
              <w:bottom w:val="single" w:color="auto" w:sz="4" w:space="0"/>
            </w:tcBorders>
            <w:noWrap w:val="0"/>
            <w:vAlign w:val="center"/>
          </w:tcPr>
          <w:p>
            <w:pPr>
              <w:spacing w:line="560" w:lineRule="exact"/>
              <w:rPr>
                <w:rFonts w:ascii="仿宋" w:hAnsi="仿宋" w:eastAsia="仿宋"/>
                <w:sz w:val="28"/>
                <w:szCs w:val="28"/>
              </w:rPr>
            </w:pPr>
            <w:r>
              <w:rPr>
                <w:rFonts w:hint="eastAsia" w:ascii="仿宋" w:hAnsi="仿宋" w:eastAsia="仿宋"/>
                <w:sz w:val="28"/>
                <w:szCs w:val="28"/>
              </w:rPr>
              <w:t>合同文本运用是否适当</w:t>
            </w:r>
          </w:p>
        </w:tc>
        <w:tc>
          <w:tcPr>
            <w:tcW w:w="1900" w:type="dxa"/>
            <w:tcBorders>
              <w:bottom w:val="single" w:color="auto" w:sz="4" w:space="0"/>
            </w:tcBorders>
            <w:noWrap w:val="0"/>
            <w:vAlign w:val="center"/>
          </w:tcPr>
          <w:p>
            <w:pPr>
              <w:spacing w:line="56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7" w:type="dxa"/>
            <w:vMerge w:val="continue"/>
            <w:noWrap w:val="0"/>
            <w:vAlign w:val="center"/>
          </w:tcPr>
          <w:p>
            <w:pPr>
              <w:spacing w:line="560" w:lineRule="exact"/>
              <w:rPr>
                <w:rFonts w:ascii="仿宋" w:hAnsi="仿宋" w:eastAsia="仿宋"/>
                <w:sz w:val="28"/>
                <w:szCs w:val="28"/>
              </w:rPr>
            </w:pPr>
          </w:p>
        </w:tc>
        <w:tc>
          <w:tcPr>
            <w:tcW w:w="5331" w:type="dxa"/>
            <w:tcBorders>
              <w:top w:val="single" w:color="auto" w:sz="4" w:space="0"/>
              <w:bottom w:val="single" w:color="auto" w:sz="4" w:space="0"/>
            </w:tcBorders>
            <w:noWrap w:val="0"/>
            <w:vAlign w:val="center"/>
          </w:tcPr>
          <w:p>
            <w:pPr>
              <w:spacing w:line="560" w:lineRule="exact"/>
              <w:rPr>
                <w:rFonts w:ascii="仿宋" w:hAnsi="仿宋" w:eastAsia="仿宋"/>
                <w:sz w:val="28"/>
                <w:szCs w:val="28"/>
              </w:rPr>
            </w:pPr>
            <w:r>
              <w:rPr>
                <w:rFonts w:hint="eastAsia" w:ascii="仿宋" w:hAnsi="仿宋" w:eastAsia="仿宋"/>
                <w:sz w:val="28"/>
                <w:szCs w:val="28"/>
              </w:rPr>
              <w:t>是否围绕采购需求和合同履行设置权利义务</w:t>
            </w:r>
          </w:p>
        </w:tc>
        <w:tc>
          <w:tcPr>
            <w:tcW w:w="1900" w:type="dxa"/>
            <w:tcBorders>
              <w:top w:val="single" w:color="auto" w:sz="4" w:space="0"/>
              <w:bottom w:val="single" w:color="auto" w:sz="4" w:space="0"/>
            </w:tcBorders>
            <w:noWrap w:val="0"/>
            <w:vAlign w:val="center"/>
          </w:tcPr>
          <w:p>
            <w:pPr>
              <w:spacing w:line="56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7" w:type="dxa"/>
            <w:vMerge w:val="continue"/>
            <w:noWrap w:val="0"/>
            <w:vAlign w:val="center"/>
          </w:tcPr>
          <w:p>
            <w:pPr>
              <w:spacing w:line="560" w:lineRule="exact"/>
              <w:rPr>
                <w:rFonts w:ascii="仿宋" w:hAnsi="仿宋" w:eastAsia="仿宋"/>
                <w:sz w:val="28"/>
                <w:szCs w:val="28"/>
              </w:rPr>
            </w:pPr>
          </w:p>
        </w:tc>
        <w:tc>
          <w:tcPr>
            <w:tcW w:w="5331" w:type="dxa"/>
            <w:tcBorders>
              <w:top w:val="single" w:color="auto" w:sz="4" w:space="0"/>
              <w:bottom w:val="single" w:color="auto" w:sz="4" w:space="0"/>
            </w:tcBorders>
            <w:noWrap w:val="0"/>
            <w:vAlign w:val="center"/>
          </w:tcPr>
          <w:p>
            <w:pPr>
              <w:spacing w:line="560" w:lineRule="exact"/>
              <w:rPr>
                <w:rFonts w:ascii="仿宋" w:hAnsi="仿宋" w:eastAsia="仿宋"/>
                <w:sz w:val="28"/>
                <w:szCs w:val="28"/>
              </w:rPr>
            </w:pPr>
            <w:r>
              <w:rPr>
                <w:rFonts w:hint="eastAsia" w:ascii="仿宋" w:hAnsi="仿宋" w:eastAsia="仿宋"/>
                <w:sz w:val="28"/>
                <w:szCs w:val="28"/>
              </w:rPr>
              <w:t>是否明确知识产权等方面的要求</w:t>
            </w:r>
          </w:p>
        </w:tc>
        <w:tc>
          <w:tcPr>
            <w:tcW w:w="1900" w:type="dxa"/>
            <w:tcBorders>
              <w:top w:val="single" w:color="auto" w:sz="4" w:space="0"/>
              <w:bottom w:val="single" w:color="auto" w:sz="4" w:space="0"/>
            </w:tcBorders>
            <w:noWrap w:val="0"/>
            <w:vAlign w:val="center"/>
          </w:tcPr>
          <w:p>
            <w:pPr>
              <w:spacing w:line="56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7" w:type="dxa"/>
            <w:vMerge w:val="continue"/>
            <w:noWrap w:val="0"/>
            <w:vAlign w:val="center"/>
          </w:tcPr>
          <w:p>
            <w:pPr>
              <w:spacing w:line="560" w:lineRule="exact"/>
              <w:rPr>
                <w:rFonts w:ascii="仿宋" w:hAnsi="仿宋" w:eastAsia="仿宋"/>
                <w:sz w:val="28"/>
                <w:szCs w:val="28"/>
              </w:rPr>
            </w:pPr>
          </w:p>
        </w:tc>
        <w:tc>
          <w:tcPr>
            <w:tcW w:w="5331" w:type="dxa"/>
            <w:tcBorders>
              <w:top w:val="single" w:color="auto" w:sz="4" w:space="0"/>
              <w:bottom w:val="single" w:color="auto" w:sz="4" w:space="0"/>
            </w:tcBorders>
            <w:noWrap w:val="0"/>
            <w:vAlign w:val="center"/>
          </w:tcPr>
          <w:p>
            <w:pPr>
              <w:spacing w:line="560" w:lineRule="exact"/>
              <w:rPr>
                <w:rFonts w:ascii="仿宋" w:hAnsi="仿宋" w:eastAsia="仿宋"/>
                <w:sz w:val="28"/>
                <w:szCs w:val="28"/>
              </w:rPr>
            </w:pPr>
            <w:r>
              <w:rPr>
                <w:rFonts w:hint="eastAsia" w:ascii="仿宋" w:hAnsi="仿宋" w:eastAsia="仿宋"/>
                <w:sz w:val="28"/>
                <w:szCs w:val="28"/>
              </w:rPr>
              <w:t>履约验收方案是否完整、标准是否明确</w:t>
            </w:r>
          </w:p>
        </w:tc>
        <w:tc>
          <w:tcPr>
            <w:tcW w:w="1900" w:type="dxa"/>
            <w:tcBorders>
              <w:top w:val="single" w:color="auto" w:sz="4" w:space="0"/>
              <w:bottom w:val="single" w:color="auto" w:sz="4" w:space="0"/>
            </w:tcBorders>
            <w:noWrap w:val="0"/>
            <w:vAlign w:val="center"/>
          </w:tcPr>
          <w:p>
            <w:pPr>
              <w:spacing w:line="56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7" w:type="dxa"/>
            <w:vMerge w:val="continue"/>
            <w:noWrap w:val="0"/>
            <w:vAlign w:val="center"/>
          </w:tcPr>
          <w:p>
            <w:pPr>
              <w:spacing w:line="560" w:lineRule="exact"/>
              <w:rPr>
                <w:rFonts w:ascii="仿宋" w:hAnsi="仿宋" w:eastAsia="仿宋"/>
                <w:sz w:val="28"/>
                <w:szCs w:val="28"/>
              </w:rPr>
            </w:pPr>
          </w:p>
        </w:tc>
        <w:tc>
          <w:tcPr>
            <w:tcW w:w="5331" w:type="dxa"/>
            <w:tcBorders>
              <w:top w:val="single" w:color="auto" w:sz="4" w:space="0"/>
            </w:tcBorders>
            <w:noWrap w:val="0"/>
            <w:vAlign w:val="center"/>
          </w:tcPr>
          <w:p>
            <w:pPr>
              <w:spacing w:line="560" w:lineRule="exact"/>
              <w:rPr>
                <w:rFonts w:ascii="仿宋" w:hAnsi="仿宋" w:eastAsia="仿宋"/>
                <w:sz w:val="28"/>
                <w:szCs w:val="28"/>
              </w:rPr>
            </w:pPr>
            <w:r>
              <w:rPr>
                <w:rFonts w:hint="eastAsia" w:ascii="仿宋" w:hAnsi="仿宋" w:eastAsia="仿宋"/>
                <w:sz w:val="28"/>
                <w:szCs w:val="28"/>
              </w:rPr>
              <w:t>风险处置措施和替代方案是否可行</w:t>
            </w:r>
          </w:p>
        </w:tc>
        <w:tc>
          <w:tcPr>
            <w:tcW w:w="1900" w:type="dxa"/>
            <w:tcBorders>
              <w:top w:val="single" w:color="auto" w:sz="4" w:space="0"/>
            </w:tcBorders>
            <w:noWrap w:val="0"/>
            <w:vAlign w:val="center"/>
          </w:tcPr>
          <w:p>
            <w:pPr>
              <w:spacing w:line="56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7" w:type="dxa"/>
            <w:noWrap w:val="0"/>
            <w:vAlign w:val="top"/>
          </w:tcPr>
          <w:p>
            <w:pPr>
              <w:spacing w:line="560" w:lineRule="exact"/>
              <w:rPr>
                <w:rFonts w:ascii="仿宋" w:hAnsi="仿宋" w:eastAsia="仿宋"/>
                <w:sz w:val="28"/>
                <w:szCs w:val="28"/>
              </w:rPr>
            </w:pPr>
            <w:r>
              <w:rPr>
                <w:rFonts w:hint="eastAsia" w:ascii="仿宋" w:hAnsi="仿宋" w:eastAsia="仿宋"/>
                <w:sz w:val="28"/>
                <w:szCs w:val="28"/>
              </w:rPr>
              <w:t>（五）采购人或者主管预算单位认为应当审查的其他内容</w:t>
            </w:r>
          </w:p>
        </w:tc>
        <w:tc>
          <w:tcPr>
            <w:tcW w:w="5331" w:type="dxa"/>
            <w:noWrap w:val="0"/>
            <w:vAlign w:val="center"/>
          </w:tcPr>
          <w:p>
            <w:pPr>
              <w:spacing w:line="560" w:lineRule="exact"/>
              <w:rPr>
                <w:rFonts w:ascii="仿宋" w:hAnsi="仿宋" w:eastAsia="仿宋"/>
                <w:i/>
                <w:sz w:val="28"/>
                <w:szCs w:val="28"/>
                <w:u w:val="single"/>
              </w:rPr>
            </w:pPr>
            <w:r>
              <w:rPr>
                <w:rFonts w:ascii="仿宋" w:hAnsi="仿宋" w:eastAsia="仿宋"/>
                <w:i/>
                <w:sz w:val="28"/>
                <w:szCs w:val="28"/>
                <w:u w:val="single"/>
              </w:rPr>
              <w:t>应列明审查的具体内容</w:t>
            </w:r>
            <w:r>
              <w:rPr>
                <w:rFonts w:hint="eastAsia" w:ascii="仿宋" w:hAnsi="仿宋" w:eastAsia="仿宋"/>
                <w:i/>
                <w:sz w:val="28"/>
                <w:szCs w:val="28"/>
                <w:u w:val="single"/>
              </w:rPr>
              <w:t>。</w:t>
            </w:r>
          </w:p>
        </w:tc>
        <w:tc>
          <w:tcPr>
            <w:tcW w:w="1900" w:type="dxa"/>
            <w:noWrap w:val="0"/>
            <w:vAlign w:val="center"/>
          </w:tcPr>
          <w:p>
            <w:pPr>
              <w:spacing w:line="56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8" w:type="dxa"/>
            <w:gridSpan w:val="2"/>
            <w:noWrap w:val="0"/>
            <w:vAlign w:val="top"/>
          </w:tcPr>
          <w:p>
            <w:pPr>
              <w:spacing w:line="560" w:lineRule="exact"/>
              <w:jc w:val="right"/>
              <w:rPr>
                <w:rFonts w:ascii="仿宋" w:hAnsi="仿宋" w:eastAsia="仿宋"/>
                <w:b/>
                <w:sz w:val="28"/>
                <w:szCs w:val="28"/>
              </w:rPr>
            </w:pPr>
            <w:r>
              <w:rPr>
                <w:rFonts w:hint="eastAsia" w:ascii="仿宋" w:hAnsi="仿宋" w:eastAsia="仿宋"/>
                <w:b/>
                <w:sz w:val="28"/>
                <w:szCs w:val="28"/>
              </w:rPr>
              <w:t>审查结论</w:t>
            </w:r>
          </w:p>
        </w:tc>
        <w:tc>
          <w:tcPr>
            <w:tcW w:w="1900" w:type="dxa"/>
            <w:noWrap w:val="0"/>
            <w:vAlign w:val="center"/>
          </w:tcPr>
          <w:p>
            <w:pPr>
              <w:spacing w:line="560" w:lineRule="exact"/>
              <w:jc w:val="center"/>
              <w:rPr>
                <w:rFonts w:ascii="仿宋" w:hAnsi="仿宋" w:eastAsia="仿宋"/>
                <w:sz w:val="28"/>
                <w:szCs w:val="28"/>
              </w:rPr>
            </w:pPr>
            <w:r>
              <w:rPr>
                <w:rFonts w:ascii="仿宋" w:hAnsi="仿宋" w:eastAsia="仿宋"/>
                <w:sz w:val="28"/>
                <w:szCs w:val="28"/>
              </w:rPr>
              <w:t>通过</w:t>
            </w:r>
            <w:r>
              <w:rPr>
                <w:rFonts w:hint="eastAsia" w:ascii="仿宋" w:hAnsi="仿宋" w:eastAsia="仿宋"/>
                <w:sz w:val="28"/>
                <w:szCs w:val="28"/>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8" w:type="dxa"/>
            <w:gridSpan w:val="3"/>
            <w:noWrap w:val="0"/>
            <w:vAlign w:val="top"/>
          </w:tcPr>
          <w:p>
            <w:pPr>
              <w:spacing w:line="560" w:lineRule="exact"/>
              <w:jc w:val="left"/>
              <w:rPr>
                <w:rFonts w:ascii="仿宋" w:hAnsi="仿宋" w:eastAsia="仿宋"/>
                <w:sz w:val="28"/>
                <w:szCs w:val="28"/>
              </w:rPr>
            </w:pPr>
            <w:r>
              <w:rPr>
                <w:rFonts w:hint="eastAsia" w:ascii="仿宋" w:hAnsi="仿宋" w:eastAsia="仿宋"/>
                <w:sz w:val="28"/>
                <w:szCs w:val="28"/>
              </w:rPr>
              <w:t>审查意见：</w:t>
            </w:r>
          </w:p>
          <w:p>
            <w:pPr>
              <w:spacing w:line="560" w:lineRule="exact"/>
              <w:ind w:firstLine="560" w:firstLineChars="200"/>
              <w:jc w:val="left"/>
              <w:rPr>
                <w:rFonts w:ascii="仿宋" w:hAnsi="仿宋" w:eastAsia="仿宋"/>
                <w:i/>
                <w:sz w:val="28"/>
                <w:szCs w:val="28"/>
                <w:u w:val="single"/>
              </w:rPr>
            </w:pPr>
            <w:r>
              <w:rPr>
                <w:rFonts w:hint="eastAsia" w:ascii="仿宋" w:hAnsi="仿宋" w:eastAsia="仿宋"/>
                <w:i/>
                <w:sz w:val="28"/>
                <w:szCs w:val="28"/>
                <w:u w:val="single"/>
              </w:rPr>
              <w:t>示例：经审查，采购需求、采购实施计划符合相关规定，审查通过。</w:t>
            </w:r>
          </w:p>
          <w:p>
            <w:pPr>
              <w:spacing w:line="560" w:lineRule="exact"/>
              <w:ind w:firstLine="560" w:firstLineChars="200"/>
              <w:jc w:val="left"/>
              <w:rPr>
                <w:rFonts w:ascii="仿宋" w:hAnsi="仿宋" w:eastAsia="仿宋"/>
                <w:i/>
                <w:sz w:val="28"/>
                <w:szCs w:val="28"/>
                <w:u w:val="single"/>
              </w:rPr>
            </w:pPr>
            <w:r>
              <w:rPr>
                <w:rFonts w:hint="eastAsia" w:ascii="仿宋" w:hAnsi="仿宋" w:eastAsia="仿宋"/>
                <w:i/>
                <w:sz w:val="28"/>
                <w:szCs w:val="28"/>
                <w:u w:val="single"/>
              </w:rPr>
              <w:t>示例：经审查，采购实施计划未落实中小企业发展政府采购政策要求，审查不通过，根据相关规定修改后，再重新进行审查。</w:t>
            </w:r>
          </w:p>
          <w:p>
            <w:pPr>
              <w:spacing w:line="560" w:lineRule="exact"/>
              <w:ind w:firstLine="560" w:firstLineChars="200"/>
              <w:jc w:val="left"/>
              <w:rPr>
                <w:rFonts w:ascii="仿宋" w:hAnsi="仿宋" w:eastAsia="仿宋"/>
                <w:i/>
                <w:sz w:val="28"/>
                <w:szCs w:val="28"/>
                <w:u w:val="single"/>
              </w:rPr>
            </w:pPr>
          </w:p>
        </w:tc>
      </w:tr>
    </w:tbl>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审查结果为“通过”或“不通过”，审查结果“不通过”的，还需说明具体原因。</w:t>
      </w:r>
    </w:p>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审查结果全部为“通过”的，则审查结论为“通过”。审查结果有一项为“不通过”的，则审查结论为“不通过”。</w:t>
      </w:r>
    </w:p>
    <w:p>
      <w:pPr>
        <w:spacing w:line="560" w:lineRule="exact"/>
        <w:ind w:firstLine="640" w:firstLineChars="200"/>
        <w:jc w:val="left"/>
        <w:rPr>
          <w:rFonts w:ascii="仿宋" w:hAnsi="仿宋" w:eastAsia="仿宋"/>
          <w:i/>
          <w:sz w:val="32"/>
          <w:szCs w:val="32"/>
          <w:u w:val="single"/>
        </w:rPr>
      </w:pPr>
    </w:p>
    <w:p>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审查人员（签字）：</w:t>
      </w:r>
    </w:p>
    <w:p>
      <w:pPr>
        <w:rPr>
          <w:rFonts w:hint="eastAsia" w:ascii="仿宋" w:hAnsi="仿宋" w:eastAsia="仿宋"/>
          <w:sz w:val="32"/>
          <w:szCs w:val="32"/>
        </w:rPr>
      </w:pPr>
      <w:r>
        <w:rPr>
          <w:rFonts w:hint="eastAsia" w:ascii="仿宋" w:hAnsi="仿宋" w:eastAsia="仿宋"/>
          <w:sz w:val="32"/>
          <w:szCs w:val="32"/>
        </w:rPr>
        <w:br w:type="page"/>
      </w:r>
    </w:p>
    <w:p>
      <w:pPr>
        <w:jc w:val="both"/>
        <w:rPr>
          <w:rFonts w:hint="eastAsia" w:ascii="黑体" w:hAnsi="黑体" w:eastAsia="黑体" w:cs="黑体"/>
          <w:b w:val="0"/>
          <w:bCs w:val="0"/>
          <w:sz w:val="32"/>
          <w:szCs w:val="28"/>
          <w:lang w:val="en-US" w:eastAsia="zh-CN"/>
        </w:rPr>
      </w:pPr>
      <w:r>
        <w:rPr>
          <w:rFonts w:hint="eastAsia" w:ascii="黑体" w:hAnsi="黑体" w:eastAsia="黑体" w:cs="黑体"/>
          <w:b w:val="0"/>
          <w:bCs w:val="0"/>
          <w:sz w:val="32"/>
          <w:szCs w:val="28"/>
          <w:lang w:eastAsia="zh-CN"/>
        </w:rPr>
        <w:t>附件</w:t>
      </w:r>
      <w:r>
        <w:rPr>
          <w:rFonts w:hint="eastAsia" w:ascii="黑体" w:hAnsi="黑体" w:eastAsia="黑体" w:cs="黑体"/>
          <w:b w:val="0"/>
          <w:bCs w:val="0"/>
          <w:sz w:val="32"/>
          <w:szCs w:val="28"/>
          <w:lang w:val="en-US" w:eastAsia="zh-CN"/>
        </w:rPr>
        <w:t>7</w:t>
      </w:r>
    </w:p>
    <w:p>
      <w:pPr>
        <w:jc w:val="center"/>
        <w:rPr>
          <w:rFonts w:eastAsia="黑体"/>
          <w:b/>
          <w:bCs/>
          <w:sz w:val="36"/>
        </w:rPr>
      </w:pPr>
      <w:r>
        <w:rPr>
          <w:rFonts w:hint="eastAsia" w:ascii="方正小标宋简体" w:hAnsi="方正小标宋简体" w:eastAsia="方正小标宋简体" w:cs="方正小标宋简体"/>
          <w:b w:val="0"/>
          <w:bCs w:val="0"/>
          <w:sz w:val="32"/>
          <w:szCs w:val="28"/>
        </w:rPr>
        <w:t>新乡市市直政府采购验收报告</w:t>
      </w:r>
    </w:p>
    <w:p>
      <w:pPr>
        <w:rPr>
          <w:sz w:val="24"/>
        </w:rPr>
      </w:pPr>
      <w:r>
        <w:rPr>
          <w:rFonts w:hint="eastAsia"/>
          <w:sz w:val="24"/>
        </w:rPr>
        <w:t>采购验收单位：</w:t>
      </w:r>
      <w:r>
        <w:rPr>
          <w:sz w:val="28"/>
        </w:rPr>
        <w:t xml:space="preserve">                             </w:t>
      </w:r>
      <w:r>
        <w:rPr>
          <w:sz w:val="24"/>
        </w:rPr>
        <w:t xml:space="preserve">  </w:t>
      </w:r>
      <w:r>
        <w:rPr>
          <w:rFonts w:hint="eastAsia"/>
          <w:sz w:val="24"/>
        </w:rPr>
        <w:t>合同编号：</w:t>
      </w:r>
    </w:p>
    <w:tbl>
      <w:tblPr>
        <w:tblStyle w:val="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2514"/>
        <w:gridCol w:w="1611"/>
        <w:gridCol w:w="232"/>
        <w:gridCol w:w="1701"/>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1847" w:type="dxa"/>
            <w:tcBorders>
              <w:top w:val="single" w:color="auto" w:sz="4" w:space="0"/>
              <w:left w:val="single" w:color="auto" w:sz="4" w:space="0"/>
              <w:bottom w:val="single" w:color="auto" w:sz="4" w:space="0"/>
              <w:right w:val="single" w:color="auto" w:sz="4" w:space="0"/>
            </w:tcBorders>
            <w:noWrap w:val="0"/>
            <w:vAlign w:val="top"/>
          </w:tcPr>
          <w:p>
            <w:pPr>
              <w:jc w:val="center"/>
              <w:rPr>
                <w:sz w:val="24"/>
              </w:rPr>
            </w:pPr>
            <w:r>
              <w:rPr>
                <w:rFonts w:hint="eastAsia"/>
                <w:sz w:val="24"/>
              </w:rPr>
              <w:t>采购项目名称</w:t>
            </w:r>
          </w:p>
        </w:tc>
        <w:tc>
          <w:tcPr>
            <w:tcW w:w="41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4"/>
              </w:rPr>
            </w:pPr>
          </w:p>
        </w:tc>
        <w:tc>
          <w:tcPr>
            <w:tcW w:w="193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中标金额（万元）</w:t>
            </w:r>
          </w:p>
        </w:tc>
        <w:tc>
          <w:tcPr>
            <w:tcW w:w="1949"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6" w:hRule="atLeast"/>
          <w:jc w:val="center"/>
        </w:trPr>
        <w:tc>
          <w:tcPr>
            <w:tcW w:w="1847" w:type="dxa"/>
            <w:tcBorders>
              <w:top w:val="single" w:color="auto" w:sz="4" w:space="0"/>
              <w:left w:val="single" w:color="auto" w:sz="4" w:space="0"/>
              <w:bottom w:val="single" w:color="auto" w:sz="4" w:space="0"/>
              <w:right w:val="single" w:color="auto" w:sz="4" w:space="0"/>
            </w:tcBorders>
            <w:noWrap w:val="0"/>
            <w:vAlign w:val="top"/>
          </w:tcPr>
          <w:p>
            <w:pPr>
              <w:rPr>
                <w:sz w:val="24"/>
              </w:rPr>
            </w:pPr>
            <w:r>
              <w:rPr>
                <w:rFonts w:hint="eastAsia"/>
                <w:sz w:val="24"/>
              </w:rPr>
              <w:t>采购项目内容（规格、型号、数量）</w:t>
            </w:r>
          </w:p>
        </w:tc>
        <w:tc>
          <w:tcPr>
            <w:tcW w:w="8007" w:type="dxa"/>
            <w:gridSpan w:val="5"/>
            <w:tcBorders>
              <w:top w:val="single" w:color="auto" w:sz="4" w:space="0"/>
              <w:left w:val="single" w:color="auto" w:sz="4" w:space="0"/>
              <w:bottom w:val="single" w:color="auto" w:sz="4" w:space="0"/>
              <w:right w:val="single" w:color="auto" w:sz="4" w:space="0"/>
            </w:tcBorders>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6" w:hRule="atLeast"/>
          <w:jc w:val="center"/>
        </w:trPr>
        <w:tc>
          <w:tcPr>
            <w:tcW w:w="1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sz w:val="24"/>
              </w:rPr>
            </w:pPr>
            <w:r>
              <w:rPr>
                <w:rFonts w:hint="eastAsia"/>
                <w:sz w:val="24"/>
              </w:rPr>
              <w:t>验</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sz w:val="2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sz w:val="24"/>
              </w:rPr>
            </w:pPr>
            <w:r>
              <w:rPr>
                <w:rFonts w:hint="eastAsia"/>
                <w:sz w:val="24"/>
              </w:rPr>
              <w:t>收</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sz w:val="2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sz w:val="24"/>
              </w:rPr>
            </w:pPr>
            <w:r>
              <w:rPr>
                <w:rFonts w:hint="eastAsia"/>
                <w:sz w:val="24"/>
              </w:rPr>
              <w:t>意</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sz w:val="2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sz w:val="24"/>
              </w:rPr>
            </w:pPr>
            <w:r>
              <w:rPr>
                <w:rFonts w:hint="eastAsia"/>
                <w:sz w:val="24"/>
              </w:rPr>
              <w:t>见</w:t>
            </w:r>
          </w:p>
        </w:tc>
        <w:tc>
          <w:tcPr>
            <w:tcW w:w="8007"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u w:val="single"/>
              </w:rPr>
            </w:pPr>
            <w:r>
              <w:rPr>
                <w:rFonts w:hint="eastAsia"/>
                <w:sz w:val="24"/>
              </w:rPr>
              <w:t>经对采购项目组织验收，中标（成交）供应商</w:t>
            </w:r>
            <w:r>
              <w:rPr>
                <w:sz w:val="24"/>
                <w:u w:val="single"/>
              </w:rPr>
              <w:t xml:space="preserve">                        </w:t>
            </w:r>
            <w:r>
              <w:rPr>
                <w:rFonts w:hint="eastAsia"/>
                <w:sz w:val="24"/>
              </w:rPr>
              <w:t>所提供的（货物</w:t>
            </w:r>
            <w:r>
              <w:rPr>
                <w:sz w:val="24"/>
              </w:rPr>
              <w:t>/</w:t>
            </w:r>
            <w:r>
              <w:rPr>
                <w:rFonts w:hint="eastAsia"/>
                <w:sz w:val="24"/>
              </w:rPr>
              <w:t>工程</w:t>
            </w:r>
            <w:r>
              <w:rPr>
                <w:sz w:val="24"/>
              </w:rPr>
              <w:t>/</w:t>
            </w:r>
            <w:r>
              <w:rPr>
                <w:rFonts w:hint="eastAsia"/>
                <w:sz w:val="24"/>
              </w:rPr>
              <w:t>服务）符合采购需求，与签订的合同内容一致，验收合格，我单位对验收结果承担责任。（政府采购合同金额</w:t>
            </w:r>
            <w:r>
              <w:rPr>
                <w:b/>
                <w:sz w:val="24"/>
              </w:rPr>
              <w:t>50</w:t>
            </w:r>
            <w:r>
              <w:rPr>
                <w:rFonts w:hint="eastAsia"/>
                <w:b/>
                <w:sz w:val="24"/>
              </w:rPr>
              <w:t>万元以下的（含</w:t>
            </w:r>
            <w:r>
              <w:rPr>
                <w:b/>
                <w:sz w:val="24"/>
              </w:rPr>
              <w:t>50</w:t>
            </w:r>
            <w:r>
              <w:rPr>
                <w:rFonts w:hint="eastAsia"/>
                <w:b/>
                <w:sz w:val="24"/>
              </w:rPr>
              <w:t>万元）</w:t>
            </w:r>
            <w:r>
              <w:rPr>
                <w:rFonts w:hint="eastAsia"/>
                <w:sz w:val="24"/>
              </w:rPr>
              <w:t>的项目，验收工作组应不少于三人；政府采购合同金额</w:t>
            </w:r>
            <w:r>
              <w:rPr>
                <w:b/>
                <w:sz w:val="24"/>
              </w:rPr>
              <w:t>50</w:t>
            </w:r>
            <w:r>
              <w:rPr>
                <w:rFonts w:hint="eastAsia"/>
                <w:b/>
                <w:sz w:val="24"/>
              </w:rPr>
              <w:t>万元以上</w:t>
            </w:r>
            <w:r>
              <w:rPr>
                <w:rFonts w:hint="eastAsia"/>
                <w:sz w:val="24"/>
              </w:rPr>
              <w:t>的项目，验收工作组应由采购单位领导牵头，财务、审计、监察、资产管理、技术等部门人员参与，成员不少于五人；</w:t>
            </w:r>
            <w:r>
              <w:rPr>
                <w:rFonts w:hint="eastAsia"/>
                <w:b/>
                <w:sz w:val="24"/>
              </w:rPr>
              <w:t>大型、复杂或者技术性很强</w:t>
            </w:r>
            <w:r>
              <w:rPr>
                <w:rFonts w:hint="eastAsia"/>
                <w:sz w:val="24"/>
              </w:rPr>
              <w:t>的政府采购项目，应当邀请国家认可的质量检测机构参加验收工作；</w:t>
            </w:r>
            <w:r>
              <w:rPr>
                <w:rFonts w:hint="eastAsia"/>
                <w:b/>
                <w:sz w:val="24"/>
              </w:rPr>
              <w:t>国家规定强制性检测</w:t>
            </w:r>
            <w:r>
              <w:rPr>
                <w:rFonts w:hint="eastAsia"/>
                <w:sz w:val="24"/>
              </w:rPr>
              <w:t>的采购项目，采购人必须委托国家认可专业检测机构进行验收。）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rPr>
            </w:pPr>
            <w:r>
              <w:rPr>
                <w:rFonts w:hint="eastAsia"/>
                <w:sz w:val="24"/>
              </w:rPr>
              <w:t>验收工作组签字：</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rPr>
            </w:pPr>
            <w:r>
              <w:rPr>
                <w:rFonts w:hint="eastAsia"/>
                <w:sz w:val="24"/>
              </w:rPr>
              <w:t>验收人</w:t>
            </w:r>
            <w:r>
              <w:rPr>
                <w:sz w:val="24"/>
              </w:rPr>
              <w:t>1</w:t>
            </w:r>
            <w:r>
              <w:rPr>
                <w:rFonts w:hint="eastAsia"/>
                <w:sz w:val="24"/>
              </w:rPr>
              <w:t>：</w:t>
            </w:r>
            <w:r>
              <w:rPr>
                <w:sz w:val="24"/>
              </w:rPr>
              <w:t xml:space="preserve">             </w:t>
            </w:r>
            <w:r>
              <w:rPr>
                <w:rFonts w:hint="eastAsia"/>
                <w:sz w:val="24"/>
              </w:rPr>
              <w:t>验收人</w:t>
            </w:r>
            <w:r>
              <w:rPr>
                <w:sz w:val="24"/>
              </w:rPr>
              <w:t>2</w:t>
            </w:r>
            <w:r>
              <w:rPr>
                <w:rFonts w:hint="eastAsia"/>
                <w:sz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rPr>
            </w:pPr>
          </w:p>
          <w:p>
            <w:pPr>
              <w:keepNext w:val="0"/>
              <w:keepLines w:val="0"/>
              <w:pageBreakBefore w:val="0"/>
              <w:widowControl w:val="0"/>
              <w:kinsoku/>
              <w:wordWrap/>
              <w:overflowPunct/>
              <w:topLinePunct w:val="0"/>
              <w:autoSpaceDE/>
              <w:autoSpaceDN/>
              <w:bidi w:val="0"/>
              <w:adjustRightInd/>
              <w:snapToGrid/>
              <w:spacing w:line="500" w:lineRule="exact"/>
              <w:ind w:firstLine="468"/>
              <w:textAlignment w:val="auto"/>
              <w:rPr>
                <w:sz w:val="24"/>
              </w:rPr>
            </w:pPr>
            <w:r>
              <w:rPr>
                <w:rFonts w:hint="eastAsia"/>
                <w:sz w:val="24"/>
              </w:rPr>
              <w:t>验收人</w:t>
            </w:r>
            <w:r>
              <w:rPr>
                <w:sz w:val="24"/>
              </w:rPr>
              <w:t>3</w:t>
            </w:r>
            <w:r>
              <w:rPr>
                <w:rFonts w:hint="eastAsia"/>
                <w:sz w:val="24"/>
              </w:rPr>
              <w:t>：</w:t>
            </w:r>
            <w:r>
              <w:rPr>
                <w:sz w:val="24"/>
              </w:rPr>
              <w:t xml:space="preserve">             </w:t>
            </w:r>
            <w:r>
              <w:rPr>
                <w:rFonts w:hint="eastAsia"/>
                <w:sz w:val="24"/>
              </w:rPr>
              <w:t>验收人</w:t>
            </w:r>
            <w:r>
              <w:rPr>
                <w:sz w:val="24"/>
              </w:rPr>
              <w:t>4</w:t>
            </w:r>
            <w:r>
              <w:rPr>
                <w:rFonts w:hint="eastAsia"/>
                <w:sz w:val="24"/>
              </w:rPr>
              <w:t>：</w:t>
            </w:r>
          </w:p>
          <w:p>
            <w:pPr>
              <w:keepNext w:val="0"/>
              <w:keepLines w:val="0"/>
              <w:pageBreakBefore w:val="0"/>
              <w:widowControl w:val="0"/>
              <w:kinsoku/>
              <w:wordWrap/>
              <w:overflowPunct/>
              <w:topLinePunct w:val="0"/>
              <w:autoSpaceDE/>
              <w:autoSpaceDN/>
              <w:bidi w:val="0"/>
              <w:adjustRightInd/>
              <w:snapToGrid/>
              <w:spacing w:line="500" w:lineRule="exact"/>
              <w:ind w:firstLine="468"/>
              <w:textAlignment w:val="auto"/>
              <w:rPr>
                <w:sz w:val="2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4"/>
              </w:rPr>
            </w:pPr>
            <w:r>
              <w:rPr>
                <w:sz w:val="24"/>
              </w:rPr>
              <w:t xml:space="preserve">    </w:t>
            </w:r>
            <w:r>
              <w:rPr>
                <w:rFonts w:hint="eastAsia"/>
                <w:sz w:val="24"/>
              </w:rPr>
              <w:t>验收负责人</w:t>
            </w:r>
            <w:r>
              <w:rPr>
                <w:sz w:val="24"/>
              </w:rPr>
              <w:t>5</w:t>
            </w:r>
            <w:r>
              <w:rPr>
                <w:rFonts w:hint="eastAsia"/>
                <w:sz w:val="24"/>
              </w:rPr>
              <w:t>：</w:t>
            </w:r>
          </w:p>
          <w:p>
            <w:pPr>
              <w:keepNext w:val="0"/>
              <w:keepLines w:val="0"/>
              <w:pageBreakBefore w:val="0"/>
              <w:widowControl w:val="0"/>
              <w:kinsoku/>
              <w:wordWrap/>
              <w:overflowPunct/>
              <w:topLinePunct w:val="0"/>
              <w:autoSpaceDE/>
              <w:autoSpaceDN/>
              <w:bidi w:val="0"/>
              <w:adjustRightInd/>
              <w:snapToGrid/>
              <w:spacing w:line="500" w:lineRule="exact"/>
              <w:ind w:firstLine="6000" w:firstLineChars="2500"/>
              <w:textAlignment w:val="auto"/>
              <w:rPr>
                <w:sz w:val="24"/>
              </w:rPr>
            </w:pPr>
            <w:r>
              <w:rPr>
                <w:rFonts w:hint="eastAsia"/>
                <w:sz w:val="24"/>
              </w:rPr>
              <w:t>（盖章）</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4"/>
              </w:rPr>
            </w:pPr>
            <w:r>
              <w:rPr>
                <w:rFonts w:hint="eastAsia"/>
                <w:sz w:val="24"/>
              </w:rPr>
              <w:t>验收地点：</w:t>
            </w:r>
            <w:r>
              <w:rPr>
                <w:sz w:val="24"/>
              </w:rPr>
              <w:t xml:space="preserve">                         </w:t>
            </w:r>
            <w:r>
              <w:rPr>
                <w:rFonts w:hint="eastAsia"/>
                <w:sz w:val="24"/>
              </w:rPr>
              <w:t>验收时间：</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8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sz w:val="24"/>
              </w:rPr>
            </w:pPr>
            <w:r>
              <w:rPr>
                <w:rFonts w:hint="eastAsia"/>
                <w:sz w:val="24"/>
              </w:rPr>
              <w:t>单位负责人签字</w:t>
            </w:r>
          </w:p>
        </w:tc>
        <w:tc>
          <w:tcPr>
            <w:tcW w:w="25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24"/>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sz w:val="24"/>
              </w:rPr>
            </w:pPr>
            <w:r>
              <w:rPr>
                <w:rFonts w:hint="eastAsia"/>
                <w:sz w:val="24"/>
              </w:rPr>
              <w:t>联系电话</w:t>
            </w:r>
          </w:p>
        </w:tc>
        <w:tc>
          <w:tcPr>
            <w:tcW w:w="36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4"/>
              </w:rPr>
            </w:pPr>
            <w:r>
              <w:rPr>
                <w:rFonts w:hint="eastAsia"/>
                <w:sz w:val="24"/>
              </w:rPr>
              <w:t>备注</w:t>
            </w:r>
          </w:p>
        </w:tc>
        <w:tc>
          <w:tcPr>
            <w:tcW w:w="800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4"/>
              </w:rPr>
            </w:pPr>
          </w:p>
        </w:tc>
      </w:tr>
    </w:tbl>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Calibri" w:eastAsia="仿宋_GB2312"/>
          <w:sz w:val="32"/>
          <w:szCs w:val="32"/>
        </w:rPr>
        <w:sectPr>
          <w:footerReference r:id="rId10" w:type="default"/>
          <w:pgSz w:w="11906" w:h="16838"/>
          <w:pgMar w:top="1440" w:right="1800" w:bottom="1440" w:left="1800" w:header="851" w:footer="992" w:gutter="0"/>
          <w:pgNumType w:fmt="decimal"/>
          <w:cols w:space="720" w:num="1"/>
          <w:docGrid w:type="lines" w:linePitch="312" w:charSpace="0"/>
        </w:sectPr>
      </w:pPr>
      <w:r>
        <w:rPr>
          <w:rFonts w:hint="eastAsia"/>
          <w:sz w:val="24"/>
        </w:rPr>
        <w:t>说明：</w:t>
      </w:r>
      <w:r>
        <w:rPr>
          <w:sz w:val="24"/>
        </w:rPr>
        <w:t>1</w:t>
      </w:r>
      <w:r>
        <w:rPr>
          <w:rFonts w:hint="eastAsia"/>
          <w:sz w:val="24"/>
        </w:rPr>
        <w:t>、验收报告是支付政府采购资金的重要依据；</w:t>
      </w:r>
      <w:r>
        <w:rPr>
          <w:sz w:val="24"/>
        </w:rPr>
        <w:t>2</w:t>
      </w:r>
      <w:r>
        <w:rPr>
          <w:rFonts w:hint="eastAsia"/>
          <w:sz w:val="24"/>
        </w:rPr>
        <w:t>、采购单位应按合同约定及时组织验收；</w:t>
      </w:r>
      <w:r>
        <w:rPr>
          <w:sz w:val="24"/>
        </w:rPr>
        <w:t>3</w:t>
      </w:r>
      <w:r>
        <w:rPr>
          <w:rFonts w:hint="eastAsia"/>
          <w:sz w:val="24"/>
        </w:rPr>
        <w:t>、采购项目规格、型号、数量按签订的合同内容填写（表栏填不下的可加附表，并需验收工作组签字、单位盖章）；</w:t>
      </w:r>
      <w:r>
        <w:rPr>
          <w:sz w:val="24"/>
        </w:rPr>
        <w:t>4</w:t>
      </w:r>
      <w:r>
        <w:rPr>
          <w:rFonts w:hint="eastAsia"/>
          <w:sz w:val="24"/>
        </w:rPr>
        <w:t>、采购项目验收如有与合同不符的应在备注栏注明。</w:t>
      </w:r>
      <w:r>
        <w:rPr>
          <w:sz w:val="24"/>
        </w:rPr>
        <w:t>5</w:t>
      </w:r>
      <w:r>
        <w:rPr>
          <w:rFonts w:hint="eastAsia"/>
          <w:sz w:val="24"/>
        </w:rPr>
        <w:t>、单位直接参与该项目政府采购活动的主要负责人不得作为验收工作的负责人。</w:t>
      </w:r>
    </w:p>
    <w:p>
      <w:pPr>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8</w:t>
      </w:r>
    </w:p>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政府采购简要流程图</w:t>
      </w:r>
    </w:p>
    <w:p>
      <w:pPr>
        <w:rPr>
          <w:rFonts w:ascii="Calibri" w:hAnsi="Calibri" w:eastAsia="宋体"/>
          <w:sz w:val="21"/>
          <w:szCs w:val="24"/>
        </w:rPr>
      </w:pPr>
      <w:r>
        <w:rPr>
          <w:rFonts w:ascii="Calibri" w:hAnsi="Calibri" w:eastAsia="宋体"/>
          <w:sz w:val="21"/>
          <w:szCs w:val="24"/>
        </w:rPr>
        <mc:AlternateContent>
          <mc:Choice Requires="wpg">
            <w:drawing>
              <wp:anchor distT="0" distB="0" distL="114300" distR="114300" simplePos="0" relativeHeight="251683840" behindDoc="0" locked="0" layoutInCell="1" allowOverlap="1">
                <wp:simplePos x="0" y="0"/>
                <wp:positionH relativeFrom="column">
                  <wp:posOffset>467360</wp:posOffset>
                </wp:positionH>
                <wp:positionV relativeFrom="paragraph">
                  <wp:posOffset>97790</wp:posOffset>
                </wp:positionV>
                <wp:extent cx="4738370" cy="8783320"/>
                <wp:effectExtent l="47625" t="4445" r="14605" b="13335"/>
                <wp:wrapNone/>
                <wp:docPr id="96" name="组合 96"/>
                <wp:cNvGraphicFramePr/>
                <a:graphic xmlns:a="http://schemas.openxmlformats.org/drawingml/2006/main">
                  <a:graphicData uri="http://schemas.microsoft.com/office/word/2010/wordprocessingGroup">
                    <wpg:wgp>
                      <wpg:cNvGrpSpPr/>
                      <wpg:grpSpPr>
                        <a:xfrm>
                          <a:off x="0" y="0"/>
                          <a:ext cx="4738370" cy="8783320"/>
                          <a:chOff x="8140" y="2505"/>
                          <a:chExt cx="7462" cy="13832"/>
                        </a:xfrm>
                      </wpg:grpSpPr>
                      <wps:wsp>
                        <wps:cNvPr id="66" name="文本框 66"/>
                        <wps:cNvSpPr txBox="true"/>
                        <wps:spPr>
                          <a:xfrm>
                            <a:off x="10642" y="14830"/>
                            <a:ext cx="2020" cy="50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Calibri" w:hAnsi="Calibri" w:eastAsia="宋体"/>
                                  <w:sz w:val="21"/>
                                  <w:szCs w:val="24"/>
                                  <w:lang w:eastAsia="zh-CN"/>
                                </w:rPr>
                              </w:pPr>
                              <w:r>
                                <w:rPr>
                                  <w:rFonts w:hint="eastAsia" w:ascii="Calibri" w:hAnsi="Calibri" w:eastAsia="宋体"/>
                                  <w:sz w:val="21"/>
                                  <w:szCs w:val="24"/>
                                  <w:lang w:eastAsia="zh-CN"/>
                                </w:rPr>
                                <w:t>供应商开具发票</w:t>
                              </w:r>
                            </w:p>
                          </w:txbxContent>
                        </wps:txbx>
                        <wps:bodyPr upright="true"/>
                      </wps:wsp>
                      <wps:wsp>
                        <wps:cNvPr id="67" name="文本框 67"/>
                        <wps:cNvSpPr txBox="true"/>
                        <wps:spPr>
                          <a:xfrm>
                            <a:off x="10788" y="13894"/>
                            <a:ext cx="1835" cy="46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Calibri" w:hAnsi="Calibri" w:eastAsia="宋体"/>
                                  <w:sz w:val="21"/>
                                  <w:szCs w:val="24"/>
                                  <w:lang w:eastAsia="zh-CN"/>
                                </w:rPr>
                              </w:pPr>
                              <w:r>
                                <w:rPr>
                                  <w:rFonts w:hint="eastAsia" w:ascii="Calibri" w:hAnsi="Calibri" w:eastAsia="宋体"/>
                                  <w:sz w:val="21"/>
                                  <w:szCs w:val="24"/>
                                  <w:lang w:eastAsia="zh-CN"/>
                                </w:rPr>
                                <w:t>发布验收报告</w:t>
                              </w:r>
                            </w:p>
                          </w:txbxContent>
                        </wps:txbx>
                        <wps:bodyPr upright="true"/>
                      </wps:wsp>
                      <wps:wsp>
                        <wps:cNvPr id="68" name="文本框 68"/>
                        <wps:cNvSpPr txBox="true"/>
                        <wps:spPr>
                          <a:xfrm>
                            <a:off x="9668" y="12908"/>
                            <a:ext cx="4016" cy="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Calibri" w:hAnsi="Calibri" w:eastAsia="宋体"/>
                                  <w:sz w:val="21"/>
                                  <w:szCs w:val="24"/>
                                  <w:lang w:eastAsia="zh-CN"/>
                                </w:rPr>
                              </w:pPr>
                              <w:r>
                                <w:rPr>
                                  <w:rFonts w:hint="eastAsia" w:ascii="Calibri" w:hAnsi="Calibri" w:eastAsia="宋体"/>
                                  <w:sz w:val="21"/>
                                  <w:szCs w:val="24"/>
                                  <w:lang w:eastAsia="zh-CN"/>
                                </w:rPr>
                                <w:t>采购人组成验收小组，开展履约验收</w:t>
                              </w:r>
                            </w:p>
                          </w:txbxContent>
                        </wps:txbx>
                        <wps:bodyPr upright="true"/>
                      </wps:wsp>
                      <wps:wsp>
                        <wps:cNvPr id="69" name="文本框 69"/>
                        <wps:cNvSpPr txBox="true"/>
                        <wps:spPr>
                          <a:xfrm>
                            <a:off x="9990" y="11993"/>
                            <a:ext cx="3241" cy="49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ascii="Calibri" w:hAnsi="Calibri" w:eastAsia="宋体"/>
                                  <w:sz w:val="21"/>
                                  <w:szCs w:val="24"/>
                                  <w:lang w:val="en-US" w:eastAsia="zh-CN"/>
                                </w:rPr>
                              </w:pPr>
                              <w:r>
                                <w:rPr>
                                  <w:rFonts w:hint="eastAsia" w:ascii="Calibri" w:hAnsi="Calibri" w:eastAsia="宋体"/>
                                  <w:sz w:val="21"/>
                                  <w:szCs w:val="24"/>
                                  <w:lang w:eastAsia="zh-CN"/>
                                </w:rPr>
                                <w:t>供应商履约后，提出验收申请</w:t>
                              </w:r>
                            </w:p>
                          </w:txbxContent>
                        </wps:txbx>
                        <wps:bodyPr upright="true"/>
                      </wps:wsp>
                      <wps:wsp>
                        <wps:cNvPr id="70" name="文本框 70"/>
                        <wps:cNvSpPr txBox="true"/>
                        <wps:spPr>
                          <a:xfrm>
                            <a:off x="10609" y="11168"/>
                            <a:ext cx="1996" cy="42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Calibri" w:hAnsi="Calibri" w:eastAsia="宋体"/>
                                  <w:sz w:val="21"/>
                                  <w:szCs w:val="24"/>
                                  <w:lang w:val="en-US" w:eastAsia="zh-CN"/>
                                </w:rPr>
                              </w:pPr>
                              <w:r>
                                <w:rPr>
                                  <w:rFonts w:hint="eastAsia" w:ascii="Calibri" w:hAnsi="Calibri" w:eastAsia="宋体"/>
                                  <w:sz w:val="21"/>
                                  <w:szCs w:val="24"/>
                                  <w:lang w:val="en-US" w:eastAsia="zh-CN"/>
                                </w:rPr>
                                <w:t>合同公告、备案</w:t>
                              </w:r>
                            </w:p>
                          </w:txbxContent>
                        </wps:txbx>
                        <wps:bodyPr upright="true"/>
                      </wps:wsp>
                      <wps:wsp>
                        <wps:cNvPr id="71" name="文本框 71"/>
                        <wps:cNvSpPr txBox="true"/>
                        <wps:spPr>
                          <a:xfrm>
                            <a:off x="10538" y="10232"/>
                            <a:ext cx="2067" cy="42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Calibri" w:hAnsi="Calibri" w:eastAsia="宋体"/>
                                  <w:sz w:val="21"/>
                                  <w:szCs w:val="24"/>
                                  <w:lang w:eastAsia="zh-CN"/>
                                </w:rPr>
                              </w:pPr>
                              <w:r>
                                <w:rPr>
                                  <w:rFonts w:hint="eastAsia" w:ascii="Calibri" w:hAnsi="Calibri" w:eastAsia="宋体"/>
                                  <w:sz w:val="21"/>
                                  <w:szCs w:val="24"/>
                                  <w:lang w:eastAsia="zh-CN"/>
                                </w:rPr>
                                <w:t>签订政府采购合同</w:t>
                              </w:r>
                            </w:p>
                          </w:txbxContent>
                        </wps:txbx>
                        <wps:bodyPr upright="true"/>
                      </wps:wsp>
                      <wps:wsp>
                        <wps:cNvPr id="72" name="直接连接符 72"/>
                        <wps:cNvCnPr/>
                        <wps:spPr>
                          <a:xfrm flipH="true">
                            <a:off x="11574" y="10676"/>
                            <a:ext cx="1" cy="484"/>
                          </a:xfrm>
                          <a:prstGeom prst="line">
                            <a:avLst/>
                          </a:prstGeom>
                          <a:ln w="9525" cap="flat" cmpd="sng">
                            <a:solidFill>
                              <a:srgbClr val="000000"/>
                            </a:solidFill>
                            <a:prstDash val="solid"/>
                            <a:headEnd type="none" w="med" len="med"/>
                            <a:tailEnd type="arrow" w="med" len="med"/>
                          </a:ln>
                        </wps:spPr>
                        <wps:bodyPr upright="true"/>
                      </wps:wsp>
                      <wps:wsp>
                        <wps:cNvPr id="73" name="直接连接符 73"/>
                        <wps:cNvCnPr/>
                        <wps:spPr>
                          <a:xfrm flipH="true">
                            <a:off x="11602" y="12502"/>
                            <a:ext cx="2" cy="392"/>
                          </a:xfrm>
                          <a:prstGeom prst="line">
                            <a:avLst/>
                          </a:prstGeom>
                          <a:ln w="9525" cap="flat" cmpd="sng">
                            <a:solidFill>
                              <a:srgbClr val="000000"/>
                            </a:solidFill>
                            <a:prstDash val="solid"/>
                            <a:headEnd type="none" w="med" len="med"/>
                            <a:tailEnd type="arrow" w="med" len="med"/>
                          </a:ln>
                        </wps:spPr>
                        <wps:bodyPr upright="true"/>
                      </wps:wsp>
                      <wps:wsp>
                        <wps:cNvPr id="74" name="直接连接符 74"/>
                        <wps:cNvCnPr/>
                        <wps:spPr>
                          <a:xfrm>
                            <a:off x="11612" y="13378"/>
                            <a:ext cx="9" cy="530"/>
                          </a:xfrm>
                          <a:prstGeom prst="line">
                            <a:avLst/>
                          </a:prstGeom>
                          <a:ln w="9525" cap="flat" cmpd="sng">
                            <a:solidFill>
                              <a:srgbClr val="000000"/>
                            </a:solidFill>
                            <a:prstDash val="solid"/>
                            <a:headEnd type="none" w="med" len="med"/>
                            <a:tailEnd type="arrow" w="med" len="med"/>
                          </a:ln>
                        </wps:spPr>
                        <wps:bodyPr upright="true"/>
                      </wps:wsp>
                      <wps:wsp>
                        <wps:cNvPr id="75" name="直接连接符 75"/>
                        <wps:cNvCnPr/>
                        <wps:spPr>
                          <a:xfrm>
                            <a:off x="11668" y="14379"/>
                            <a:ext cx="9" cy="438"/>
                          </a:xfrm>
                          <a:prstGeom prst="line">
                            <a:avLst/>
                          </a:prstGeom>
                          <a:ln w="9525" cap="flat" cmpd="sng">
                            <a:solidFill>
                              <a:srgbClr val="000000"/>
                            </a:solidFill>
                            <a:prstDash val="solid"/>
                            <a:headEnd type="none" w="med" len="med"/>
                            <a:tailEnd type="arrow" w="med" len="med"/>
                          </a:ln>
                        </wps:spPr>
                        <wps:bodyPr upright="true"/>
                      </wps:wsp>
                      <wps:wsp>
                        <wps:cNvPr id="76" name="直接连接符 76"/>
                        <wps:cNvCnPr/>
                        <wps:spPr>
                          <a:xfrm>
                            <a:off x="11712" y="15381"/>
                            <a:ext cx="9" cy="438"/>
                          </a:xfrm>
                          <a:prstGeom prst="line">
                            <a:avLst/>
                          </a:prstGeom>
                          <a:ln w="9525" cap="flat" cmpd="sng">
                            <a:solidFill>
                              <a:srgbClr val="000000"/>
                            </a:solidFill>
                            <a:prstDash val="solid"/>
                            <a:headEnd type="none" w="med" len="med"/>
                            <a:tailEnd type="arrow" w="med" len="med"/>
                          </a:ln>
                        </wps:spPr>
                        <wps:bodyPr upright="true"/>
                      </wps:wsp>
                      <wps:wsp>
                        <wps:cNvPr id="77" name="文本框 77"/>
                        <wps:cNvSpPr txBox="true"/>
                        <wps:spPr>
                          <a:xfrm>
                            <a:off x="10640" y="15831"/>
                            <a:ext cx="2020" cy="50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Calibri" w:hAnsi="Calibri" w:eastAsia="宋体"/>
                                  <w:sz w:val="21"/>
                                  <w:szCs w:val="24"/>
                                  <w:lang w:eastAsia="zh-CN"/>
                                </w:rPr>
                              </w:pPr>
                              <w:r>
                                <w:rPr>
                                  <w:rFonts w:hint="eastAsia" w:ascii="Calibri" w:hAnsi="Calibri" w:eastAsia="宋体"/>
                                  <w:sz w:val="21"/>
                                  <w:szCs w:val="24"/>
                                  <w:lang w:eastAsia="zh-CN"/>
                                </w:rPr>
                                <w:t>采购人支付资金</w:t>
                              </w:r>
                            </w:p>
                          </w:txbxContent>
                        </wps:txbx>
                        <wps:bodyPr upright="true"/>
                      </wps:wsp>
                      <wps:wsp>
                        <wps:cNvPr id="78" name="文本框 78"/>
                        <wps:cNvSpPr txBox="true"/>
                        <wps:spPr>
                          <a:xfrm>
                            <a:off x="9819" y="2505"/>
                            <a:ext cx="3276" cy="88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Calibri" w:hAnsi="Calibri" w:eastAsia="宋体"/>
                                  <w:sz w:val="21"/>
                                  <w:szCs w:val="24"/>
                                  <w:lang w:val="en" w:eastAsia="zh-CN"/>
                                </w:rPr>
                              </w:pPr>
                              <w:r>
                                <w:rPr>
                                  <w:rFonts w:hint="eastAsia" w:ascii="Calibri" w:hAnsi="Calibri" w:eastAsia="宋体"/>
                                  <w:sz w:val="21"/>
                                  <w:szCs w:val="24"/>
                                  <w:lang w:val="en" w:eastAsia="zh-CN"/>
                                </w:rPr>
                                <w:t>采购预算编制、预算下达</w:t>
                              </w:r>
                            </w:p>
                            <w:p>
                              <w:pPr>
                                <w:rPr>
                                  <w:rFonts w:hint="eastAsia" w:ascii="Calibri" w:hAnsi="Calibri" w:eastAsia="宋体"/>
                                  <w:sz w:val="21"/>
                                  <w:szCs w:val="24"/>
                                  <w:lang w:val="en" w:eastAsia="zh-CN"/>
                                </w:rPr>
                              </w:pPr>
                              <w:r>
                                <w:rPr>
                                  <w:rFonts w:hint="eastAsia" w:ascii="Calibri" w:hAnsi="Calibri" w:eastAsia="宋体"/>
                                  <w:sz w:val="21"/>
                                  <w:szCs w:val="24"/>
                                  <w:lang w:val="en" w:eastAsia="zh-CN"/>
                                </w:rPr>
                                <w:t>（落实预留中小企业采购份额）</w:t>
                              </w:r>
                            </w:p>
                          </w:txbxContent>
                        </wps:txbx>
                        <wps:bodyPr upright="true"/>
                      </wps:wsp>
                      <wps:wsp>
                        <wps:cNvPr id="79" name="文本框 79"/>
                        <wps:cNvSpPr txBox="true"/>
                        <wps:spPr>
                          <a:xfrm>
                            <a:off x="10638" y="3895"/>
                            <a:ext cx="1607" cy="43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Calibri" w:hAnsi="Calibri" w:eastAsia="宋体"/>
                                  <w:sz w:val="21"/>
                                  <w:szCs w:val="24"/>
                                  <w:lang w:eastAsia="zh-CN"/>
                                </w:rPr>
                              </w:pPr>
                              <w:r>
                                <w:rPr>
                                  <w:rFonts w:hint="eastAsia" w:ascii="Calibri" w:hAnsi="Calibri" w:eastAsia="宋体"/>
                                  <w:sz w:val="21"/>
                                  <w:szCs w:val="24"/>
                                  <w:lang w:eastAsia="zh-CN"/>
                                </w:rPr>
                                <w:t>采购意向公开</w:t>
                              </w:r>
                            </w:p>
                          </w:txbxContent>
                        </wps:txbx>
                        <wps:bodyPr upright="true"/>
                      </wps:wsp>
                      <wps:wsp>
                        <wps:cNvPr id="80" name="文本框 80"/>
                        <wps:cNvSpPr txBox="true"/>
                        <wps:spPr>
                          <a:xfrm>
                            <a:off x="9272" y="4778"/>
                            <a:ext cx="4476" cy="75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Calibri" w:hAnsi="Calibri" w:eastAsia="宋体"/>
                                  <w:sz w:val="21"/>
                                  <w:szCs w:val="24"/>
                                  <w:lang w:eastAsia="zh-CN"/>
                                </w:rPr>
                              </w:pPr>
                              <w:r>
                                <w:rPr>
                                  <w:rFonts w:hint="eastAsia" w:ascii="Calibri" w:hAnsi="Calibri" w:eastAsia="宋体"/>
                                  <w:sz w:val="21"/>
                                  <w:szCs w:val="24"/>
                                  <w:lang w:eastAsia="zh-CN"/>
                                </w:rPr>
                                <w:t>采购需求论证或调查，内部审查，需求公示</w:t>
                              </w:r>
                            </w:p>
                            <w:p>
                              <w:pPr>
                                <w:jc w:val="center"/>
                                <w:rPr>
                                  <w:rFonts w:hint="eastAsia" w:ascii="Calibri" w:hAnsi="Calibri" w:eastAsia="宋体"/>
                                  <w:sz w:val="21"/>
                                  <w:szCs w:val="24"/>
                                  <w:lang w:eastAsia="zh-CN"/>
                                </w:rPr>
                              </w:pPr>
                              <w:r>
                                <w:rPr>
                                  <w:rFonts w:hint="eastAsia" w:ascii="Calibri" w:hAnsi="Calibri" w:eastAsia="宋体"/>
                                  <w:sz w:val="21"/>
                                  <w:szCs w:val="24"/>
                                  <w:lang w:eastAsia="zh-CN"/>
                                </w:rPr>
                                <w:t>（可委托代理机构）</w:t>
                              </w:r>
                            </w:p>
                          </w:txbxContent>
                        </wps:txbx>
                        <wps:bodyPr upright="true"/>
                      </wps:wsp>
                      <wps:wsp>
                        <wps:cNvPr id="81" name="文本框 81"/>
                        <wps:cNvSpPr txBox="true"/>
                        <wps:spPr>
                          <a:xfrm>
                            <a:off x="9807" y="7071"/>
                            <a:ext cx="3346" cy="48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Calibri" w:hAnsi="Calibri" w:eastAsia="宋体"/>
                                  <w:sz w:val="21"/>
                                  <w:szCs w:val="24"/>
                                  <w:lang w:eastAsia="zh-CN"/>
                                </w:rPr>
                              </w:pPr>
                              <w:r>
                                <w:rPr>
                                  <w:rFonts w:hint="eastAsia" w:ascii="Calibri" w:hAnsi="Calibri" w:eastAsia="宋体"/>
                                  <w:sz w:val="21"/>
                                  <w:szCs w:val="24"/>
                                  <w:lang w:eastAsia="zh-CN"/>
                                </w:rPr>
                                <w:t>项目进场交易，发布采购公告</w:t>
                              </w:r>
                            </w:p>
                          </w:txbxContent>
                        </wps:txbx>
                        <wps:bodyPr upright="true"/>
                      </wps:wsp>
                      <wps:wsp>
                        <wps:cNvPr id="82" name="文本框 82"/>
                        <wps:cNvSpPr txBox="true"/>
                        <wps:spPr>
                          <a:xfrm>
                            <a:off x="10207" y="8127"/>
                            <a:ext cx="2448" cy="47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Calibri" w:hAnsi="Calibri" w:eastAsia="宋体"/>
                                  <w:sz w:val="21"/>
                                  <w:szCs w:val="24"/>
                                  <w:lang w:eastAsia="zh-CN"/>
                                </w:rPr>
                              </w:pPr>
                              <w:r>
                                <w:rPr>
                                  <w:rFonts w:hint="eastAsia" w:ascii="Calibri" w:hAnsi="Calibri" w:eastAsia="宋体"/>
                                  <w:sz w:val="21"/>
                                  <w:szCs w:val="24"/>
                                  <w:lang w:eastAsia="zh-CN"/>
                                </w:rPr>
                                <w:t>项目开标，专家评标</w:t>
                              </w:r>
                            </w:p>
                          </w:txbxContent>
                        </wps:txbx>
                        <wps:bodyPr upright="true"/>
                      </wps:wsp>
                      <wps:wsp>
                        <wps:cNvPr id="83" name="文本框 83"/>
                        <wps:cNvSpPr txBox="true"/>
                        <wps:spPr>
                          <a:xfrm>
                            <a:off x="10599" y="6025"/>
                            <a:ext cx="1754" cy="47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Calibri" w:hAnsi="Calibri" w:eastAsia="宋体"/>
                                  <w:sz w:val="21"/>
                                  <w:szCs w:val="24"/>
                                  <w:lang w:eastAsia="zh-CN"/>
                                </w:rPr>
                              </w:pPr>
                              <w:r>
                                <w:rPr>
                                  <w:rFonts w:hint="eastAsia" w:ascii="Calibri" w:hAnsi="Calibri" w:eastAsia="宋体"/>
                                  <w:sz w:val="21"/>
                                  <w:szCs w:val="24"/>
                                  <w:lang w:eastAsia="zh-CN"/>
                                </w:rPr>
                                <w:t>采购计划备案</w:t>
                              </w:r>
                            </w:p>
                          </w:txbxContent>
                        </wps:txbx>
                        <wps:bodyPr upright="true"/>
                      </wps:wsp>
                      <wps:wsp>
                        <wps:cNvPr id="84" name="直接连接符 84"/>
                        <wps:cNvCnPr/>
                        <wps:spPr>
                          <a:xfrm>
                            <a:off x="11399" y="3455"/>
                            <a:ext cx="1" cy="450"/>
                          </a:xfrm>
                          <a:prstGeom prst="line">
                            <a:avLst/>
                          </a:prstGeom>
                          <a:ln w="9525" cap="flat" cmpd="sng">
                            <a:solidFill>
                              <a:srgbClr val="000000"/>
                            </a:solidFill>
                            <a:prstDash val="solid"/>
                            <a:headEnd type="triangle" w="med" len="med"/>
                            <a:tailEnd type="triangle" w="med" len="med"/>
                          </a:ln>
                        </wps:spPr>
                        <wps:bodyPr upright="true"/>
                      </wps:wsp>
                      <wps:wsp>
                        <wps:cNvPr id="85" name="直接连接符 85"/>
                        <wps:cNvCnPr/>
                        <wps:spPr>
                          <a:xfrm>
                            <a:off x="11419" y="4330"/>
                            <a:ext cx="1" cy="450"/>
                          </a:xfrm>
                          <a:prstGeom prst="line">
                            <a:avLst/>
                          </a:prstGeom>
                          <a:ln w="9525" cap="flat" cmpd="sng">
                            <a:solidFill>
                              <a:srgbClr val="000000"/>
                            </a:solidFill>
                            <a:prstDash val="solid"/>
                            <a:headEnd type="none" w="med" len="med"/>
                            <a:tailEnd type="arrow" w="med" len="med"/>
                          </a:ln>
                        </wps:spPr>
                        <wps:bodyPr upright="true"/>
                      </wps:wsp>
                      <wps:wsp>
                        <wps:cNvPr id="86" name="直接连接符 86"/>
                        <wps:cNvCnPr/>
                        <wps:spPr>
                          <a:xfrm>
                            <a:off x="11451" y="5541"/>
                            <a:ext cx="1" cy="450"/>
                          </a:xfrm>
                          <a:prstGeom prst="line">
                            <a:avLst/>
                          </a:prstGeom>
                          <a:ln w="9525" cap="flat" cmpd="sng">
                            <a:solidFill>
                              <a:srgbClr val="000000"/>
                            </a:solidFill>
                            <a:prstDash val="solid"/>
                            <a:headEnd type="none" w="med" len="med"/>
                            <a:tailEnd type="arrow" w="med" len="med"/>
                          </a:ln>
                        </wps:spPr>
                        <wps:bodyPr upright="true"/>
                      </wps:wsp>
                      <wps:wsp>
                        <wps:cNvPr id="87" name="直接连接符 87"/>
                        <wps:cNvCnPr/>
                        <wps:spPr>
                          <a:xfrm flipH="true">
                            <a:off x="8140" y="4132"/>
                            <a:ext cx="10" cy="692"/>
                          </a:xfrm>
                          <a:prstGeom prst="line">
                            <a:avLst/>
                          </a:prstGeom>
                          <a:ln w="9525" cap="flat" cmpd="sng">
                            <a:solidFill>
                              <a:srgbClr val="000000"/>
                            </a:solidFill>
                            <a:prstDash val="solid"/>
                            <a:headEnd type="none" w="med" len="med"/>
                            <a:tailEnd type="arrow" w="med" len="med"/>
                          </a:ln>
                        </wps:spPr>
                        <wps:bodyPr upright="true"/>
                      </wps:wsp>
                      <wps:wsp>
                        <wps:cNvPr id="88" name="直接连接符 88"/>
                        <wps:cNvCnPr/>
                        <wps:spPr>
                          <a:xfrm>
                            <a:off x="8173" y="5215"/>
                            <a:ext cx="1" cy="1049"/>
                          </a:xfrm>
                          <a:prstGeom prst="line">
                            <a:avLst/>
                          </a:prstGeom>
                          <a:ln w="9525" cap="flat" cmpd="sng">
                            <a:solidFill>
                              <a:srgbClr val="000000"/>
                            </a:solidFill>
                            <a:prstDash val="solid"/>
                            <a:headEnd type="none" w="med" len="med"/>
                            <a:tailEnd type="arrow" w="med" len="med"/>
                          </a:ln>
                        </wps:spPr>
                        <wps:bodyPr upright="true"/>
                      </wps:wsp>
                      <wps:wsp>
                        <wps:cNvPr id="89" name="直接连接符 89"/>
                        <wps:cNvCnPr/>
                        <wps:spPr>
                          <a:xfrm flipV="true">
                            <a:off x="8148" y="6265"/>
                            <a:ext cx="2434" cy="1"/>
                          </a:xfrm>
                          <a:prstGeom prst="line">
                            <a:avLst/>
                          </a:prstGeom>
                          <a:ln w="9525" cap="flat" cmpd="sng">
                            <a:solidFill>
                              <a:srgbClr val="000000"/>
                            </a:solidFill>
                            <a:prstDash val="solid"/>
                            <a:headEnd type="none" w="med" len="med"/>
                            <a:tailEnd type="arrow" w="med" len="med"/>
                          </a:ln>
                        </wps:spPr>
                        <wps:bodyPr upright="true"/>
                      </wps:wsp>
                      <wps:wsp>
                        <wps:cNvPr id="90" name="直接连接符 90"/>
                        <wps:cNvCnPr/>
                        <wps:spPr>
                          <a:xfrm>
                            <a:off x="11472" y="7565"/>
                            <a:ext cx="10" cy="530"/>
                          </a:xfrm>
                          <a:prstGeom prst="line">
                            <a:avLst/>
                          </a:prstGeom>
                          <a:ln w="9525" cap="flat" cmpd="sng">
                            <a:solidFill>
                              <a:srgbClr val="000000"/>
                            </a:solidFill>
                            <a:prstDash val="solid"/>
                            <a:headEnd type="none" w="med" len="med"/>
                            <a:tailEnd type="arrow" w="med" len="med"/>
                          </a:ln>
                        </wps:spPr>
                        <wps:bodyPr upright="true"/>
                      </wps:wsp>
                      <wps:wsp>
                        <wps:cNvPr id="91" name="直接连接符 91"/>
                        <wps:cNvCnPr/>
                        <wps:spPr>
                          <a:xfrm flipH="true">
                            <a:off x="11468" y="6538"/>
                            <a:ext cx="1" cy="542"/>
                          </a:xfrm>
                          <a:prstGeom prst="line">
                            <a:avLst/>
                          </a:prstGeom>
                          <a:ln w="9525" cap="flat" cmpd="sng">
                            <a:solidFill>
                              <a:srgbClr val="000000"/>
                            </a:solidFill>
                            <a:prstDash val="solid"/>
                            <a:headEnd type="none" w="med" len="med"/>
                            <a:tailEnd type="arrow" w="med" len="med"/>
                          </a:ln>
                        </wps:spPr>
                        <wps:bodyPr upright="true"/>
                      </wps:wsp>
                      <wps:wsp>
                        <wps:cNvPr id="92" name="直接连接符 92"/>
                        <wps:cNvCnPr/>
                        <wps:spPr>
                          <a:xfrm flipH="true">
                            <a:off x="11513" y="8630"/>
                            <a:ext cx="1" cy="542"/>
                          </a:xfrm>
                          <a:prstGeom prst="line">
                            <a:avLst/>
                          </a:prstGeom>
                          <a:ln w="9525" cap="flat" cmpd="sng">
                            <a:solidFill>
                              <a:srgbClr val="000000"/>
                            </a:solidFill>
                            <a:prstDash val="solid"/>
                            <a:headEnd type="none" w="med" len="med"/>
                            <a:tailEnd type="arrow" w="med" len="med"/>
                          </a:ln>
                        </wps:spPr>
                        <wps:bodyPr upright="true"/>
                      </wps:wsp>
                      <wps:wsp>
                        <wps:cNvPr id="93" name="直接连接符 93"/>
                        <wps:cNvCnPr/>
                        <wps:spPr>
                          <a:xfrm flipH="true">
                            <a:off x="11568" y="9701"/>
                            <a:ext cx="1" cy="542"/>
                          </a:xfrm>
                          <a:prstGeom prst="line">
                            <a:avLst/>
                          </a:prstGeom>
                          <a:ln w="9525" cap="flat" cmpd="sng">
                            <a:solidFill>
                              <a:srgbClr val="000000"/>
                            </a:solidFill>
                            <a:prstDash val="solid"/>
                            <a:headEnd type="none" w="med" len="med"/>
                            <a:tailEnd type="arrow" w="med" len="med"/>
                          </a:ln>
                        </wps:spPr>
                        <wps:bodyPr upright="true"/>
                      </wps:wsp>
                      <wps:wsp>
                        <wps:cNvPr id="94" name="直接连接符 94"/>
                        <wps:cNvCnPr/>
                        <wps:spPr>
                          <a:xfrm>
                            <a:off x="11389" y="3667"/>
                            <a:ext cx="2236" cy="1"/>
                          </a:xfrm>
                          <a:prstGeom prst="line">
                            <a:avLst/>
                          </a:prstGeom>
                          <a:ln w="9525" cap="flat" cmpd="sng">
                            <a:solidFill>
                              <a:srgbClr val="000000"/>
                            </a:solidFill>
                            <a:prstDash val="solid"/>
                            <a:headEnd type="none" w="med" len="med"/>
                            <a:tailEnd type="arrow" w="med" len="med"/>
                          </a:ln>
                        </wps:spPr>
                        <wps:bodyPr upright="true"/>
                      </wps:wsp>
                      <wps:wsp>
                        <wps:cNvPr id="95" name="文本框 95"/>
                        <wps:cNvSpPr txBox="true"/>
                        <wps:spPr>
                          <a:xfrm>
                            <a:off x="13652" y="3300"/>
                            <a:ext cx="1950" cy="75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Calibri" w:hAnsi="Calibri" w:eastAsia="宋体"/>
                                  <w:sz w:val="21"/>
                                  <w:szCs w:val="24"/>
                                  <w:lang w:eastAsia="zh-CN"/>
                                </w:rPr>
                              </w:pPr>
                              <w:r>
                                <w:rPr>
                                  <w:rFonts w:hint="eastAsia" w:ascii="Calibri" w:hAnsi="Calibri" w:eastAsia="宋体"/>
                                  <w:sz w:val="21"/>
                                  <w:szCs w:val="24"/>
                                  <w:lang w:eastAsia="zh-CN"/>
                                </w:rPr>
                                <w:t>意向公开也可在预算下达前公开</w:t>
                              </w:r>
                            </w:p>
                          </w:txbxContent>
                        </wps:txbx>
                        <wps:bodyPr upright="true"/>
                      </wps:wsp>
                    </wpg:wgp>
                  </a:graphicData>
                </a:graphic>
              </wp:anchor>
            </w:drawing>
          </mc:Choice>
          <mc:Fallback>
            <w:pict>
              <v:group id="_x0000_s1026" o:spid="_x0000_s1026" o:spt="203" style="position:absolute;left:0pt;margin-left:36.8pt;margin-top:7.7pt;height:691.6pt;width:373.1pt;z-index:251683840;mso-width-relative:page;mso-height-relative:page;" coordorigin="8140,2505" coordsize="7462,13832" o:gfxdata="UEsFBgAAAAAAAAAAAAAAAAAAAAAAAFBLAwQKAAAAAACHTuJAAAAAAAAAAAAAAAAABAAAAGRycy9Q&#10;SwMEFAAAAAgAh07iQMXnGvHaAAAACgEAAA8AAABkcnMvZG93bnJldi54bWxNj8FOwzAQRO9I/IO1&#10;SNyoY0JDmsapUAWcKiRaJNSbm2yTqPE6it2k/XuWExx3ZjT7Jl9dbCdGHHzrSIOaRSCQSle1VGv4&#10;2r09pCB8MFSZzhFquKKHVXF7k5uschN94rgNteAS8pnR0ITQZ1L6skFr/Mz1SOwd3WBN4HOoZTWY&#10;icttJx+jKJHWtMQfGtPjusHytD1bDe+TmV5i9TpuTsf1db+bf3xvFGp9f6eiJYiAl/AXhl98RoeC&#10;mQ7uTJUXnYbnOOEk6/MnEOynasFTDizEizQBWeTy/4TiB1BLAwQUAAAACACHTuJA+Yz+eb0GAABt&#10;RQAADgAAAGRycy9lMm9Eb2MueG1s7VxLj9tUFN4j8R8s72l8/XbUTCVaWhYIKhXYexwnseSXrj2T&#10;zB4BK8SKDQiJBay6ZMeCX8OUn8F3H37EiWcmGdG6E88i4/jaN/bx5++c851jP36ySWLlMqRFlKUz&#10;lTzSVCVMg2wepcuZ+tWXzz9yVaUo/XTux1kaztSrsFCfnH34weN1Pg31bJXF85AqmCQtput8pq7K&#10;Mp9OJkWwChO/eJTlYYrBRUYTv8RXupzMqb/G7Ek80TXNnqwzOs9pFoRFgbXPxKB6xudfLMKg/GKx&#10;KMJSiWcqjq3kn5R/nrPPydljf7qkfr6KAnkY/hFHkfhRih+tp3rml75yQaOdqZIooFmRLcpHQZZM&#10;ssUiCkJ+DjgbonXO5gXNLnJ+LsvpepnXZoJpO3Y6etrg88uXVInmM9WzVSX1E1yjN39988+P3ytY&#10;Aeus8+UUG72g+av8JZUrluIbO+HNgibsP05F2XC7XtV2DTelEmCl6Riu4cD8AcZcxzUMXVo+WOHy&#10;sP1cYmIcw7qlWeKqBKtP5P6OaetiZ4KJdDY8qX55wg6wPp51DhgVjaWK+1nq1crPQ34BCmYEaSm7&#10;ttT1T99d//L6+rdvFazjtuHbMUsp5ebjDCdW0ouwGiqwfo/NiGabOD+cPDFdQ1qmsp2uwVbccJbm&#10;bJ25P81pUb4Is0RhCzOVAu0chP7lZ0UpjFRtwn62yOJo/jyKY/6FLs+fxlS59HFnPOd/cvatzeJU&#10;WQMblm7hIHzcoIvYL7GY5IBMkS75723tUbQn1vjfvonZgT3zi5U4AD4D28yfJlEZUr60Cv35J+lc&#10;Ka9yoDIFf6jsYJJwripxCLphS3zL0o/iu2wJ1MQpwMNgIi4GWyo35xtMwxbPs/kVrt1FTqPlCiat&#10;rh7fA8ASW/3/CHOqe7GFMH712UECiQcjzHFBxAxhhuuZwmgVwohrsIuLQdMmbKi+t0aEPVyEAQ6C&#10;7VsIc9nVPw5hnm1LgOmexufxpxXATI2AMTnACOf2EWAnQGHeHoB59wCY54kAgRDPM7YZzNBNIgHm&#10;jT7yRHwkiye7DIZ1RzMYojANmGU+khCQGSZqKAyYqyhMHxF2KggDqewgjEdIx/lIolmGdJKaLtKY&#10;BmG6ZiPo405S5+AbneTDd5IO0j6Zc//85/UPv//796/4fPP6DwUjDZM9TWXmXWUtIvlVFnGUfyqT&#10;FMZWMgcnxHJMwWQAFU9MG5xVjtLlWUA/yOII6RabtCeZfPuJ4bHpoE9ptt6fOeL09+SDA0kCHaMX&#10;HDz+kSR0MDhsTYoNkFo4yhpwSJXF8LY1lp08cATHu1YI2A3ewxz8xr4ZHFtkYROJB8NwOmEP4iHm&#10;kSwhSo1kMWCygITTgweech+ChyqTNw2HJ2wNP0g8mAhj4J1GPAwYD7VG/aYbWbSV6h7nscUPTsUP&#10;iF559DviYW8CNOxgYo+i7NxLUbZlwYZYrtGBxVizOMGaBWKH3WyZ+4njsmXPJUKOaSqClaBs6Mhq&#10;eGTiCkbq90RjTey26tl+2hpeTQyxyC6+7iEoQ++TagxKYrLkXAGM2Ki1CjHmtlBnBNhDAZi7R1DG&#10;ukaGObDo6ulM3mFlVaebV5lmRWCOxSE8EtjDF/vgqnYITLivYx0kIyngy9GcTgBmGGZVrnC5VjTi&#10;6wTwBbbplivctox8IH8RdB4JgLlEFL2axE83TYR7vFohlOoRYCcAsFqQbnpGBL0cR2Coh3kixIck&#10;3Y3AHAsK5wiwk2p7Q01KMlhXtBLVqgNETEMiyzCtLrIkrCwe2vXz1tBrHCWN/HQZ37En8uatYYXh&#10;Splur7SNkSY6v4uUaUpJwTS6bbZVWfR9R8Xdu2Tf17Ko26tsY+RAOFi47Ky+ZaF/DLs28c0Ih1Z/&#10;9bDZoRa2d3xGW97uYYe+For6cQSTdBt1iGzHt8ciOW6ZYWOjlqR3sNEWpnuw0SqCuYQ1YzCm0EUH&#10;8w5TEM28RcgZejxxAp6jVpB34NDWkXvgwKni691uK1CFaOqzdbsTauqmIZMY7l7e31jz4WODNZfv&#10;75/AyIFRhZR9HauLh8p1jP00zKSDdh1eLdZ2uQIjt+KhL6wgxJTNNTZrBcY8O47EwqOAwjjVk5XV&#10;I3zyKb/Rj7zr3jsEfn1c0ZZbb/Ij+7t2iQgyXLsnOx2xMXzeqDXSHd64V9OuJXnDc7T9qeqIjeFj&#10;o1feFI/kHiJvukI4N2w8NbLlRnTdkKW/MeYceoxRC5tNPUV0ohxZTzFsS3QcQN7kUWsruvCgbPJ6&#10;ioNtbgwwxo6Wt9DRwl9bgXd6cIjK94+wl4a0v2O5/ZaUs/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gkAAFtDb250ZW50X1R5cGVzXS54bWxQ&#10;SwECFAAKAAAAAACHTuJAAAAAAAAAAAAAAAAABgAAAAAAAAAAABAAAAAoCAAAX3JlbHMvUEsBAhQA&#10;FAAAAAgAh07iQIoUZjzRAAAAlAEAAAsAAAAAAAAAAQAgAAAATAgAAF9yZWxzLy5yZWxzUEsBAhQA&#10;CgAAAAAAh07iQAAAAAAAAAAAAAAAAAQAAAAAAAAAAAAQAAAAFgAAAGRycy9QSwECFAAUAAAACACH&#10;TuJAxeca8doAAAAKAQAADwAAAAAAAAABACAAAAA4AAAAZHJzL2Rvd25yZXYueG1sUEsBAhQAFAAA&#10;AAgAh07iQPmM/nm9BgAAbUUAAA4AAAAAAAAAAQAgAAAAPwEAAGRycy9lMm9Eb2MueG1sUEsFBgAA&#10;AAAGAAYAWQEAAG4KAAAAAA==&#10;">
                <o:lock v:ext="edit" aspectratio="f"/>
                <v:shape id="_x0000_s1026" o:spid="_x0000_s1026" o:spt="202" type="#_x0000_t202" style="position:absolute;left:10642;top:14830;height:507;width:2020;" fillcolor="#FFFFFF" filled="t" stroked="t" coordsize="21600,21600" o:gfxdata="UEsFBgAAAAAAAAAAAAAAAAAAAAAAAFBLAwQKAAAAAACHTuJAAAAAAAAAAAAAAAAABAAAAGRycy9Q&#10;SwMEFAAAAAgAh07iQMHnkUu9AAAA2wAAAA8AAABkcnMvZG93bnJldi54bWxFj09rAjEUxO8Fv0N4&#10;gpeiWf+w6mr0UKjYW6ui18fmubu4eVmTuOq3bwpCj8PM/IZZrh+mFi05X1lWMBwkIIhzqysuFBz2&#10;n/0ZCB+QNdaWScGTPKxXnbclZtre+YfaXShEhLDPUEEZQpNJ6fOSDPqBbYijd7bOYIjSFVI7vEe4&#10;qeUoSVJpsOK4UGJDHyXll93NKJhNtu3Jf42/j3l6rufhfdpurk6pXneYLEAEeoT/8Ku91QrSFP6+&#10;xB8gV7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eeRS70AAADb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jc w:val="center"/>
                          <w:rPr>
                            <w:rFonts w:hint="eastAsia" w:ascii="Calibri" w:hAnsi="Calibri" w:eastAsia="宋体"/>
                            <w:sz w:val="21"/>
                            <w:szCs w:val="24"/>
                            <w:lang w:eastAsia="zh-CN"/>
                          </w:rPr>
                        </w:pPr>
                        <w:r>
                          <w:rPr>
                            <w:rFonts w:hint="eastAsia" w:ascii="Calibri" w:hAnsi="Calibri" w:eastAsia="宋体"/>
                            <w:sz w:val="21"/>
                            <w:szCs w:val="24"/>
                            <w:lang w:eastAsia="zh-CN"/>
                          </w:rPr>
                          <w:t>供应商开具发票</w:t>
                        </w:r>
                      </w:p>
                    </w:txbxContent>
                  </v:textbox>
                </v:shape>
                <v:shape id="_x0000_s1026" o:spid="_x0000_s1026" o:spt="202" type="#_x0000_t202" style="position:absolute;left:10788;top:13894;height:461;width:1835;" fillcolor="#FFFFFF" filled="t" stroked="t" coordsize="21600,21600" o:gfxdata="UEsFBgAAAAAAAAAAAAAAAAAAAAAAAFBLAwQKAAAAAACHTuJAAAAAAAAAAAAAAAAABAAAAGRycy9Q&#10;SwMEFAAAAAgAh07iQK6rNNC+AAAA2wAAAA8AAABkcnMvZG93bnJldi54bWxFj09rAjEUxO8Fv0N4&#10;gpeiWbWsuho9FFr0Vv+g18fmubu4eVmTdNVvbwoFj8PM/IZZrO6mFi05X1lWMBwkIIhzqysuFBz2&#10;X/0pCB+QNdaWScGDPKyWnbcFZtreeEvtLhQiQthnqKAMocmk9HlJBv3ANsTRO1tnMETpCqkd3iLc&#10;1HKUJKk0WHFcKLGhz5Lyy+7XKJh+rNuT34x/jnl6rmfhfdJ+X51Sve4wmYMIdA+v8H97rRWkE/j7&#10;En+AXD4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6rNNC+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jc w:val="center"/>
                          <w:rPr>
                            <w:rFonts w:hint="eastAsia" w:ascii="Calibri" w:hAnsi="Calibri" w:eastAsia="宋体"/>
                            <w:sz w:val="21"/>
                            <w:szCs w:val="24"/>
                            <w:lang w:eastAsia="zh-CN"/>
                          </w:rPr>
                        </w:pPr>
                        <w:r>
                          <w:rPr>
                            <w:rFonts w:hint="eastAsia" w:ascii="Calibri" w:hAnsi="Calibri" w:eastAsia="宋体"/>
                            <w:sz w:val="21"/>
                            <w:szCs w:val="24"/>
                            <w:lang w:eastAsia="zh-CN"/>
                          </w:rPr>
                          <w:t>发布验收报告</w:t>
                        </w:r>
                      </w:p>
                    </w:txbxContent>
                  </v:textbox>
                </v:shape>
                <v:shape id="_x0000_s1026" o:spid="_x0000_s1026" o:spt="202" type="#_x0000_t202" style="position:absolute;left:9668;top:12908;height:415;width:4016;" fillcolor="#FFFFFF" filled="t" stroked="t" coordsize="21600,21600" o:gfxdata="UEsFBgAAAAAAAAAAAAAAAAAAAAAAAFBLAwQKAAAAAACHTuJAAAAAAAAAAAAAAAAABAAAAGRycy9Q&#10;SwMEFAAAAAgAh07iQN80oKK7AAAA2wAAAA8AAABkcnMvZG93bnJldi54bWxFT7tuwjAU3ZH6D9at&#10;1AWBkxalNGAyVGpFNx4VXa/sSxIRX6e2G+Dv8VCJ8ei8l9XFdmIgH1rHCvJpBoJYO9NyreB7/zGZ&#10;gwgR2WDnmBRcKUC1ehgtsTTuzFsadrEWKYRDiQqaGPtSyqAbshimridO3NF5izFBX0vj8ZzCbSef&#10;s6yQFltODQ329N6QPu3+rIL5bD38hK+XzUEXx+4tjl+Hz1+v1NNjni1ARLrEu/jfvTYKijQ2fUk/&#10;QK5u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80oKK7AAAA2wAAAA8AAAAAAAAAAQAgAAAAOAAAAGRycy9kb3ducmV2Lnht&#10;bFBLAQIUABQAAAAIAIdO4kAzLwWeOwAAADkAAAAQAAAAAAAAAAEAIAAAACABAABkcnMvc2hhcGV4&#10;bWwueG1sUEsFBgAAAAAGAAYAWwEAAMoDAAAAAA==&#10;">
                  <v:fill on="t" focussize="0,0"/>
                  <v:stroke color="#000000" joinstyle="miter"/>
                  <v:imagedata o:title=""/>
                  <o:lock v:ext="edit" aspectratio="f"/>
                  <v:textbox>
                    <w:txbxContent>
                      <w:p>
                        <w:pPr>
                          <w:jc w:val="center"/>
                          <w:rPr>
                            <w:rFonts w:hint="eastAsia" w:ascii="Calibri" w:hAnsi="Calibri" w:eastAsia="宋体"/>
                            <w:sz w:val="21"/>
                            <w:szCs w:val="24"/>
                            <w:lang w:eastAsia="zh-CN"/>
                          </w:rPr>
                        </w:pPr>
                        <w:r>
                          <w:rPr>
                            <w:rFonts w:hint="eastAsia" w:ascii="Calibri" w:hAnsi="Calibri" w:eastAsia="宋体"/>
                            <w:sz w:val="21"/>
                            <w:szCs w:val="24"/>
                            <w:lang w:eastAsia="zh-CN"/>
                          </w:rPr>
                          <w:t>采购人组成验收小组，开展履约验收</w:t>
                        </w:r>
                      </w:p>
                    </w:txbxContent>
                  </v:textbox>
                </v:shape>
                <v:shape id="_x0000_s1026" o:spid="_x0000_s1026" o:spt="202" type="#_x0000_t202" style="position:absolute;left:9990;top:11993;height:497;width:3241;" fillcolor="#FFFFFF" filled="t" stroked="t" coordsize="21600,21600" o:gfxdata="UEsFBgAAAAAAAAAAAAAAAAAAAAAAAFBLAwQKAAAAAACHTuJAAAAAAAAAAAAAAAAABAAAAGRycy9Q&#10;SwMEFAAAAAgAh07iQLB4BTm+AAAA2wAAAA8AAABkcnMvZG93bnJldi54bWxFj09rAjEUxO8Fv0N4&#10;gpeiWbWsuho9FFr0Vv+g18fmubu4eVmTdNVvbwoFj8PM/IZZrO6mFi05X1lWMBwkIIhzqysuFBz2&#10;X/0pCB+QNdaWScGDPKyWnbcFZtreeEvtLhQiQthnqKAMocmk9HlJBv3ANsTRO1tnMETpCqkd3iLc&#10;1HKUJKk0WHFcKLGhz5Lyy+7XKJh+rNuT34x/jnl6rmfhfdJ+X51Sve4wmYMIdA+v8H97rRWkM/j7&#10;En+AXD4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B4BTm+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jc w:val="center"/>
                          <w:rPr>
                            <w:rFonts w:hint="default" w:ascii="Calibri" w:hAnsi="Calibri" w:eastAsia="宋体"/>
                            <w:sz w:val="21"/>
                            <w:szCs w:val="24"/>
                            <w:lang w:val="en-US" w:eastAsia="zh-CN"/>
                          </w:rPr>
                        </w:pPr>
                        <w:r>
                          <w:rPr>
                            <w:rFonts w:hint="eastAsia" w:ascii="Calibri" w:hAnsi="Calibri" w:eastAsia="宋体"/>
                            <w:sz w:val="21"/>
                            <w:szCs w:val="24"/>
                            <w:lang w:eastAsia="zh-CN"/>
                          </w:rPr>
                          <w:t>供应商履约后，提出验收申请</w:t>
                        </w:r>
                      </w:p>
                    </w:txbxContent>
                  </v:textbox>
                </v:shape>
                <v:shape id="_x0000_s1026" o:spid="_x0000_s1026" o:spt="202" type="#_x0000_t202" style="position:absolute;left:10609;top:11168;height:427;width:1996;" fillcolor="#FFFFFF" filled="t" stroked="t" coordsize="21600,21600" o:gfxdata="UEsFBgAAAAAAAAAAAAAAAAAAAAAAAFBLAwQKAAAAAACHTuJAAAAAAAAAAAAAAAAABAAAAGRycy9Q&#10;SwMEFAAAAAgAh07iQKSbOnm8AAAA2wAAAA8AAABkcnMvZG93bnJldi54bWxFTz1vwjAQ3Sv1P1hX&#10;qUsFDi0KNGAYkFqFjQZE11N8JBHxOdhukv77ekDq+PS+19vRtKIn5xvLCmbTBARxaXXDlYLT8WOy&#10;BOEDssbWMin4JQ/bzePDGjNtB/6ivgiViCHsM1RQh9BlUvqyJoN+ajviyF2sMxgidJXUDocYblr5&#10;miSpNNhwbKixo11N5bX4MQqW87z/9vu3w7lML+17eFn0nzen1PPTLFmBCDSGf/HdnWsFi7g+fok/&#10;QG7+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kmzp5vAAAANsAAAAPAAAAAAAAAAEAIAAAADgAAABkcnMvZG93bnJldi54&#10;bWxQSwECFAAUAAAACACHTuJAMy8FnjsAAAA5AAAAEAAAAAAAAAABACAAAAAhAQAAZHJzL3NoYXBl&#10;eG1sLnhtbFBLBQYAAAAABgAGAFsBAADLAwAAAAA=&#10;">
                  <v:fill on="t" focussize="0,0"/>
                  <v:stroke color="#000000" joinstyle="miter"/>
                  <v:imagedata o:title=""/>
                  <o:lock v:ext="edit" aspectratio="f"/>
                  <v:textbox>
                    <w:txbxContent>
                      <w:p>
                        <w:pPr>
                          <w:jc w:val="center"/>
                          <w:rPr>
                            <w:rFonts w:hint="eastAsia" w:ascii="Calibri" w:hAnsi="Calibri" w:eastAsia="宋体"/>
                            <w:sz w:val="21"/>
                            <w:szCs w:val="24"/>
                            <w:lang w:val="en-US" w:eastAsia="zh-CN"/>
                          </w:rPr>
                        </w:pPr>
                        <w:r>
                          <w:rPr>
                            <w:rFonts w:hint="eastAsia" w:ascii="Calibri" w:hAnsi="Calibri" w:eastAsia="宋体"/>
                            <w:sz w:val="21"/>
                            <w:szCs w:val="24"/>
                            <w:lang w:val="en-US" w:eastAsia="zh-CN"/>
                          </w:rPr>
                          <w:t>合同公告、备案</w:t>
                        </w:r>
                      </w:p>
                    </w:txbxContent>
                  </v:textbox>
                </v:shape>
                <v:shape id="_x0000_s1026" o:spid="_x0000_s1026" o:spt="202" type="#_x0000_t202" style="position:absolute;left:10538;top:10232;height:428;width:2067;" fillcolor="#FFFFFF" filled="t" stroked="t" coordsize="21600,21600" o:gfxdata="UEsFBgAAAAAAAAAAAAAAAAAAAAAAAFBLAwQKAAAAAACHTuJAAAAAAAAAAAAAAAAABAAAAGRycy9Q&#10;SwMEFAAAAAgAh07iQMvXn+K+AAAA2wAAAA8AAABkcnMvZG93bnJldi54bWxFj09rAjEUxO9Cv0N4&#10;BS/Sza6K2q3RQ6HF3uy26PWxefuHbl62Sbrqt28EweMwM79h1tuz6cRAzreWFWRJCoK4tLrlWsH3&#10;19vTCoQPyBo7y6TgQh62m4fRGnNtT/xJQxFqESHsc1TQhNDnUvqyIYM+sT1x9CrrDIYoXS21w1OE&#10;m05O03QhDbYcFxrs6bWh8qf4MwpW891w9B+z/aFcVN1zmCyH91+n1PgxS19ABDqHe/jW3mkFywyu&#10;X+IPkJt/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vXn+K+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jc w:val="center"/>
                          <w:rPr>
                            <w:rFonts w:hint="eastAsia" w:ascii="Calibri" w:hAnsi="Calibri" w:eastAsia="宋体"/>
                            <w:sz w:val="21"/>
                            <w:szCs w:val="24"/>
                            <w:lang w:eastAsia="zh-CN"/>
                          </w:rPr>
                        </w:pPr>
                        <w:r>
                          <w:rPr>
                            <w:rFonts w:hint="eastAsia" w:ascii="Calibri" w:hAnsi="Calibri" w:eastAsia="宋体"/>
                            <w:sz w:val="21"/>
                            <w:szCs w:val="24"/>
                            <w:lang w:eastAsia="zh-CN"/>
                          </w:rPr>
                          <w:t>签订政府采购合同</w:t>
                        </w:r>
                      </w:p>
                    </w:txbxContent>
                  </v:textbox>
                </v:shape>
                <v:line id="_x0000_s1026" o:spid="_x0000_s1026" o:spt="20" style="position:absolute;left:11574;top:10676;flip:x;height:484;width:1;" filled="f" stroked="t" coordsize="21600,21600" o:gfxdata="UEsFBgAAAAAAAAAAAAAAAAAAAAAAAFBLAwQKAAAAAACHTuJAAAAAAAAAAAAAAAAABAAAAGRycy9Q&#10;SwMEFAAAAAgAh07iQCoJ+CO8AAAA2wAAAA8AAABkcnMvZG93bnJldi54bWxFj0FrwkAUhO+C/2F5&#10;Qi9SN3rQEl09CC3SW1ex19fsM4lm34bsU9N/7xYKHoeZ+YZZbXrfqBt1sQ5sYDrJQBEXwdVcGjjs&#10;31/fQEVBdtgEJgO/FGGzHg5WmLtw5y+6WSlVgnDM0UAl0uZax6Iij3ESWuLknULnUZLsSu06vCe4&#10;b/Qsy+baY81pocKWthUVF3v1Bj4+RX72h1bGl9PRnr/H294urDEvo2m2BCXUyzP83945A4sZ/H1J&#10;P0CvH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qCfgjvAAAANsAAAAPAAAAAAAAAAEAIAAAADgAAABkcnMvZG93bnJldi54&#10;bWxQSwECFAAUAAAACACHTuJAMy8FnjsAAAA5AAAAEAAAAAAAAAABACAAAAAhAQAAZHJzL3NoYXBl&#10;eG1sLnhtbFBLBQYAAAAABgAGAFsBAADLAwAAAAA=&#10;">
                  <v:fill on="f" focussize="0,0"/>
                  <v:stroke color="#000000" joinstyle="round" endarrow="open"/>
                  <v:imagedata o:title=""/>
                  <o:lock v:ext="edit" aspectratio="f"/>
                </v:line>
                <v:line id="_x0000_s1026" o:spid="_x0000_s1026" o:spt="20" style="position:absolute;left:11602;top:12502;flip:x;height:392;width:2;" filled="f" stroked="t" coordsize="21600,21600" o:gfxdata="UEsFBgAAAAAAAAAAAAAAAAAAAAAAAFBLAwQKAAAAAACHTuJAAAAAAAAAAAAAAAAABAAAAGRycy9Q&#10;SwMEFAAAAAgAh07iQEVFXbi9AAAA2wAAAA8AAABkcnMvZG93bnJldi54bWxFj0FrwkAUhO+F/ofl&#10;FbyIbrRQS+rqQVCkt65ir8/sM0nNvg3Zp6b/vlsQPA4z8w0zX/a+UVfqYh3YwGScgSIugqu5NLDf&#10;rUfvoKIgO2wCk4FfirBcPD/NMXfhxl90tVKqBOGYo4FKpM21jkVFHuM4tMTJO4XOoyTZldp1eEtw&#10;3+hplr1pjzWnhQpbWlVUnO3FG9h8ihx3+1aG59PB/nwPV72dWWMGL5PsA5RQL4/wvb11Bmav8P8l&#10;/QC9+A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RUVduL0AAADbAAAADwAAAAAAAAABACAAAAA4AAAAZHJzL2Rvd25yZXYu&#10;eG1sUEsBAhQAFAAAAAgAh07iQDMvBZ47AAAAOQAAABAAAAAAAAAAAQAgAAAAIgEAAGRycy9zaGFw&#10;ZXhtbC54bWxQSwUGAAAAAAYABgBbAQAAzAMAAAAA&#10;">
                  <v:fill on="f" focussize="0,0"/>
                  <v:stroke color="#000000" joinstyle="round" endarrow="open"/>
                  <v:imagedata o:title=""/>
                  <o:lock v:ext="edit" aspectratio="f"/>
                </v:line>
                <v:line id="_x0000_s1026" o:spid="_x0000_s1026" o:spt="20" style="position:absolute;left:11612;top:13378;height:530;width:9;" filled="f" stroked="t" coordsize="21600,21600" o:gfxdata="UEsFBgAAAAAAAAAAAAAAAAAAAAAAAFBLAwQKAAAAAACHTuJAAAAAAAAAAAAAAAAABAAAAGRycy9Q&#10;SwMEFAAAAAgAh07iQJBrLqe/AAAA2wAAAA8AAABkcnMvZG93bnJldi54bWxFj0FrwkAUhO9C/8Py&#10;Cr0Us1GsSurqoUXQUg9Gxesj+5INzb4N2a1J/323UPA4zMw3zGoz2EbcqPO1YwWTJAVBXDhdc6Xg&#10;fNqOlyB8QNbYOCYFP+Rhs34YrTDTrucj3fJQiQhhn6ECE0KbSekLQxZ94lri6JWusxii7CqpO+wj&#10;3DZymqZzabHmuGCwpTdDxVf+bRVUl36vd5/XvGwu76ePl2djDnZQ6ulxkr6CCDSEe/i/vdMKFjP4&#10;+xJ/gFz/A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Qay6nvwAAANsAAAAPAAAAAAAAAAEAIAAAADgAAABkcnMvZG93bnJl&#10;di54bWxQSwECFAAUAAAACACHTuJAMy8FnjsAAAA5AAAAEAAAAAAAAAABACAAAAAkAQAAZHJzL3No&#10;YXBleG1sLnhtbFBLBQYAAAAABgAGAFsBAADOAwAAAAA=&#10;">
                  <v:fill on="f" focussize="0,0"/>
                  <v:stroke color="#000000" joinstyle="round" endarrow="open"/>
                  <v:imagedata o:title=""/>
                  <o:lock v:ext="edit" aspectratio="f"/>
                </v:line>
                <v:line id="_x0000_s1026" o:spid="_x0000_s1026" o:spt="20" style="position:absolute;left:11668;top:14379;height:438;width:9;" filled="f" stroked="t" coordsize="21600,21600" o:gfxdata="UEsFBgAAAAAAAAAAAAAAAAAAAAAAAFBLAwQKAAAAAACHTuJAAAAAAAAAAAAAAAAABAAAAGRycy9Q&#10;SwMEFAAAAAgAh07iQP8nizy/AAAA2wAAAA8AAABkcnMvZG93bnJldi54bWxFj0FrwkAUhO8F/8Py&#10;BC9FNwrWkmb1oBS0tAeTitdH9iUbmn0bslsT/323UOhxmJlvmGw32lbcqPeNYwXLRQKCuHS64VrB&#10;Z/E6fwbhA7LG1jEpuJOH3XbykGGq3cBnuuWhFhHCPkUFJoQuldKXhiz6heuIo1e53mKIsq+l7nGI&#10;cNvKVZI8SYsNxwWDHe0NlV/5t1VQX4aTPr5f86q9HIq39aMxH3ZUajZdJi8gAo3hP/zXPmoFmzX8&#10;fok/QG5/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J4s8vwAAANsAAAAPAAAAAAAAAAEAIAAAADgAAABkcnMvZG93bnJl&#10;di54bWxQSwECFAAUAAAACACHTuJAMy8FnjsAAAA5AAAAEAAAAAAAAAABACAAAAAkAQAAZHJzL3No&#10;YXBleG1sLnhtbFBLBQYAAAAABgAGAFsBAADOAwAAAAA=&#10;">
                  <v:fill on="f" focussize="0,0"/>
                  <v:stroke color="#000000" joinstyle="round" endarrow="open"/>
                  <v:imagedata o:title=""/>
                  <o:lock v:ext="edit" aspectratio="f"/>
                </v:line>
                <v:line id="_x0000_s1026" o:spid="_x0000_s1026" o:spt="20" style="position:absolute;left:11712;top:15381;height:438;width:9;" filled="f" stroked="t" coordsize="21600,21600" o:gfxdata="UEsFBgAAAAAAAAAAAAAAAAAAAAAAAFBLAwQKAAAAAACHTuJAAAAAAAAAAAAAAAAABAAAAGRycy9Q&#10;SwMEFAAAAAgAh07iQA/1FUu+AAAA2wAAAA8AAABkcnMvZG93bnJldi54bWxFj0FrwkAUhO8F/8Py&#10;BC+iGwVtSbN6UAoq9dBY8frIvmRDs29Ddmviv+8WCj0OM/MNk20H24g7db52rGAxT0AQF07XXCn4&#10;vLzNXkD4gKyxcUwKHuRhuxk9ZZhq1/MH3fNQiQhhn6ICE0KbSukLQxb93LXE0StdZzFE2VVSd9hH&#10;uG3kMknW0mLNccFgSztDxVf+bRVU1/6oD++3vGyu+8tpNTXmbAelJuNF8goi0BD+w3/tg1bwvIbf&#10;L/EHyM0P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1FUu+AAAA2wAAAA8AAAAAAAAAAQAgAAAAOAAAAGRycy9kb3ducmV2&#10;LnhtbFBLAQIUABQAAAAIAIdO4kAzLwWeOwAAADkAAAAQAAAAAAAAAAEAIAAAACMBAABkcnMvc2hh&#10;cGV4bWwueG1sUEsFBgAAAAAGAAYAWwEAAM0DAAAAAA==&#10;">
                  <v:fill on="f" focussize="0,0"/>
                  <v:stroke color="#000000" joinstyle="round" endarrow="open"/>
                  <v:imagedata o:title=""/>
                  <o:lock v:ext="edit" aspectratio="f"/>
                </v:line>
                <v:shape id="_x0000_s1026" o:spid="_x0000_s1026" o:spt="202" type="#_x0000_t202" style="position:absolute;left:10640;top:15831;height:507;width:2020;" fillcolor="#FFFFFF" filled="t" stroked="t" coordsize="21600,21600" o:gfxdata="UEsFBgAAAAAAAAAAAAAAAAAAAAAAAFBLAwQKAAAAAACHTuJAAAAAAAAAAAAAAAAABAAAAGRycy9Q&#10;SwMEFAAAAAgAh07iQCtyog2+AAAA2wAAAA8AAABkcnMvZG93bnJldi54bWxFj09rAjEUxO8Fv0N4&#10;gpdSs1px7Xajh0LF3qoWvT42b//g5mVN4mq/fVMQPA4z8xsmX91MK3pyvrGsYDJOQBAXVjdcKfjZ&#10;f74sQPiArLG1TAp+ycNqOXjKMdP2ylvqd6ESEcI+QwV1CF0mpS9qMujHtiOOXmmdwRClq6R2eI1w&#10;08ppksylwYbjQo0dfdRUnHYXo2Ax2/RH//X6fSjmZfsWntN+fXZKjYaT5B1EoFt4hO/tjVaQpvD/&#10;Jf4Aufw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tyog2+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jc w:val="center"/>
                          <w:rPr>
                            <w:rFonts w:hint="eastAsia" w:ascii="Calibri" w:hAnsi="Calibri" w:eastAsia="宋体"/>
                            <w:sz w:val="21"/>
                            <w:szCs w:val="24"/>
                            <w:lang w:eastAsia="zh-CN"/>
                          </w:rPr>
                        </w:pPr>
                        <w:r>
                          <w:rPr>
                            <w:rFonts w:hint="eastAsia" w:ascii="Calibri" w:hAnsi="Calibri" w:eastAsia="宋体"/>
                            <w:sz w:val="21"/>
                            <w:szCs w:val="24"/>
                            <w:lang w:eastAsia="zh-CN"/>
                          </w:rPr>
                          <w:t>采购人支付资金</w:t>
                        </w:r>
                      </w:p>
                    </w:txbxContent>
                  </v:textbox>
                </v:shape>
                <v:shape id="_x0000_s1026" o:spid="_x0000_s1026" o:spt="202" type="#_x0000_t202" style="position:absolute;left:9819;top:2505;height:881;width:3276;" fillcolor="#FFFFFF" filled="t" stroked="t" coordsize="21600,21600" o:gfxdata="UEsFBgAAAAAAAAAAAAAAAAAAAAAAAFBLAwQKAAAAAACHTuJAAAAAAAAAAAAAAAAABAAAAGRycy9Q&#10;SwMEFAAAAAgAh07iQFrtNn+8AAAA2wAAAA8AAABkcnMvZG93bnJldi54bWxFTz1vwjAQ3Sv1P1hX&#10;qUsFDi0KNGAYkFqFjQZE11N8JBHxOdhukv77ekDq+PS+19vRtKIn5xvLCmbTBARxaXXDlYLT8WOy&#10;BOEDssbWMin4JQ/bzePDGjNtB/6ivgiViCHsM1RQh9BlUvqyJoN+ajviyF2sMxgidJXUDocYblr5&#10;miSpNNhwbKixo11N5bX4MQqW87z/9vu3w7lML+17eFn0nzen1PPTLFmBCDSGf/HdnWsFizg2fok/&#10;QG7+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a7TZ/vAAAANsAAAAPAAAAAAAAAAEAIAAAADgAAABkcnMvZG93bnJldi54&#10;bWxQSwECFAAUAAAACACHTuJAMy8FnjsAAAA5AAAAEAAAAAAAAAABACAAAAAhAQAAZHJzL3NoYXBl&#10;eG1sLnhtbFBLBQYAAAAABgAGAFsBAADLAwAAAAA=&#10;">
                  <v:fill on="t" focussize="0,0"/>
                  <v:stroke color="#000000" joinstyle="miter"/>
                  <v:imagedata o:title=""/>
                  <o:lock v:ext="edit" aspectratio="f"/>
                  <v:textbox>
                    <w:txbxContent>
                      <w:p>
                        <w:pPr>
                          <w:jc w:val="center"/>
                          <w:rPr>
                            <w:rFonts w:hint="eastAsia" w:ascii="Calibri" w:hAnsi="Calibri" w:eastAsia="宋体"/>
                            <w:sz w:val="21"/>
                            <w:szCs w:val="24"/>
                            <w:lang w:val="en" w:eastAsia="zh-CN"/>
                          </w:rPr>
                        </w:pPr>
                        <w:r>
                          <w:rPr>
                            <w:rFonts w:hint="eastAsia" w:ascii="Calibri" w:hAnsi="Calibri" w:eastAsia="宋体"/>
                            <w:sz w:val="21"/>
                            <w:szCs w:val="24"/>
                            <w:lang w:val="en" w:eastAsia="zh-CN"/>
                          </w:rPr>
                          <w:t>采购预算编制、预算下达</w:t>
                        </w:r>
                      </w:p>
                      <w:p>
                        <w:pPr>
                          <w:rPr>
                            <w:rFonts w:hint="eastAsia" w:ascii="Calibri" w:hAnsi="Calibri" w:eastAsia="宋体"/>
                            <w:sz w:val="21"/>
                            <w:szCs w:val="24"/>
                            <w:lang w:val="en" w:eastAsia="zh-CN"/>
                          </w:rPr>
                        </w:pPr>
                        <w:r>
                          <w:rPr>
                            <w:rFonts w:hint="eastAsia" w:ascii="Calibri" w:hAnsi="Calibri" w:eastAsia="宋体"/>
                            <w:sz w:val="21"/>
                            <w:szCs w:val="24"/>
                            <w:lang w:val="en" w:eastAsia="zh-CN"/>
                          </w:rPr>
                          <w:t>（落实预留中小企业采购份额）</w:t>
                        </w:r>
                      </w:p>
                    </w:txbxContent>
                  </v:textbox>
                </v:shape>
                <v:shape id="_x0000_s1026" o:spid="_x0000_s1026" o:spt="202" type="#_x0000_t202" style="position:absolute;left:10638;top:3895;height:438;width:1607;" fillcolor="#FFFFFF" filled="t" stroked="t" coordsize="21600,21600" o:gfxdata="UEsFBgAAAAAAAAAAAAAAAAAAAAAAAFBLAwQKAAAAAACHTuJAAAAAAAAAAAAAAAAABAAAAGRycy9Q&#10;SwMEFAAAAAgAh07iQDWhk+S9AAAA2wAAAA8AAABkcnMvZG93bnJldi54bWxFj0uLAjEQhO8L/ofQ&#10;gpdlzfjAx6zRg6DozVXZvTaTdmZw0hmTOOq/N4Kwx6KqvqJmi7upREPOl5YV9LoJCOLM6pJzBcfD&#10;6msCwgdkjZVlUvAgD4t562OGqbY3/qFmH3IRIexTVFCEUKdS+qwgg75ra+LonawzGKJ0udQObxFu&#10;KtlPkpE0WHJcKLCmZUHZeX81CibDTfPnt4PdbzY6VdPwOW7WF6dUp91LvkEEuof/8Lu90QrGU3h9&#10;iT9Azp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NaGT5L0AAADb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rPr>
                            <w:rFonts w:hint="eastAsia" w:ascii="Calibri" w:hAnsi="Calibri" w:eastAsia="宋体"/>
                            <w:sz w:val="21"/>
                            <w:szCs w:val="24"/>
                            <w:lang w:eastAsia="zh-CN"/>
                          </w:rPr>
                        </w:pPr>
                        <w:r>
                          <w:rPr>
                            <w:rFonts w:hint="eastAsia" w:ascii="Calibri" w:hAnsi="Calibri" w:eastAsia="宋体"/>
                            <w:sz w:val="21"/>
                            <w:szCs w:val="24"/>
                            <w:lang w:eastAsia="zh-CN"/>
                          </w:rPr>
                          <w:t>采购意向公开</w:t>
                        </w:r>
                      </w:p>
                    </w:txbxContent>
                  </v:textbox>
                </v:shape>
                <v:shape id="_x0000_s1026" o:spid="_x0000_s1026" o:spt="202" type="#_x0000_t202" style="position:absolute;left:9272;top:4778;height:759;width:4476;" fillcolor="#FFFFFF" filled="t" stroked="t" coordsize="21600,21600" o:gfxdata="UEsFBgAAAAAAAAAAAAAAAAAAAAAAAFBLAwQKAAAAAACHTuJAAAAAAAAAAAAAAAAABAAAAGRycy9Q&#10;SwMEFAAAAAgAh07iQJFOSl66AAAA2wAAAA8AAABkcnMvZG93bnJldi54bWxFTztvwjAQ3ivxH6xD&#10;6lKBQ1sBTTEMSK1gKw/R9RQfSdT4HGw3wL/nBiTGT997tri4RnUUYu3ZwGiYgSIuvK25NLDffQ2m&#10;oGJCtth4JgNXirCY955mmFt/5g1121QqCeGYo4EqpTbXOhYVOYxD3xILd/TBYRIYSm0DniXcNfo1&#10;y8baYc3SUGFLy4qKv+2/MzB9X3W/cf32cyjGx+YjvUy671Mw5rk/yj5BJbqkh/juXlnxyXr5Ij9A&#10;z2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kU5KXroAAADbAAAADwAAAAAAAAABACAAAAA4AAAAZHJzL2Rvd25yZXYueG1s&#10;UEsBAhQAFAAAAAgAh07iQDMvBZ47AAAAOQAAABAAAAAAAAAAAQAgAAAAHwEAAGRycy9zaGFwZXht&#10;bC54bWxQSwUGAAAAAAYABgBbAQAAyQMAAAAA&#10;">
                  <v:fill on="t" focussize="0,0"/>
                  <v:stroke color="#000000" joinstyle="miter"/>
                  <v:imagedata o:title=""/>
                  <o:lock v:ext="edit" aspectratio="f"/>
                  <v:textbox>
                    <w:txbxContent>
                      <w:p>
                        <w:pPr>
                          <w:jc w:val="center"/>
                          <w:rPr>
                            <w:rFonts w:hint="eastAsia" w:ascii="Calibri" w:hAnsi="Calibri" w:eastAsia="宋体"/>
                            <w:sz w:val="21"/>
                            <w:szCs w:val="24"/>
                            <w:lang w:eastAsia="zh-CN"/>
                          </w:rPr>
                        </w:pPr>
                        <w:r>
                          <w:rPr>
                            <w:rFonts w:hint="eastAsia" w:ascii="Calibri" w:hAnsi="Calibri" w:eastAsia="宋体"/>
                            <w:sz w:val="21"/>
                            <w:szCs w:val="24"/>
                            <w:lang w:eastAsia="zh-CN"/>
                          </w:rPr>
                          <w:t>采购需求论证或调查，内部审查，需求公示</w:t>
                        </w:r>
                      </w:p>
                      <w:p>
                        <w:pPr>
                          <w:jc w:val="center"/>
                          <w:rPr>
                            <w:rFonts w:hint="eastAsia" w:ascii="Calibri" w:hAnsi="Calibri" w:eastAsia="宋体"/>
                            <w:sz w:val="21"/>
                            <w:szCs w:val="24"/>
                            <w:lang w:eastAsia="zh-CN"/>
                          </w:rPr>
                        </w:pPr>
                        <w:r>
                          <w:rPr>
                            <w:rFonts w:hint="eastAsia" w:ascii="Calibri" w:hAnsi="Calibri" w:eastAsia="宋体"/>
                            <w:sz w:val="21"/>
                            <w:szCs w:val="24"/>
                            <w:lang w:eastAsia="zh-CN"/>
                          </w:rPr>
                          <w:t>（可委托代理机构）</w:t>
                        </w:r>
                      </w:p>
                    </w:txbxContent>
                  </v:textbox>
                </v:shape>
                <v:shape id="_x0000_s1026" o:spid="_x0000_s1026" o:spt="202" type="#_x0000_t202" style="position:absolute;left:9807;top:7071;height:483;width:3346;" fillcolor="#FFFFFF" filled="t" stroked="t" coordsize="21600,21600" o:gfxdata="UEsFBgAAAAAAAAAAAAAAAAAAAAAAAFBLAwQKAAAAAACHTuJAAAAAAAAAAAAAAAAABAAAAGRycy9Q&#10;SwMEFAAAAAgAh07iQP4C78W+AAAA2wAAAA8AAABkcnMvZG93bnJldi54bWxFj81rAjEUxO8F/4fw&#10;hF6KZrcVP9aNHgoVe2tV9PrYvP3AzcuaxNX+901B6HGY+c0w+fpuWtGT841lBek4AUFcWN1wpeCw&#10;/xjNQfiArLG1TAp+yMN6NXjKMdP2xt/U70IlYgn7DBXUIXSZlL6oyaAf2444eqV1BkOUrpLa4S2W&#10;m1a+JslUGmw4LtTY0XtNxXl3NQrmk21/8p9vX8diWraL8DLrNxen1PMwTZYgAt3Df/hBb3XkUvj7&#10;En+AXP0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4C78W+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jc w:val="center"/>
                          <w:rPr>
                            <w:rFonts w:hint="eastAsia" w:ascii="Calibri" w:hAnsi="Calibri" w:eastAsia="宋体"/>
                            <w:sz w:val="21"/>
                            <w:szCs w:val="24"/>
                            <w:lang w:eastAsia="zh-CN"/>
                          </w:rPr>
                        </w:pPr>
                        <w:r>
                          <w:rPr>
                            <w:rFonts w:hint="eastAsia" w:ascii="Calibri" w:hAnsi="Calibri" w:eastAsia="宋体"/>
                            <w:sz w:val="21"/>
                            <w:szCs w:val="24"/>
                            <w:lang w:eastAsia="zh-CN"/>
                          </w:rPr>
                          <w:t>项目进场交易，发布采购公告</w:t>
                        </w:r>
                      </w:p>
                    </w:txbxContent>
                  </v:textbox>
                </v:shape>
                <v:shape id="_x0000_s1026" o:spid="_x0000_s1026" o:spt="202" type="#_x0000_t202" style="position:absolute;left:10207;top:8127;height:472;width:2448;" fillcolor="#FFFFFF" filled="t" stroked="t" coordsize="21600,21600" o:gfxdata="UEsFBgAAAAAAAAAAAAAAAAAAAAAAAFBLAwQKAAAAAACHTuJAAAAAAAAAAAAAAAAABAAAAGRycy9Q&#10;SwMEFAAAAAgAh07iQA7QcbK8AAAA2wAAAA8AAABkcnMvZG93bnJldi54bWxFj0GLwjAUhO+C/yE8&#10;wYusqa64Wo0eBEVvqy7r9dE822LzUpNY3X9vFgSPw8w3w8yXD1OJhpwvLSsY9BMQxJnVJecKfo7r&#10;jwkIH5A1VpZJwR95WC7arTmm2t55T80h5CKWsE9RQRFCnUrps4IM+r6tiaN3ts5giNLlUju8x3JT&#10;yWGSjKXBkuNCgTWtCsouh5tRMBltm5PffX7/ZuNzNQ29r2ZzdUp1O4NkBiLQI7zDL3qrIzeE/y/x&#10;B8jFE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O0HGyvAAAANsAAAAPAAAAAAAAAAEAIAAAADgAAABkcnMvZG93bnJldi54&#10;bWxQSwECFAAUAAAACACHTuJAMy8FnjsAAAA5AAAAEAAAAAAAAAABACAAAAAhAQAAZHJzL3NoYXBl&#10;eG1sLnhtbFBLBQYAAAAABgAGAFsBAADLAwAAAAA=&#10;">
                  <v:fill on="t" focussize="0,0"/>
                  <v:stroke color="#000000" joinstyle="miter"/>
                  <v:imagedata o:title=""/>
                  <o:lock v:ext="edit" aspectratio="f"/>
                  <v:textbox>
                    <w:txbxContent>
                      <w:p>
                        <w:pPr>
                          <w:jc w:val="center"/>
                          <w:rPr>
                            <w:rFonts w:hint="eastAsia" w:ascii="Calibri" w:hAnsi="Calibri" w:eastAsia="宋体"/>
                            <w:sz w:val="21"/>
                            <w:szCs w:val="24"/>
                            <w:lang w:eastAsia="zh-CN"/>
                          </w:rPr>
                        </w:pPr>
                        <w:r>
                          <w:rPr>
                            <w:rFonts w:hint="eastAsia" w:ascii="Calibri" w:hAnsi="Calibri" w:eastAsia="宋体"/>
                            <w:sz w:val="21"/>
                            <w:szCs w:val="24"/>
                            <w:lang w:eastAsia="zh-CN"/>
                          </w:rPr>
                          <w:t>项目开标，专家评标</w:t>
                        </w:r>
                      </w:p>
                    </w:txbxContent>
                  </v:textbox>
                </v:shape>
                <v:shape id="_x0000_s1026" o:spid="_x0000_s1026" o:spt="202" type="#_x0000_t202" style="position:absolute;left:10599;top:6025;height:472;width:1754;" fillcolor="#FFFFFF" filled="t" stroked="t" coordsize="21600,21600" o:gfxdata="UEsFBgAAAAAAAAAAAAAAAAAAAAAAAFBLAwQKAAAAAACHTuJAAAAAAAAAAAAAAAAABAAAAGRycy9Q&#10;SwMEFAAAAAgAh07iQGGc1Cm9AAAA2wAAAA8AAABkcnMvZG93bnJldi54bWxFj0uLAjEQhO+C/yG0&#10;4EXWjA9cHY0eBBf35mNZr82knRmcdMYkju6/3wiCx6Lqq6IWq4epREPOl5YVDPoJCOLM6pJzBT/H&#10;zccUhA/IGivLpOCPPKyW7dYCU23vvKfmEHIRS9inqKAIoU6l9FlBBn3f1sTRO1tnMETpcqkd3mO5&#10;qeQwSSbSYMlxocCa1gVll8PNKJiOt83Jf492v9nkXM1C77P5ujqlup1BMgcR6BHe4Re91ZEbwfNL&#10;/AFy+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YZzUKb0AAADb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jc w:val="center"/>
                          <w:rPr>
                            <w:rFonts w:hint="eastAsia" w:ascii="Calibri" w:hAnsi="Calibri" w:eastAsia="宋体"/>
                            <w:sz w:val="21"/>
                            <w:szCs w:val="24"/>
                            <w:lang w:eastAsia="zh-CN"/>
                          </w:rPr>
                        </w:pPr>
                        <w:r>
                          <w:rPr>
                            <w:rFonts w:hint="eastAsia" w:ascii="Calibri" w:hAnsi="Calibri" w:eastAsia="宋体"/>
                            <w:sz w:val="21"/>
                            <w:szCs w:val="24"/>
                            <w:lang w:eastAsia="zh-CN"/>
                          </w:rPr>
                          <w:t>采购计划备案</w:t>
                        </w:r>
                      </w:p>
                    </w:txbxContent>
                  </v:textbox>
                </v:shape>
                <v:line id="_x0000_s1026" o:spid="_x0000_s1026" o:spt="20" style="position:absolute;left:11399;top:3455;height:450;width:1;" filled="f" stroked="t" coordsize="21600,21600" o:gfxdata="UEsFBgAAAAAAAAAAAAAAAAAAAAAAAFBLAwQKAAAAAACHTuJAAAAAAAAAAAAAAAAABAAAAGRycy9Q&#10;SwMEFAAAAAgAh07iQHoMFxm9AAAA2wAAAA8AAABkcnMvZG93bnJldi54bWxFj92KwjAUhO8F3yEc&#10;Ye809QfRaiooCrIXC1Yf4NAc29rmpDRRuz79RljwcpiZb5j1pjO1eFDrSssKxqMIBHFmdcm5gsv5&#10;MFyAcB5ZY22ZFPySg03S760x1vbJJ3qkPhcBwi5GBYX3TSylywoy6Ea2IQ7e1bYGfZBtLnWLzwA3&#10;tZxE0VwaLDksFNjQrqCsSu9GwbTcvtKfvV5+H+rteVfZztyWJ6W+BuNoBcJT5z/h//ZRK1jM4P0l&#10;/ACZ/A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egwXGb0AAADbAAAADwAAAAAAAAABACAAAAA4AAAAZHJzL2Rvd25yZXYu&#10;eG1sUEsBAhQAFAAAAAgAh07iQDMvBZ47AAAAOQAAABAAAAAAAAAAAQAgAAAAIgEAAGRycy9zaGFw&#10;ZXhtbC54bWxQSwUGAAAAAAYABgBbAQAAzAMAAAAA&#10;">
                  <v:fill on="f" focussize="0,0"/>
                  <v:stroke color="#000000" joinstyle="round" startarrow="block" endarrow="block"/>
                  <v:imagedata o:title=""/>
                  <o:lock v:ext="edit" aspectratio="f"/>
                </v:line>
                <v:line id="_x0000_s1026" o:spid="_x0000_s1026" o:spt="20" style="position:absolute;left:11419;top:4330;height:450;width:1;" filled="f" stroked="t" coordsize="21600,21600" o:gfxdata="UEsFBgAAAAAAAAAAAAAAAAAAAAAAAFBLAwQKAAAAAACHTuJAAAAAAAAAAAAAAAAABAAAAGRycy9Q&#10;SwMEFAAAAAgAh07iQMry+xu+AAAA2wAAAA8AAABkcnMvZG93bnJldi54bWxFj0FrwkAUhO9C/8Py&#10;Cr1Is0lBkdTVg6UQpT0YG3p9ZJ/ZYPZtyK4m/vtuodDjMDPfMOvtZDtxo8G3jhVkSQqCuHa65UbB&#10;1+n9eQXCB2SNnWNScCcP283DbI25diMf6VaGRkQI+xwVmBD6XEpfG7LoE9cTR+/sBoshyqGResAx&#10;wm0nX9J0KS22HBcM9rQzVF/Kq1XQVONeFx/f5bmr3k6HxdyYTzsp9fSYpa8gAk3hP/zXLrSC1QJ+&#10;v8QfID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ry+xu+AAAA2wAAAA8AAAAAAAAAAQAgAAAAOAAAAGRycy9kb3ducmV2&#10;LnhtbFBLAQIUABQAAAAIAIdO4kAzLwWeOwAAADkAAAAQAAAAAAAAAAEAIAAAACMBAABkcnMvc2hh&#10;cGV4bWwueG1sUEsFBgAAAAAGAAYAWwEAAM0DAAAAAA==&#10;">
                  <v:fill on="f" focussize="0,0"/>
                  <v:stroke color="#000000" joinstyle="round" endarrow="open"/>
                  <v:imagedata o:title=""/>
                  <o:lock v:ext="edit" aspectratio="f"/>
                </v:line>
                <v:line id="_x0000_s1026" o:spid="_x0000_s1026" o:spt="20" style="position:absolute;left:11451;top:5541;height:450;width:1;" filled="f" stroked="t" coordsize="21600,21600" o:gfxdata="UEsFBgAAAAAAAAAAAAAAAAAAAAAAAFBLAwQKAAAAAACHTuJAAAAAAAAAAAAAAAAABAAAAGRycy9Q&#10;SwMEFAAAAAgAh07iQDogZWy+AAAA2wAAAA8AAABkcnMvZG93bnJldi54bWxFj0FrwkAUhO8F/8Py&#10;BC+l2USoSHT1oAhpaQ+NDV4f2Wc2mH0bsluT/vtuodDjMDPfMNv9ZDtxp8G3jhVkSQqCuHa65UbB&#10;5/n0tAbhA7LGzjEp+CYP+93sYYu5diN/0L0MjYgQ9jkqMCH0uZS+NmTRJ64njt7VDRZDlEMj9YBj&#10;hNtOLtN0JS22HBcM9nQwVN/KL6ugqcYXXbxdymtXHc+vz4/GvNtJqcU8SzcgAk3hP/zXLrSC9Qp+&#10;v8QfIH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ogZWy+AAAA2wAAAA8AAAAAAAAAAQAgAAAAOAAAAGRycy9kb3ducmV2&#10;LnhtbFBLAQIUABQAAAAIAIdO4kAzLwWeOwAAADkAAAAQAAAAAAAAAAEAIAAAACMBAABkcnMvc2hh&#10;cGV4bWwueG1sUEsFBgAAAAAGAAYAWwEAAM0DAAAAAA==&#10;">
                  <v:fill on="f" focussize="0,0"/>
                  <v:stroke color="#000000" joinstyle="round" endarrow="open"/>
                  <v:imagedata o:title=""/>
                  <o:lock v:ext="edit" aspectratio="f"/>
                </v:line>
                <v:line id="_x0000_s1026" o:spid="_x0000_s1026" o:spt="20" style="position:absolute;left:8140;top:4132;flip:x;height:692;width:10;" filled="f" stroked="t" coordsize="21600,21600" o:gfxdata="UEsFBgAAAAAAAAAAAAAAAAAAAAAAAFBLAwQKAAAAAACHTuJAAAAAAAAAAAAAAAAABAAAAGRycy9Q&#10;SwMEFAAAAAgAh07iQA+rK5y9AAAA2wAAAA8AAABkcnMvZG93bnJldi54bWxFj0FrwkAUhO+F/ofl&#10;CV6kbvRQJXXNIdBSenMVe33NPpNo9m3Ivmr8991CocdhZr5hNsXoO3WlIbaBDSzmGSjiKriWawOH&#10;/evTGlQUZIddYDJwpwjF9vFhg7kLN97R1UqtEoRjjgYakT7XOlYNeYzz0BMn7xQGj5LkUGs34C3B&#10;faeXWfasPbacFhrsqWyouthvb+DtQ+Rrf+hldjkd7flzVo52ZY2ZThbZCyihUf7Df+13Z2C9gt8v&#10;6Qfo7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D6srnL0AAADbAAAADwAAAAAAAAABACAAAAA4AAAAZHJzL2Rvd25yZXYu&#10;eG1sUEsBAhQAFAAAAAgAh07iQDMvBZ47AAAAOQAAABAAAAAAAAAAAQAgAAAAIgEAAGRycy9zaGFw&#10;ZXhtbC54bWxQSwUGAAAAAAYABgBbAQAAzAMAAAAA&#10;">
                  <v:fill on="f" focussize="0,0"/>
                  <v:stroke color="#000000" joinstyle="round" endarrow="open"/>
                  <v:imagedata o:title=""/>
                  <o:lock v:ext="edit" aspectratio="f"/>
                </v:line>
                <v:line id="_x0000_s1026" o:spid="_x0000_s1026" o:spt="20" style="position:absolute;left:8173;top:5215;height:1049;width:1;" filled="f" stroked="t" coordsize="21600,21600" o:gfxdata="UEsFBgAAAAAAAAAAAAAAAAAAAAAAAFBLAwQKAAAAAACHTuJAAAAAAAAAAAAAAAAABAAAAGRycy9Q&#10;SwMEFAAAAAgAh07iQCTzVIW7AAAA2wAAAA8AAABkcnMvZG93bnJldi54bWxFT89rwjAUvg/8H8IT&#10;dhkzdbBRqtGDIlTZDqsrXh/Nsyk2L6WJbf3vl8Ngx4/v93o72VYM1PvGsYLlIgFBXDndcK3g53x4&#10;TUH4gKyxdUwKHuRhu5k9rTHTbuRvGopQixjCPkMFJoQuk9JXhiz6heuII3d1vcUQYV9L3eMYw20r&#10;35LkQ1psODYY7GhnqLoVd6ugLsejzj8vxbUt9+fT+4sxX3ZS6nm+TFYgAk3hX/znzrWCNI6NX+IP&#10;kJt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TzVIW7AAAA2wAAAA8AAAAAAAAAAQAgAAAAOAAAAGRycy9kb3ducmV2Lnht&#10;bFBLAQIUABQAAAAIAIdO4kAzLwWeOwAAADkAAAAQAAAAAAAAAAEAIAAAACABAABkcnMvc2hhcGV4&#10;bWwueG1sUEsFBgAAAAAGAAYAWwEAAMoDAAAAAA==&#10;">
                  <v:fill on="f" focussize="0,0"/>
                  <v:stroke color="#000000" joinstyle="round" endarrow="open"/>
                  <v:imagedata o:title=""/>
                  <o:lock v:ext="edit" aspectratio="f"/>
                </v:line>
                <v:line id="_x0000_s1026" o:spid="_x0000_s1026" o:spt="20" style="position:absolute;left:8148;top:6265;flip:y;height:1;width:2434;" filled="f" stroked="t" coordsize="21600,21600" o:gfxdata="UEsFBgAAAAAAAAAAAAAAAAAAAAAAAFBLAwQKAAAAAACHTuJAAAAAAAAAAAAAAAAABAAAAGRycy9Q&#10;SwMEFAAAAAgAh07iQBF4GnW9AAAA2wAAAA8AAABkcnMvZG93bnJldi54bWxFj0FrwkAUhO+F/ofl&#10;FbyIbvTQ2tTVg6BIb13FXp/ZZ5KafRuyT03/fbcgeBxm5htmvux9o67UxTqwgck4A0VcBFdzaWC/&#10;W49moKIgO2wCk4FfirBcPD/NMXfhxl90tVKqBOGYo4FKpM21jkVFHuM4tMTJO4XOoyTZldp1eEtw&#10;3+hplr1qjzWnhQpbWlVUnO3FG9h8ihx3+1aG59PB/nwPV719s8YMXibZByihXh7he3vrDMze4f9L&#10;+gF68Q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EXgadb0AAADbAAAADwAAAAAAAAABACAAAAA4AAAAZHJzL2Rvd25yZXYu&#10;eG1sUEsBAhQAFAAAAAgAh07iQDMvBZ47AAAAOQAAABAAAAAAAAAAAQAgAAAAIgEAAGRycy9zaGFw&#10;ZXhtbC54bWxQSwUGAAAAAAYABgBbAQAAzAMAAAAA&#10;">
                  <v:fill on="f" focussize="0,0"/>
                  <v:stroke color="#000000" joinstyle="round" endarrow="open"/>
                  <v:imagedata o:title=""/>
                  <o:lock v:ext="edit" aspectratio="f"/>
                </v:line>
                <v:line id="_x0000_s1026" o:spid="_x0000_s1026" o:spt="20" style="position:absolute;left:11472;top:7565;height:530;width:10;" filled="f" stroked="t" coordsize="21600,21600" o:gfxdata="UEsFBgAAAAAAAAAAAAAAAAAAAAAAAFBLAwQKAAAAAACHTuJAAAAAAAAAAAAAAAAABAAAAGRycy9Q&#10;SwMEFAAAAAgAh07iQF9czl68AAAA2wAAAA8AAABkcnMvZG93bnJldi54bWxFT89rwjAUvg/8H8IT&#10;vIyZVnDMztiDMnCyHdZadn00z6aseSlNZrv/fjkIHj++39t8sp240uBbxwrSZQKCuHa65UbBuXx7&#10;egHhA7LGzjEp+CMP+W72sMVMu5G/6FqERsQQ9hkqMCH0mZS+NmTRL11PHLmLGyyGCIdG6gHHGG47&#10;uUqSZ2mx5dhgsKe9ofqn+LUKmmp818eP7+LSVYfytH405tNOSi3mafIKItAU7uKb+6gVbOL6+CX+&#10;ALn7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fXM5evAAAANsAAAAPAAAAAAAAAAEAIAAAADgAAABkcnMvZG93bnJldi54&#10;bWxQSwECFAAUAAAACACHTuJAMy8FnjsAAAA5AAAAEAAAAAAAAAABACAAAAAhAQAAZHJzL3NoYXBl&#10;eG1sLnhtbFBLBQYAAAAABgAGAFsBAADLAwAAAAA=&#10;">
                  <v:fill on="f" focussize="0,0"/>
                  <v:stroke color="#000000" joinstyle="round" endarrow="open"/>
                  <v:imagedata o:title=""/>
                  <o:lock v:ext="edit" aspectratio="f"/>
                </v:line>
                <v:line id="_x0000_s1026" o:spid="_x0000_s1026" o:spt="20" style="position:absolute;left:11468;top:6538;flip:x;height:542;width:1;" filled="f" stroked="t" coordsize="21600,21600" o:gfxdata="UEsFBgAAAAAAAAAAAAAAAAAAAAAAAFBLAwQKAAAAAACHTuJAAAAAAAAAAAAAAAAABAAAAGRycy9Q&#10;SwMEFAAAAAgAh07iQGrXgK69AAAA2wAAAA8AAABkcnMvZG93bnJldi54bWxFj81uwjAQhO+VeAdr&#10;kbggcMKhPwHDAakV6q0GtdclXpJAvI7iBdK3rytV6nE0M99oVpvBt+pGfWwCG8jnGSjiMriGKwOH&#10;/evsGVQUZIdtYDLwTRE269HDCgsX7vxBNyuVShCOBRqoRbpC61jW5DHOQ0ecvFPoPUqSfaVdj/cE&#10;961eZNmj9thwWqixo21N5cVevYG3d5Hj/tDJ9HL6tOev6XawT9aYyTjPlqCEBvkP/7V3zsBLDr9f&#10;0g/Q6x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ateArr0AAADbAAAADwAAAAAAAAABACAAAAA4AAAAZHJzL2Rvd25yZXYu&#10;eG1sUEsBAhQAFAAAAAgAh07iQDMvBZ47AAAAOQAAABAAAAAAAAAAAQAgAAAAIgEAAGRycy9zaGFw&#10;ZXhtbC54bWxQSwUGAAAAAAYABgBbAQAAzAMAAAAA&#10;">
                  <v:fill on="f" focussize="0,0"/>
                  <v:stroke color="#000000" joinstyle="round" endarrow="open"/>
                  <v:imagedata o:title=""/>
                  <o:lock v:ext="edit" aspectratio="f"/>
                </v:line>
                <v:line id="_x0000_s1026" o:spid="_x0000_s1026" o:spt="20" style="position:absolute;left:11513;top:8630;flip:x;height:542;width:1;" filled="f" stroked="t" coordsize="21600,21600" o:gfxdata="UEsFBgAAAAAAAAAAAAAAAAAAAAAAAFBLAwQKAAAAAACHTuJAAAAAAAAAAAAAAAAABAAAAGRycy9Q&#10;SwMEFAAAAAgAh07iQJoFHtm9AAAA2wAAAA8AAABkcnMvZG93bnJldi54bWxFj0FrwkAUhO+F/ofl&#10;FbxI3ejBttHVg9Ai3rqKvT6zzyQ1+zZkXzX++64geBxm5htmvux9o87UxTqwgfEoA0VcBFdzaWC3&#10;/Xx9BxUF2WETmAxcKcJy8fw0x9yFC3/T2UqpEoRjjgYqkTbXOhYVeYyj0BIn7xg6j5JkV2rX4SXB&#10;faMnWTbVHmtOCxW2tKqoONk/b+BrI3LY7loZno57+/szXPX2zRozeBlnM1BCvTzC9/baGfiYwO1L&#10;+gF68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gUe2b0AAADbAAAADwAAAAAAAAABACAAAAA4AAAAZHJzL2Rvd25yZXYu&#10;eG1sUEsBAhQAFAAAAAgAh07iQDMvBZ47AAAAOQAAABAAAAAAAAAAAQAgAAAAIgEAAGRycy9zaGFw&#10;ZXhtbC54bWxQSwUGAAAAAAYABgBbAQAAzAMAAAAA&#10;">
                  <v:fill on="f" focussize="0,0"/>
                  <v:stroke color="#000000" joinstyle="round" endarrow="open"/>
                  <v:imagedata o:title=""/>
                  <o:lock v:ext="edit" aspectratio="f"/>
                </v:line>
                <v:line id="_x0000_s1026" o:spid="_x0000_s1026" o:spt="20" style="position:absolute;left:11568;top:9701;flip:x;height:542;width:1;" filled="f" stroked="t" coordsize="21600,21600" o:gfxdata="UEsFBgAAAAAAAAAAAAAAAAAAAAAAAFBLAwQKAAAAAACHTuJAAAAAAAAAAAAAAAAABAAAAGRycy9Q&#10;SwMEFAAAAAgAh07iQPVJu0K9AAAA2wAAAA8AAABkcnMvZG93bnJldi54bWxFj0FrwkAUhO+F/ofl&#10;FXoR3dhC1ejqQWiR3rqKXp/ZZ5KafRuyrxr/fbdQ8DjMzDfMYtX7Rl2oi3VgA+NRBoq4CK7m0sBu&#10;+z6cgoqC7LAJTAZuFGG1fHxYYO7Clb/oYqVUCcIxRwOVSJtrHYuKPMZRaImTdwqdR0myK7Xr8Jrg&#10;vtEvWfamPdacFipsaV1RcbY/3sDHp8hxu2tlcD7t7fdhsO7txBrz/DTO5qCEermH/9sbZ2D2Cn9f&#10;0g/Qy1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9Um7Qr0AAADbAAAADwAAAAAAAAABACAAAAA4AAAAZHJzL2Rvd25yZXYu&#10;eG1sUEsBAhQAFAAAAAgAh07iQDMvBZ47AAAAOQAAABAAAAAAAAAAAQAgAAAAIgEAAGRycy9zaGFw&#10;ZXhtbC54bWxQSwUGAAAAAAYABgBbAQAAzAMAAAAA&#10;">
                  <v:fill on="f" focussize="0,0"/>
                  <v:stroke color="#000000" joinstyle="round" endarrow="open"/>
                  <v:imagedata o:title=""/>
                  <o:lock v:ext="edit" aspectratio="f"/>
                </v:line>
                <v:line id="_x0000_s1026" o:spid="_x0000_s1026" o:spt="20" style="position:absolute;left:11389;top:3667;height:1;width:2236;" filled="f" stroked="t" coordsize="21600,21600" o:gfxdata="UEsFBgAAAAAAAAAAAAAAAAAAAAAAAFBLAwQKAAAAAACHTuJAAAAAAAAAAAAAAAAABAAAAGRycy9Q&#10;SwMEFAAAAAgAh07iQCBnyF2/AAAA2wAAAA8AAABkcnMvZG93bnJldi54bWxFj0FrwkAUhO9C/8Py&#10;Cr0Us1GsaOrqoUXQUg9Gxesj+5INzb4N2a1J/323UPA4zMw3zGoz2EbcqPO1YwWTJAVBXDhdc6Xg&#10;fNqOFyB8QNbYOCYFP+Rhs34YrTDTrucj3fJQiQhhn6ECE0KbSekLQxZ94lri6JWusxii7CqpO+wj&#10;3DZymqZzabHmuGCwpTdDxVf+bRVUl36vd5/XvGwu76ePl2djDnZQ6ulxkr6CCDSEe/i/vdMKljP4&#10;+xJ/gFz/A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gZ8hdvwAAANsAAAAPAAAAAAAAAAEAIAAAADgAAABkcnMvZG93bnJl&#10;di54bWxQSwECFAAUAAAACACHTuJAMy8FnjsAAAA5AAAAEAAAAAAAAAABACAAAAAkAQAAZHJzL3No&#10;YXBleG1sLnhtbFBLBQYAAAAABgAGAFsBAADOAwAAAAA=&#10;">
                  <v:fill on="f" focussize="0,0"/>
                  <v:stroke color="#000000" joinstyle="round" endarrow="open"/>
                  <v:imagedata o:title=""/>
                  <o:lock v:ext="edit" aspectratio="f"/>
                </v:line>
                <v:shape id="_x0000_s1026" o:spid="_x0000_s1026" o:spt="202" type="#_x0000_t202" style="position:absolute;left:13652;top:3300;height:752;width:1950;" fillcolor="#FFFFFF" filled="t" stroked="t" coordsize="21600,21600" o:gfxdata="UEsFBgAAAAAAAAAAAAAAAAAAAAAAAFBLAwQKAAAAAACHTuJAAAAAAAAAAAAAAAAABAAAAGRycy9Q&#10;SwMEFAAAAAgAh07iQATgfxu+AAAA2wAAAA8AAABkcnMvZG93bnJldi54bWxFj0FrwkAUhO9C/8Py&#10;Cr1Is9FWa6KrB0HRWxtLvT6yzyQ0+zbd3Ub7792C4HGYmW+YxepiWtGT841lBaMkBUFcWt1wpeDz&#10;sHmegfABWWNrmRT8kYfV8mGwwFzbM39QX4RKRAj7HBXUIXS5lL6syaBPbEccvZN1BkOUrpLa4TnC&#10;TSvHaTqVBhuOCzV2tK6p/C5+jYLZ664/+v3L+1c5PbVZGL712x+n1NPjKJ2DCHQJ9/CtvdMKsgn8&#10;f4k/QC6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Tgfxu+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rPr>
                            <w:rFonts w:hint="eastAsia" w:ascii="Calibri" w:hAnsi="Calibri" w:eastAsia="宋体"/>
                            <w:sz w:val="21"/>
                            <w:szCs w:val="24"/>
                            <w:lang w:eastAsia="zh-CN"/>
                          </w:rPr>
                        </w:pPr>
                        <w:r>
                          <w:rPr>
                            <w:rFonts w:hint="eastAsia" w:ascii="Calibri" w:hAnsi="Calibri" w:eastAsia="宋体"/>
                            <w:sz w:val="21"/>
                            <w:szCs w:val="24"/>
                            <w:lang w:eastAsia="zh-CN"/>
                          </w:rPr>
                          <w:t>意向公开也可在预算下达前公开</w:t>
                        </w:r>
                      </w:p>
                    </w:txbxContent>
                  </v:textbox>
                </v:shape>
              </v:group>
            </w:pict>
          </mc:Fallback>
        </mc:AlternateContent>
      </w:r>
      <w:r>
        <w:rPr>
          <w:rFonts w:ascii="Calibri" w:hAnsi="Calibri" w:eastAsia="宋体"/>
          <w:sz w:val="21"/>
          <w:szCs w:val="24"/>
        </w:rPr>
        <mc:AlternateContent>
          <mc:Choice Requires="wps">
            <w:drawing>
              <wp:anchor distT="0" distB="0" distL="114300" distR="114300" simplePos="0" relativeHeight="251661312" behindDoc="0" locked="0" layoutInCell="1" allowOverlap="1">
                <wp:simplePos x="0" y="0"/>
                <wp:positionH relativeFrom="column">
                  <wp:posOffset>1524000</wp:posOffset>
                </wp:positionH>
                <wp:positionV relativeFrom="paragraph">
                  <wp:posOffset>97790</wp:posOffset>
                </wp:positionV>
                <wp:extent cx="2080260" cy="559435"/>
                <wp:effectExtent l="4445" t="4445" r="10795" b="7620"/>
                <wp:wrapNone/>
                <wp:docPr id="97" name="文本框 97"/>
                <wp:cNvGraphicFramePr/>
                <a:graphic xmlns:a="http://schemas.openxmlformats.org/drawingml/2006/main">
                  <a:graphicData uri="http://schemas.microsoft.com/office/word/2010/wordprocessingShape">
                    <wps:wsp>
                      <wps:cNvSpPr txBox="true"/>
                      <wps:spPr>
                        <a:xfrm>
                          <a:off x="0" y="0"/>
                          <a:ext cx="2080260" cy="5594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Calibri" w:hAnsi="Calibri" w:eastAsia="宋体"/>
                                <w:sz w:val="21"/>
                                <w:szCs w:val="24"/>
                                <w:lang w:val="en" w:eastAsia="zh-CN"/>
                              </w:rPr>
                            </w:pPr>
                            <w:r>
                              <w:rPr>
                                <w:rFonts w:hint="eastAsia" w:ascii="Calibri" w:hAnsi="Calibri" w:eastAsia="宋体"/>
                                <w:sz w:val="21"/>
                                <w:szCs w:val="24"/>
                                <w:lang w:val="en" w:eastAsia="zh-CN"/>
                              </w:rPr>
                              <w:t>采购预算编制、预算下达</w:t>
                            </w:r>
                          </w:p>
                          <w:p>
                            <w:pPr>
                              <w:rPr>
                                <w:rFonts w:hint="eastAsia" w:ascii="Calibri" w:hAnsi="Calibri" w:eastAsia="宋体"/>
                                <w:sz w:val="21"/>
                                <w:szCs w:val="24"/>
                                <w:lang w:val="en" w:eastAsia="zh-CN"/>
                              </w:rPr>
                            </w:pPr>
                            <w:r>
                              <w:rPr>
                                <w:rFonts w:hint="eastAsia" w:ascii="Calibri" w:hAnsi="Calibri" w:eastAsia="宋体"/>
                                <w:sz w:val="21"/>
                                <w:szCs w:val="24"/>
                                <w:lang w:val="en" w:eastAsia="zh-CN"/>
                              </w:rPr>
                              <w:t>（落实预留中小企业采购份额）</w:t>
                            </w:r>
                          </w:p>
                        </w:txbxContent>
                      </wps:txbx>
                      <wps:bodyPr upright="true"/>
                    </wps:wsp>
                  </a:graphicData>
                </a:graphic>
              </wp:anchor>
            </w:drawing>
          </mc:Choice>
          <mc:Fallback>
            <w:pict>
              <v:shape id="_x0000_s1026" o:spid="_x0000_s1026" o:spt="202" type="#_x0000_t202" style="position:absolute;left:0pt;margin-left:120pt;margin-top:7.7pt;height:44.05pt;width:163.8pt;z-index:251661312;mso-width-relative:page;mso-height-relative:page;" fillcolor="#FFFFFF" filled="t" stroked="t" coordsize="21600,21600" o:gfxdata="UEsFBgAAAAAAAAAAAAAAAAAAAAAAAFBLAwQKAAAAAACHTuJAAAAAAAAAAAAAAAAABAAAAGRycy9Q&#10;SwMEFAAAAAgAh07iQI876vnZAAAACgEAAA8AAABkcnMvZG93bnJldi54bWxNj8FOwzAQRO9I/IO1&#10;SFwQtdsmaQlxekACwQ0Kgqsbb5MIex1iNy1/z3KC486MZt9Um5N3YsIx9oE0zGcKBFITbE+thrfX&#10;++s1iJgMWeMCoYZvjLCpz88qU9pwpBectqkVXEKxNBq6lIZSyth06E2chQGJvX0YvUl8jq20ozly&#10;uXdyoVQhvemJP3RmwLsOm8/twWtYZ4/TR3xaPr83xd7dpKvV9PA1an15MVe3IBKe0l8YfvEZHWpm&#10;2oUD2SichkWmeEtiI89AcCAvVgWIHQtqmYOsK/l/Qv0DUEsDBBQAAAAIAIdO4kCSmeoJ9AEAAPAD&#10;AAAOAAAAZHJzL2Uyb0RvYy54bWytU0uO1DAQ3SNxB8t7OplAhpmo0yNB02wQIA0coNp2Ekv+yXZ3&#10;0heAG7Biw55z9Tmm7P7MDLBAiCycctXzc9Ur1/xm0opshQ/SmpZezEpKhGGWS9O39POn1bMrSkIE&#10;w0FZI1q6E4HeLJ4+mY+uEZUdrOLCEyQxoRldS4cYXVMUgQ1CQ5hZJwwGO+s1RNz6vuAeRmTXqqjK&#10;8rIYrefOWyZCQO/yEKSLzN91gsUPXRdEJKqlmFvMq8/rOq3FYg5N78ENkh3TgH/IQoM0eOmZagkR&#10;yMbL36i0ZN4G28UZs7qwXSeZyDVgNRflL9XcDuBErgXFCe4sU/h/tOz99qMnkrf0+iUlBjT2aP/t&#10;6/77z/2PLwR9KNDoQoO4W4fIOL2yU0uj34hTKKA/lT51Xqc/FkUQgmrvzgqLKRKGzqq8KqtLDDGM&#10;1fX1i+d1oinuTzsf4lthNUlGSz12MAsL23chHqAnSLosWCX5SiqVN75fv1aebAG7vcrfkf0RTBky&#10;Yr11VWMegI+uUxDR1A5lCKbP9z06ER4Sl/n7E3FKbAlhOCSQGRIMGi2j8NkaBPA3hpO4c6i0wZmg&#10;KRktOCVK4AglKyMjSPU3SNROGZQwdenQimTFaT0hTTLXlu+wcxvnZT+gpKfe5RP4rLL8xxFI7/bh&#10;PvPeD+ri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I876vnZAAAACgEAAA8AAAAAAAAAAQAgAAAA&#10;OAAAAGRycy9kb3ducmV2LnhtbFBLAQIUABQAAAAIAIdO4kCSmeoJ9AEAAPADAAAOAAAAAAAAAAEA&#10;IAAAAD4BAABkcnMvZTJvRG9jLnhtbFBLBQYAAAAABgAGAFkBAACkBQAAAAA=&#10;">
                <v:fill on="t" focussize="0,0"/>
                <v:stroke color="#000000" joinstyle="miter"/>
                <v:imagedata o:title=""/>
                <o:lock v:ext="edit" aspectratio="f"/>
                <v:textbox>
                  <w:txbxContent>
                    <w:p>
                      <w:pPr>
                        <w:jc w:val="center"/>
                        <w:rPr>
                          <w:rFonts w:hint="eastAsia" w:ascii="Calibri" w:hAnsi="Calibri" w:eastAsia="宋体"/>
                          <w:sz w:val="21"/>
                          <w:szCs w:val="24"/>
                          <w:lang w:val="en" w:eastAsia="zh-CN"/>
                        </w:rPr>
                      </w:pPr>
                      <w:r>
                        <w:rPr>
                          <w:rFonts w:hint="eastAsia" w:ascii="Calibri" w:hAnsi="Calibri" w:eastAsia="宋体"/>
                          <w:sz w:val="21"/>
                          <w:szCs w:val="24"/>
                          <w:lang w:val="en" w:eastAsia="zh-CN"/>
                        </w:rPr>
                        <w:t>采购预算编制、预算下达</w:t>
                      </w:r>
                    </w:p>
                    <w:p>
                      <w:pPr>
                        <w:rPr>
                          <w:rFonts w:hint="eastAsia" w:ascii="Calibri" w:hAnsi="Calibri" w:eastAsia="宋体"/>
                          <w:sz w:val="21"/>
                          <w:szCs w:val="24"/>
                          <w:lang w:val="en" w:eastAsia="zh-CN"/>
                        </w:rPr>
                      </w:pPr>
                      <w:r>
                        <w:rPr>
                          <w:rFonts w:hint="eastAsia" w:ascii="Calibri" w:hAnsi="Calibri" w:eastAsia="宋体"/>
                          <w:sz w:val="21"/>
                          <w:szCs w:val="24"/>
                          <w:lang w:val="en" w:eastAsia="zh-CN"/>
                        </w:rPr>
                        <w:t>（落实预留中小企业采购份额）</w:t>
                      </w:r>
                    </w:p>
                  </w:txbxContent>
                </v:textbox>
              </v:shape>
            </w:pict>
          </mc:Fallback>
        </mc:AlternateContent>
      </w:r>
    </w:p>
    <w:p>
      <w:pPr>
        <w:rPr>
          <w:rFonts w:ascii="Calibri" w:hAnsi="Calibri" w:eastAsia="宋体"/>
          <w:sz w:val="21"/>
          <w:szCs w:val="24"/>
        </w:rPr>
      </w:pPr>
    </w:p>
    <w:p>
      <w:pPr>
        <w:rPr>
          <w:rFonts w:ascii="Calibri" w:hAnsi="Calibri" w:eastAsia="宋体"/>
          <w:sz w:val="21"/>
          <w:szCs w:val="24"/>
        </w:rPr>
      </w:pPr>
    </w:p>
    <w:p>
      <w:pPr>
        <w:rPr>
          <w:rFonts w:ascii="Calibri" w:hAnsi="Calibri" w:eastAsia="宋体"/>
          <w:sz w:val="21"/>
          <w:szCs w:val="24"/>
        </w:rPr>
      </w:pPr>
      <w:r>
        <w:rPr>
          <w:rFonts w:ascii="Calibri" w:hAnsi="Calibri" w:eastAsia="宋体"/>
          <w:sz w:val="21"/>
          <w:szCs w:val="24"/>
        </w:rPr>
        <mc:AlternateContent>
          <mc:Choice Requires="wps">
            <w:drawing>
              <wp:anchor distT="0" distB="0" distL="114300" distR="114300" simplePos="0" relativeHeight="251681792" behindDoc="0" locked="0" layoutInCell="1" allowOverlap="1">
                <wp:simplePos x="0" y="0"/>
                <wp:positionH relativeFrom="column">
                  <wp:posOffset>3957955</wp:posOffset>
                </wp:positionH>
                <wp:positionV relativeFrom="paragraph">
                  <wp:posOffset>8255</wp:posOffset>
                </wp:positionV>
                <wp:extent cx="1238250" cy="477520"/>
                <wp:effectExtent l="4445" t="5080" r="14605" b="12700"/>
                <wp:wrapNone/>
                <wp:docPr id="98" name="文本框 98"/>
                <wp:cNvGraphicFramePr/>
                <a:graphic xmlns:a="http://schemas.openxmlformats.org/drawingml/2006/main">
                  <a:graphicData uri="http://schemas.microsoft.com/office/word/2010/wordprocessingShape">
                    <wps:wsp>
                      <wps:cNvSpPr txBox="true"/>
                      <wps:spPr>
                        <a:xfrm>
                          <a:off x="0" y="0"/>
                          <a:ext cx="1238250" cy="4775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Calibri" w:hAnsi="Calibri" w:eastAsia="宋体"/>
                                <w:sz w:val="21"/>
                                <w:szCs w:val="24"/>
                                <w:lang w:eastAsia="zh-CN"/>
                              </w:rPr>
                            </w:pPr>
                            <w:r>
                              <w:rPr>
                                <w:rFonts w:hint="eastAsia" w:ascii="Calibri" w:hAnsi="Calibri" w:eastAsia="宋体"/>
                                <w:sz w:val="21"/>
                                <w:szCs w:val="24"/>
                                <w:lang w:eastAsia="zh-CN"/>
                              </w:rPr>
                              <w:t>意向公开也可在预算下达前公开</w:t>
                            </w:r>
                          </w:p>
                        </w:txbxContent>
                      </wps:txbx>
                      <wps:bodyPr upright="true"/>
                    </wps:wsp>
                  </a:graphicData>
                </a:graphic>
              </wp:anchor>
            </w:drawing>
          </mc:Choice>
          <mc:Fallback>
            <w:pict>
              <v:shape id="_x0000_s1026" o:spid="_x0000_s1026" o:spt="202" type="#_x0000_t202" style="position:absolute;left:0pt;margin-left:311.65pt;margin-top:0.65pt;height:37.6pt;width:97.5pt;z-index:251681792;mso-width-relative:page;mso-height-relative:page;" fillcolor="#FFFFFF" filled="t" stroked="t" coordsize="21600,21600" o:gfxdata="UEsFBgAAAAAAAAAAAAAAAAAAAAAAAFBLAwQKAAAAAACHTuJAAAAAAAAAAAAAAAAABAAAAGRycy9Q&#10;SwMEFAAAAAgAh07iQAmzpUbXAAAACAEAAA8AAABkcnMvZG93bnJldi54bWxNj0FPwzAMhe9I/IfI&#10;SFwQS7tCV0rTHZBAcIOB4Jo1XluROCXJuvHvMSc42dZ7ev5esz46K2YMcfSkIF9kIJA6b0bqFby9&#10;3l9WIGLSZLT1hAq+McK6PT1pdG38gV5w3qRecAjFWisYUppqKWM3oNNx4Sck1nY+OJ34DL00QR84&#10;3Fm5zLJSOj0Sfxj0hHcDdp+bvVNQXT3OH/GpeH7vyp29SRer+eErKHV+lme3IBIe058ZfvEZHVpm&#10;2vo9mSisgnJZFGxlgQfrVV7xslWwKq9Bto38X6D9AVBLAwQUAAAACACHTuJAUDjLK/UBAADwAwAA&#10;DgAAAGRycy9lMm9Eb2MueG1srVNLjhMxEN0jcQfLe9JJQ5iZVjojQQgbBEgDB6j4023JP9lOunMB&#10;uAErNuw5V85B2ZlkPrBAiF64y67y86v37MX1aDTZiRCVsy2dTaaUCMscV7Zr6edP62eXlMQEloN2&#10;VrR0LyK9Xj59shh8I2rXO81FIAhiYzP4lvYp+aaqIuuFgThxXlhMShcMJJyGruIBBkQ3uqqn05fV&#10;4AL3wTERI66ujkm6LPhSCpY+SBlFIrqlyC2VMZRxk8dquYCmC+B7xW5pwD+wMKAsHnqGWkECsg3q&#10;NyijWHDRyTRhzlROSsVE6QG7mU0fdXPTgxelFxQn+rNM8f/Bsve7j4Eo3tIrdMqCQY8O374evv88&#10;/PhCcA0FGnxssO7GY2UaX7mxpSlsxSkVcT23Pspg8h+bIliCau/PCosxEYaLs/r5ZT3HFMPci4uL&#10;eV0sqO52+xDTW+EMyUFLAzpYhIXdu5iQDJaeSvJh0WnF10rrMgnd5rUOZAfo9rp8mSRueVCmLRmw&#10;33k9Rx6Al05qSBgajzJE25XzHuyI94Gn5fsTcCa2gtgfCRSEXAaNUUmEEvUC+BvLSdp7VNrim6CZ&#10;jBGcEi3wCeWoVCZQ+m8qsTttscns0tGKHKVxMyJMDjeO79G5rQ+q61HSk3dlB16rItDtE8j39v68&#10;4N491O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CbOlRtcAAAAIAQAADwAAAAAAAAABACAAAAA4&#10;AAAAZHJzL2Rvd25yZXYueG1sUEsBAhQAFAAAAAgAh07iQFA4yyv1AQAA8AMAAA4AAAAAAAAAAQAg&#10;AAAAPAEAAGRycy9lMm9Eb2MueG1sUEsFBgAAAAAGAAYAWQEAAKMFAAAAAA==&#10;">
                <v:fill on="t" focussize="0,0"/>
                <v:stroke color="#000000" joinstyle="miter"/>
                <v:imagedata o:title=""/>
                <o:lock v:ext="edit" aspectratio="f"/>
                <v:textbox>
                  <w:txbxContent>
                    <w:p>
                      <w:pPr>
                        <w:rPr>
                          <w:rFonts w:hint="eastAsia" w:ascii="Calibri" w:hAnsi="Calibri" w:eastAsia="宋体"/>
                          <w:sz w:val="21"/>
                          <w:szCs w:val="24"/>
                          <w:lang w:eastAsia="zh-CN"/>
                        </w:rPr>
                      </w:pPr>
                      <w:r>
                        <w:rPr>
                          <w:rFonts w:hint="eastAsia" w:ascii="Calibri" w:hAnsi="Calibri" w:eastAsia="宋体"/>
                          <w:sz w:val="21"/>
                          <w:szCs w:val="24"/>
                          <w:lang w:eastAsia="zh-CN"/>
                        </w:rPr>
                        <w:t>意向公开也可在预算下达前公开</w:t>
                      </w:r>
                    </w:p>
                  </w:txbxContent>
                </v:textbox>
              </v:shape>
            </w:pict>
          </mc:Fallback>
        </mc:AlternateContent>
      </w:r>
      <w:r>
        <w:rPr>
          <w:rFonts w:ascii="Calibri" w:hAnsi="Calibri" w:eastAsia="宋体"/>
          <w:sz w:val="21"/>
          <w:szCs w:val="24"/>
        </w:rPr>
        <mc:AlternateContent>
          <mc:Choice Requires="wps">
            <w:drawing>
              <wp:anchor distT="0" distB="0" distL="114300" distR="114300" simplePos="0" relativeHeight="251667456" behindDoc="0" locked="0" layoutInCell="1" allowOverlap="1">
                <wp:simplePos x="0" y="0"/>
                <wp:positionH relativeFrom="column">
                  <wp:posOffset>2527300</wp:posOffset>
                </wp:positionH>
                <wp:positionV relativeFrom="paragraph">
                  <wp:posOffset>106680</wp:posOffset>
                </wp:positionV>
                <wp:extent cx="635" cy="285750"/>
                <wp:effectExtent l="38100" t="0" r="37465" b="0"/>
                <wp:wrapNone/>
                <wp:docPr id="99" name="直接连接符 99"/>
                <wp:cNvGraphicFramePr/>
                <a:graphic xmlns:a="http://schemas.openxmlformats.org/drawingml/2006/main">
                  <a:graphicData uri="http://schemas.microsoft.com/office/word/2010/wordprocessingShape">
                    <wps:wsp>
                      <wps:cNvCnPr/>
                      <wps:spPr>
                        <a:xfrm>
                          <a:off x="0" y="0"/>
                          <a:ext cx="635" cy="285750"/>
                        </a:xfrm>
                        <a:prstGeom prst="line">
                          <a:avLst/>
                        </a:prstGeom>
                        <a:ln w="9525" cap="flat" cmpd="sng">
                          <a:solidFill>
                            <a:srgbClr val="000000"/>
                          </a:solidFill>
                          <a:prstDash val="solid"/>
                          <a:headEnd type="triangle" w="med" len="med"/>
                          <a:tailEnd type="triangle" w="med" len="med"/>
                        </a:ln>
                      </wps:spPr>
                      <wps:bodyPr upright="true"/>
                    </wps:wsp>
                  </a:graphicData>
                </a:graphic>
              </wp:anchor>
            </w:drawing>
          </mc:Choice>
          <mc:Fallback>
            <w:pict>
              <v:line id="_x0000_s1026" o:spid="_x0000_s1026" o:spt="20" style="position:absolute;left:0pt;margin-left:199pt;margin-top:8.4pt;height:22.5pt;width:0.05pt;z-index:251667456;mso-width-relative:page;mso-height-relative:page;" filled="f" stroked="t" coordsize="21600,21600" o:gfxdata="UEsFBgAAAAAAAAAAAAAAAAAAAAAAAFBLAwQKAAAAAACHTuJAAAAAAAAAAAAAAAAABAAAAGRycy9Q&#10;SwMEFAAAAAgAh07iQKHqj8bXAAAACQEAAA8AAABkcnMvZG93bnJldi54bWxNj8FOwzAQRO9I/IO1&#10;SNyok1aKkhCnUqv20gNSUz7AjZck1F5HsdsGvp7lBMedGc3Oq9azs+KGUxg8KUgXCQik1puBOgXv&#10;p/1LDiJETUZbT6jgCwOs68eHSpfG3+mItyZ2gksolFpBH+NYShnaHp0OCz8isffhJ6cjn1MnzaTv&#10;XO6sXCZJJp0eiD/0esRtj+2luToFq2Hz3bztTHHY281pe/Gz+yyOSj0/pckriIhz/AvD73yeDjVv&#10;OvsrmSAsdxQ5s0Q2MkbgAAspiLOCLM1B1pX8T1D/AFBLAwQUAAAACACHTuJA4avXCuIBAACkAwAA&#10;DgAAAGRycy9lMm9Eb2MueG1srVNLjhMxEN0jcQfLe9KZoAwzrXRmMWHYIBgJOEDFn25L/qnspJNL&#10;cAEkdrBiyZ7bMByDshMyfDYI0Yvqsqv8/N7r6sXVzlm2VZhM8B0/m0w5U14EaXzf8Tevbx5dcJYy&#10;eAk2eNXxvUr8avnwwWKMrZqFIVipkBGIT+0YOz7kHNumSWJQDtIkROWpqAM6yLTEvpEII6E728ym&#10;0/NmDCgjBqFSot3VociXFV9rJfJLrZPKzHacuOUascZ1ic1yAW2PEAcjjjTgH1g4MJ4uPUGtIAPb&#10;oPkDyhmBIQWdJyK4JmhthKoaSM3Z9Dc1rwaIqmohc1I82ZT+H6x4sb1FZmTHLy858+DoG929+/z1&#10;7YdvX95TvPv0kVGFbBpjaqn72t/icZXiLRbNO42uvEkN21Vr9ydr1S4zQZvnj+ecCdqfXcyfzKvv&#10;zf3JiCk/U8GxknTcGl9kQwvb5ynTbdT6o6VsW89GIjyfFUygqdEWMqUuko7k+3o2BWvkjbG2nEjY&#10;r68tsi2UOahP0US4v7SVS1aQhkNfLR0mZFAgn3rJ8j6SQRkN+N4qXmg4JTmziqa/ZAQKbQZj/7ab&#10;KFhPTIq9B0NLtg5yT99lE9H0AzmScaMq4VKkUajUj2NbZu3ndQW7/7mW3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h6o/G1wAAAAkBAAAPAAAAAAAAAAEAIAAAADgAAABkcnMvZG93bnJldi54bWxQ&#10;SwECFAAUAAAACACHTuJA4avXCuIBAACkAwAADgAAAAAAAAABACAAAAA8AQAAZHJzL2Uyb0RvYy54&#10;bWxQSwUGAAAAAAYABgBZAQAAkAUAAAAA&#10;">
                <v:fill on="f" focussize="0,0"/>
                <v:stroke color="#000000" joinstyle="round" startarrow="block" endarrow="block"/>
                <v:imagedata o:title=""/>
                <o:lock v:ext="edit" aspectratio="f"/>
              </v:line>
            </w:pict>
          </mc:Fallback>
        </mc:AlternateContent>
      </w:r>
    </w:p>
    <w:p>
      <w:pPr>
        <w:rPr>
          <w:rFonts w:ascii="Calibri" w:hAnsi="Calibri" w:eastAsia="宋体"/>
          <w:sz w:val="21"/>
          <w:szCs w:val="24"/>
        </w:rPr>
      </w:pPr>
      <w:r>
        <w:rPr>
          <w:rFonts w:ascii="Calibri" w:hAnsi="Calibri" w:eastAsia="宋体"/>
          <w:sz w:val="21"/>
          <w:szCs w:val="24"/>
        </w:rPr>
        <mc:AlternateContent>
          <mc:Choice Requires="wps">
            <w:drawing>
              <wp:anchor distT="0" distB="0" distL="114300" distR="114300" simplePos="0" relativeHeight="251680768" behindDoc="0" locked="0" layoutInCell="1" allowOverlap="1">
                <wp:simplePos x="0" y="0"/>
                <wp:positionH relativeFrom="column">
                  <wp:posOffset>2520950</wp:posOffset>
                </wp:positionH>
                <wp:positionV relativeFrom="paragraph">
                  <wp:posOffset>43180</wp:posOffset>
                </wp:positionV>
                <wp:extent cx="1419860" cy="635"/>
                <wp:effectExtent l="0" t="48260" r="8890" b="65405"/>
                <wp:wrapNone/>
                <wp:docPr id="100" name="直接连接符 100"/>
                <wp:cNvGraphicFramePr/>
                <a:graphic xmlns:a="http://schemas.openxmlformats.org/drawingml/2006/main">
                  <a:graphicData uri="http://schemas.microsoft.com/office/word/2010/wordprocessingShape">
                    <wps:wsp>
                      <wps:cNvCnPr/>
                      <wps:spPr>
                        <a:xfrm>
                          <a:off x="0" y="0"/>
                          <a:ext cx="1419860" cy="635"/>
                        </a:xfrm>
                        <a:prstGeom prst="line">
                          <a:avLst/>
                        </a:prstGeom>
                        <a:ln w="9525" cap="flat" cmpd="sng">
                          <a:solidFill>
                            <a:srgbClr val="000000"/>
                          </a:solidFill>
                          <a:prstDash val="solid"/>
                          <a:headEnd type="none" w="med" len="med"/>
                          <a:tailEnd type="arrow" w="med" len="med"/>
                        </a:ln>
                      </wps:spPr>
                      <wps:bodyPr upright="true"/>
                    </wps:wsp>
                  </a:graphicData>
                </a:graphic>
              </wp:anchor>
            </w:drawing>
          </mc:Choice>
          <mc:Fallback>
            <w:pict>
              <v:line id="_x0000_s1026" o:spid="_x0000_s1026" o:spt="20" style="position:absolute;left:0pt;margin-left:198.5pt;margin-top:3.4pt;height:0.05pt;width:111.8pt;z-index:251680768;mso-width-relative:page;mso-height-relative:page;" filled="f" stroked="t" coordsize="21600,21600" o:gfxdata="UEsFBgAAAAAAAAAAAAAAAAAAAAAAAFBLAwQKAAAAAACHTuJAAAAAAAAAAAAAAAAABAAAAGRycy9Q&#10;SwMEFAAAAAgAh07iQMpd5/zYAAAABwEAAA8AAABkcnMvZG93bnJldi54bWxNj8FOwzAQRO9I/IO1&#10;SFwQdVpEaEOcHkBIgOBA2oqrG2/jCHsdxW4T/p7lBLdZzWrmTbmevBMnHGIXSMF8loFAaoLpqFWw&#10;3TxdL0HEpMloFwgVfGOEdXV+VurChJE+8FSnVnAIxUIrsCn1hZSxseh1nIUeib1DGLxOfA6tNIMe&#10;Odw7uciyXHrdETdY3eODxearPnoF7W58Mc9vn/XB7R43r7dX1r77SanLi3l2DyLhlP6e4Ref0aFi&#10;pn04konCKbhZ3fGWpCDnBezniywHsWexAlmV8j9/9QNQSwMEFAAAAAgAh07iQDh+YNXiAQAAoAMA&#10;AA4AAABkcnMvZTJvRG9jLnhtbK1TS44TMRDdI3EHy3vSSSDRTCudWUwYNggiAQeo2O5uS/6p7KST&#10;S3ABJHawYsme2zAcg7ITEn4rRBaVsuv5ud5z9eJmbw3bKYzau4ZPRmPOlBNeatc1/M3ru0dXnMUE&#10;ToLxTjX8oCK/WT58sBhCraa+90YqZETiYj2EhvcphbqqouiVhTjyQTkqth4tJFpiV0mEgditqabj&#10;8bwaPMqAXqgYaXd1LPJl4W9bJdLLto0qMdNw6i2ViCVucqyWC6g7hNBrcWoD/qELC9rRpWeqFSRg&#10;W9R/UFkt0EffppHwtvJtq4UqGkjNZPybmlc9BFW0kDkxnG2K/49WvNitkWlJbzcmfxxYeqT7d5+/&#10;vv3w7ct7ivefPrJcIqOGEGvC37o1nlYxrDGr3rdo8z/pYfti7uFsrtonJmhz8mRyfTWnOwTV5o9n&#10;mbG6HA0Y0zPlLctJw412WTnUsHse0xH6A5K3jWNDw69n0xkRAg1OayBRagNJia4rZ6M3Wt5pY/KJ&#10;iN3m1iDbQR6F8ju18AssX7KC2B9xpZRhUPcK5FMnWToEssjRNPPcglWSM6No+HNWkAm0uSAB0Q9/&#10;h5J848iFbOzRypxtvDzQm2wD6q4nKxJuVek0F2kMim2nkc1z9vO6kF0+rOV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yl3n/NgAAAAHAQAADwAAAAAAAAABACAAAAA4AAAAZHJzL2Rvd25yZXYueG1s&#10;UEsBAhQAFAAAAAgAh07iQDh+YNXiAQAAoAMAAA4AAAAAAAAAAQAgAAAAPQEAAGRycy9lMm9Eb2Mu&#10;eG1sUEsFBgAAAAAGAAYAWQEAAJEFAAAAAA==&#10;">
                <v:fill on="f" focussize="0,0"/>
                <v:stroke color="#000000" joinstyle="round" endarrow="open"/>
                <v:imagedata o:title=""/>
                <o:lock v:ext="edit" aspectratio="f"/>
              </v:line>
            </w:pict>
          </mc:Fallback>
        </mc:AlternateContent>
      </w:r>
      <w:r>
        <w:rPr>
          <w:rFonts w:ascii="Calibri" w:hAnsi="Calibri" w:eastAsia="宋体"/>
          <w:sz w:val="21"/>
          <w:szCs w:val="24"/>
        </w:rPr>
        <mc:AlternateContent>
          <mc:Choice Requires="wps">
            <w:drawing>
              <wp:anchor distT="0" distB="0" distL="114300" distR="114300" simplePos="0" relativeHeight="251662336" behindDoc="0" locked="0" layoutInCell="1" allowOverlap="1">
                <wp:simplePos x="0" y="0"/>
                <wp:positionH relativeFrom="column">
                  <wp:posOffset>2044065</wp:posOffset>
                </wp:positionH>
                <wp:positionV relativeFrom="paragraph">
                  <wp:posOffset>187960</wp:posOffset>
                </wp:positionV>
                <wp:extent cx="1020445" cy="278130"/>
                <wp:effectExtent l="4445" t="4445" r="22860" b="22225"/>
                <wp:wrapNone/>
                <wp:docPr id="101" name="文本框 101"/>
                <wp:cNvGraphicFramePr/>
                <a:graphic xmlns:a="http://schemas.openxmlformats.org/drawingml/2006/main">
                  <a:graphicData uri="http://schemas.microsoft.com/office/word/2010/wordprocessingShape">
                    <wps:wsp>
                      <wps:cNvSpPr txBox="true"/>
                      <wps:spPr>
                        <a:xfrm>
                          <a:off x="0" y="0"/>
                          <a:ext cx="1020445" cy="2781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Calibri" w:hAnsi="Calibri" w:eastAsia="宋体"/>
                                <w:sz w:val="21"/>
                                <w:szCs w:val="24"/>
                                <w:lang w:eastAsia="zh-CN"/>
                              </w:rPr>
                            </w:pPr>
                            <w:r>
                              <w:rPr>
                                <w:rFonts w:hint="eastAsia" w:ascii="Calibri" w:hAnsi="Calibri" w:eastAsia="宋体"/>
                                <w:sz w:val="21"/>
                                <w:szCs w:val="24"/>
                                <w:lang w:eastAsia="zh-CN"/>
                              </w:rPr>
                              <w:t>采购意向公开</w:t>
                            </w:r>
                          </w:p>
                        </w:txbxContent>
                      </wps:txbx>
                      <wps:bodyPr upright="true"/>
                    </wps:wsp>
                  </a:graphicData>
                </a:graphic>
              </wp:anchor>
            </w:drawing>
          </mc:Choice>
          <mc:Fallback>
            <w:pict>
              <v:shape id="_x0000_s1026" o:spid="_x0000_s1026" o:spt="202" type="#_x0000_t202" style="position:absolute;left:0pt;margin-left:160.95pt;margin-top:14.8pt;height:21.9pt;width:80.35pt;z-index:251662336;mso-width-relative:page;mso-height-relative:page;" fillcolor="#FFFFFF" filled="t" stroked="t" coordsize="21600,21600" o:gfxdata="UEsFBgAAAAAAAAAAAAAAAAAAAAAAAFBLAwQKAAAAAACHTuJAAAAAAAAAAAAAAAAABAAAAGRycy9Q&#10;SwMEFAAAAAgAh07iQE2dAPfYAAAACQEAAA8AAABkcnMvZG93bnJldi54bWxNj8tOwzAQRfdI/IM1&#10;SGwQdV5Kk5BJF0gg2NGCYOvG0yTCj2C7afl7zAp2M5qjO+e2m7NWbCHnJ2sQ0lUCjExv5WQGhLfX&#10;h9sKmA/CSKGsIYRv8rDpLi9a0Uh7MltadmFgMcT4RiCMIcwN574fSQu/sjOZeDtYp0WIqxu4dOIU&#10;w7XiWZKUXIvJxA+jmOl+pP5zd9QIVfG0fPjn/OW9Lw+qDjfr5fHLIV5fpckdsEDn8AfDr35Uhy46&#10;7e3RSM8UQp6ldUQRsroEFoGiyuKwR1jnBfCu5f8bdD9QSwMEFAAAAAgAh07iQOAhu733AQAA8gMA&#10;AA4AAABkcnMvZTJvRG9jLnhtbK1TS44TMRDdI3EHy3vSnWYGhlY6I0EIGwRIAweo+NNtyT/ZTrpz&#10;AbgBKzbsOVfOQdmZZGaABUL0wl22n5+r3nMtriejyU6EqJzt6HxWUyIsc1zZvqOfPq6fXFESE1gO&#10;2lnR0b2I9Hr5+NFi9K1o3OA0F4EgiY3t6Ds6pOTbqopsEAbizHlhcVO6YCDhNPQVDzAiu9FVU9fP&#10;qtEF7oNjIkZcXR036bLwSylYei9lFInojmJuqYyhjJs8VssFtH0APyh2mwb8QxYGlMVLz1QrSEC2&#10;Qf1GZRQLLjqZZsyZykmpmCg1YDXz+pdqbgbwotSC4kR/lin+P1r2bvchEMXRu3pOiQWDJh2+fjl8&#10;+3H4/pnkRZRo9LFF5I1HbJpeuqmjKWzFaSviei5+ksHkP5ZFEIJ6788aiykRhovzuqkvLi4pYbjX&#10;PL+aPy0mVHenfYjpjXCG5KCjAT0s0sLubUyYDEJPkHxZdFrxtdK6TEK/eaUD2QH6vS5fThKPPIBp&#10;S8aOvrhsch6Az05qSBgaj0JE25f7HpyI94nr8v2JOCe2gjgcEygMGQatUUmEEg0C+GvLSdp7lNpi&#10;V9CcjBGcEi2wiXJUkAmU/hskVqctFpldOlqRozRtJqTJ4cbxPTq39UH1A0p68q6cwIdVBLptgvxy&#10;788L712rLn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TZ0A99gAAAAJAQAADwAAAAAAAAABACAA&#10;AAA4AAAAZHJzL2Rvd25yZXYueG1sUEsBAhQAFAAAAAgAh07iQOAhu733AQAA8gMAAA4AAAAAAAAA&#10;AQAgAAAAPQEAAGRycy9lMm9Eb2MueG1sUEsFBgAAAAAGAAYAWQEAAKYFAAAAAA==&#10;">
                <v:fill on="t" focussize="0,0"/>
                <v:stroke color="#000000" joinstyle="miter"/>
                <v:imagedata o:title=""/>
                <o:lock v:ext="edit" aspectratio="f"/>
                <v:textbox>
                  <w:txbxContent>
                    <w:p>
                      <w:pPr>
                        <w:rPr>
                          <w:rFonts w:hint="eastAsia" w:ascii="Calibri" w:hAnsi="Calibri" w:eastAsia="宋体"/>
                          <w:sz w:val="21"/>
                          <w:szCs w:val="24"/>
                          <w:lang w:eastAsia="zh-CN"/>
                        </w:rPr>
                      </w:pPr>
                      <w:r>
                        <w:rPr>
                          <w:rFonts w:hint="eastAsia" w:ascii="Calibri" w:hAnsi="Calibri" w:eastAsia="宋体"/>
                          <w:sz w:val="21"/>
                          <w:szCs w:val="24"/>
                          <w:lang w:eastAsia="zh-CN"/>
                        </w:rPr>
                        <w:t>采购意向公开</w:t>
                      </w:r>
                    </w:p>
                  </w:txbxContent>
                </v:textbox>
              </v:shape>
            </w:pict>
          </mc:Fallback>
        </mc:AlternateContent>
      </w:r>
    </w:p>
    <w:p>
      <w:pPr>
        <w:rPr>
          <w:rFonts w:ascii="Calibri" w:hAnsi="Calibri" w:eastAsia="宋体"/>
          <w:sz w:val="21"/>
          <w:szCs w:val="24"/>
        </w:rPr>
      </w:pPr>
      <w:r>
        <w:rPr>
          <w:rFonts w:ascii="Calibri" w:hAnsi="Calibri" w:eastAsia="宋体"/>
          <w:sz w:val="21"/>
          <w:szCs w:val="24"/>
        </w:rPr>
        <mc:AlternateContent>
          <mc:Choice Requires="wps">
            <w:drawing>
              <wp:anchor distT="0" distB="0" distL="114300" distR="114300" simplePos="0" relativeHeight="251671552" behindDoc="0" locked="0" layoutInCell="1" allowOverlap="1">
                <wp:simplePos x="0" y="0"/>
                <wp:positionH relativeFrom="column">
                  <wp:posOffset>457835</wp:posOffset>
                </wp:positionH>
                <wp:positionV relativeFrom="paragraph">
                  <wp:posOffset>140335</wp:posOffset>
                </wp:positionV>
                <wp:extent cx="6350" cy="439420"/>
                <wp:effectExtent l="47625" t="0" r="60325" b="17780"/>
                <wp:wrapNone/>
                <wp:docPr id="102" name="直接连接符 102"/>
                <wp:cNvGraphicFramePr/>
                <a:graphic xmlns:a="http://schemas.openxmlformats.org/drawingml/2006/main">
                  <a:graphicData uri="http://schemas.microsoft.com/office/word/2010/wordprocessingShape">
                    <wps:wsp>
                      <wps:cNvCnPr/>
                      <wps:spPr>
                        <a:xfrm flipH="true">
                          <a:off x="0" y="0"/>
                          <a:ext cx="6350" cy="439420"/>
                        </a:xfrm>
                        <a:prstGeom prst="line">
                          <a:avLst/>
                        </a:prstGeom>
                        <a:ln w="9525" cap="flat" cmpd="sng">
                          <a:solidFill>
                            <a:srgbClr val="000000"/>
                          </a:solidFill>
                          <a:prstDash val="solid"/>
                          <a:headEnd type="none" w="med" len="med"/>
                          <a:tailEnd type="arrow" w="med" len="med"/>
                        </a:ln>
                      </wps:spPr>
                      <wps:bodyPr upright="true"/>
                    </wps:wsp>
                  </a:graphicData>
                </a:graphic>
              </wp:anchor>
            </w:drawing>
          </mc:Choice>
          <mc:Fallback>
            <w:pict>
              <v:line id="_x0000_s1026" o:spid="_x0000_s1026" o:spt="20" style="position:absolute;left:0pt;flip:x;margin-left:36.05pt;margin-top:11.05pt;height:34.6pt;width:0.5pt;z-index:251671552;mso-width-relative:page;mso-height-relative:page;" filled="f" stroked="t" coordsize="21600,21600" o:gfxdata="UEsFBgAAAAAAAAAAAAAAAAAAAAAAAFBLAwQKAAAAAACHTuJAAAAAAAAAAAAAAAAABAAAAGRycy9Q&#10;SwMEFAAAAAgAh07iQP3hPtTVAAAABwEAAA8AAABkcnMvZG93bnJldi54bWxNjjFPwzAUhHck/oP1&#10;kFgq6iSVCE3z0qESDGy4FaxO/JqExnYUu23497xOMJ1Od7r7yu1sB3GhKfTeIaTLBAS5xpvetQiH&#10;/evTC4gQtTN68I4QfijAtrq/K3Vh/NV90EXFVvCIC4VG6GIcCylD05HVYelHcpwd/WR1ZDu10kz6&#10;yuN2kFmSPEure8cPnR5p11FzUmeL8PYeY70/jHFxOn6q76/Fbla5Qnx8SJMNiEhz/CvDDZ/RoWKm&#10;2p+dCWJAyLOUmwjZTTnPV6w1wjpdgaxK+Z+/+gVQSwMEFAAAAAgAh07iQFkMrl/wAQAArQMAAA4A&#10;AABkcnMvZTJvRG9jLnhtbK1TS44TMRDdI3EHy3vSmcxkxLTSmcWEgQWCSMABKm6725J/Kjvp5BJc&#10;AIkdrFiy5zYMx6DsDhl+K0QvLLvr+dWrV+XF9d4atpMYtXcNP5tMOZNO+Fa7ruFvXt8+esxZTOBa&#10;MN7Jhh9k5NfLhw8WQ6jlzPfetBIZkbhYD6HhfUqhrqooemkhTnyQjoLKo4VER+yqFmEgdmuq2XR6&#10;WQ0e24BeyBjp72oM8mXhV0qK9FKpKBMzDSdtqaxY1k1eq+UC6g4h9FocZcA/qLCgHSU9Ua0gAdui&#10;/oPKaoE+epUmwtvKK6WFLDVQNWfT36p51UOQpRYyJ4aTTfH/0YoXuzUy3VLvpjPOHFhq0t27z1/f&#10;fvj25T2td58+shwio4YQa8LfuDUeTzGsMVe9V2iZMjo8a3jCbdYMNRXH9sXpw8lpuU9M0M/L8zl1&#10;Q1Dg4vzqYlb6UI08+WrAmJ5Kb1neNNxoN1LC7nlMlJugPyAZbhwbGn41n82JE2iKlIFEWxuorui6&#10;Iid6o9tbbUy+EbHb3BhkO8hzUb5cIfH+AstJVhD7EVdC48T0EtonrmXpEMgvR6PNswQrW86MpJeQ&#10;d0QIdQJt7pGA6Ie/Qym3cSQhuzz6mncb3x6oQduAuuvJiuJuVpqDNBNF83F+89D9fC6o+1e2/A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94T7U1QAAAAcBAAAPAAAAAAAAAAEAIAAAADgAAABkcnMv&#10;ZG93bnJldi54bWxQSwECFAAUAAAACACHTuJAWQyuX/ABAACtAwAADgAAAAAAAAABACAAAAA6AQAA&#10;ZHJzL2Uyb0RvYy54bWxQSwUGAAAAAAYABgBZAQAAnAUAAAAA&#10;">
                <v:fill on="f" focussize="0,0"/>
                <v:stroke color="#000000" joinstyle="round" endarrow="open"/>
                <v:imagedata o:title=""/>
                <o:lock v:ext="edit" aspectratio="f"/>
              </v:line>
            </w:pict>
          </mc:Fallback>
        </mc:AlternateContent>
      </w:r>
      <w:r>
        <w:rPr>
          <w:rFonts w:ascii="Calibri" w:hAnsi="Calibri" w:eastAsia="宋体"/>
          <w:sz w:val="21"/>
          <w:szCs w:val="24"/>
        </w:rPr>
        <mc:AlternateContent>
          <mc:Choice Requires="wps">
            <w:drawing>
              <wp:anchor distT="0" distB="0" distL="114300" distR="114300" simplePos="0" relativeHeight="251670528" behindDoc="0" locked="0" layoutInCell="1" allowOverlap="1">
                <wp:simplePos x="0" y="0"/>
                <wp:positionH relativeFrom="column">
                  <wp:posOffset>450215</wp:posOffset>
                </wp:positionH>
                <wp:positionV relativeFrom="paragraph">
                  <wp:posOffset>137795</wp:posOffset>
                </wp:positionV>
                <wp:extent cx="1609090" cy="5715"/>
                <wp:effectExtent l="0" t="0" r="0" b="0"/>
                <wp:wrapNone/>
                <wp:docPr id="103" name="直接连接符 103"/>
                <wp:cNvGraphicFramePr/>
                <a:graphic xmlns:a="http://schemas.openxmlformats.org/drawingml/2006/main">
                  <a:graphicData uri="http://schemas.microsoft.com/office/word/2010/wordprocessingShape">
                    <wps:wsp>
                      <wps:cNvCnPr/>
                      <wps:spPr>
                        <a:xfrm>
                          <a:off x="0" y="0"/>
                          <a:ext cx="1609090" cy="571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35.45pt;margin-top:10.85pt;height:0.45pt;width:126.7pt;z-index:251670528;mso-width-relative:page;mso-height-relative:page;" filled="f" stroked="t" coordsize="21600,21600" o:gfxdata="UEsFBgAAAAAAAAAAAAAAAAAAAAAAAFBLAwQKAAAAAACHTuJAAAAAAAAAAAAAAAAABAAAAGRycy9Q&#10;SwMEFAAAAAgAh07iQKEDdNDXAAAACAEAAA8AAABkcnMvZG93bnJldi54bWxNj81OwzAQhO9IvIO1&#10;SFyq1o6DWghxegBy40Kh4urGSxIRr9PY/YGnZznBcXZGM9+W67MfxBGn2AcykC0UCKQmuJ5aA2+v&#10;9fwWREyWnB0CoYEvjLCuLi9KW7hwohc8blIruIRiYQ10KY2FlLHp0Nu4CCMSex9h8jaxnFrpJnvi&#10;cj9IrdRSetsTL3R2xIcOm8/NwRuI9Rb39fesman3vA2o94/PT9aY66tM3YNIeE5/YfjFZ3SomGkX&#10;DuSiGAys1B0nDehsBYL9XN/kIHZ80EuQVSn/P1D9AFBLAwQUAAAACACHTuJAvuSD798BAACgAwAA&#10;DgAAAGRycy9lMm9Eb2MueG1srVNLjhMxEN0jcQfLe9KdoAxMK51ZTBg2CCIBB6jY7m5L/qnspJNL&#10;cAEkdrBiyZ7bzHAMyk7I8NkgRLfkLruen+s9Vy+u9tawncKovWv5dFJzppzwUru+5W/f3Dx6yllM&#10;4CQY71TLDyryq+XDB4sxNGrmB2+kQkYkLjZjaPmQUmiqKopBWYgTH5SjZOfRQqIp9pVEGIndmmpW&#10;1xfV6FEG9ELFSKurY5IvC3/XKZFedV1UiZmWU22pjFjGTR6r5QKaHiEMWpzKgH+owoJ2dOiZagUJ&#10;2Bb1H1RWC/TRd2kivK1812mhigZSM61/U/N6gKCKFjInhrNN8f/Ripe7NTIt6e7qx5w5sHRJd++/&#10;3L77+O3rBxrvPn9iOUVGjSE2hL92azzNYlhjVr3v0OYv6WH7Yu7hbK7aJyZocXpRX9LLmaDc/Ml0&#10;nimr+70BY3quvGU5aLnRLkuHBnYvYjpCf0DysnFsbPnlfDYnRqDO6QwkCm0gLdH1ZW/0RssbbUze&#10;EbHfXBtkO8i9UJ5TCb/A8iEriMMRV1IZBs2gQD5zkqVDII8ctTPPJVglOTOKuj9HBZlAm79Bknrj&#10;yIRs7NHKHG28PNCdbAPqfiAnEm5VKTQnqQ2Ka6eWzX3287yQ3f9Yy+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hA3TQ1wAAAAgBAAAPAAAAAAAAAAEAIAAAADgAAABkcnMvZG93bnJldi54bWxQSwEC&#10;FAAUAAAACACHTuJAvuSD798BAACgAwAADgAAAAAAAAABACAAAAA8AQAAZHJzL2Uyb0RvYy54bWxQ&#10;SwUGAAAAAAYABgBZAQAAjQUAAAAA&#10;">
                <v:fill on="f" focussize="0,0"/>
                <v:stroke color="#000000" joinstyle="round"/>
                <v:imagedata o:title=""/>
                <o:lock v:ext="edit" aspectratio="f"/>
              </v:line>
            </w:pict>
          </mc:Fallback>
        </mc:AlternateContent>
      </w:r>
    </w:p>
    <w:p>
      <w:pPr>
        <w:rPr>
          <w:rFonts w:ascii="Calibri" w:hAnsi="Calibri" w:eastAsia="宋体"/>
          <w:sz w:val="21"/>
          <w:szCs w:val="24"/>
        </w:rPr>
      </w:pPr>
      <w:r>
        <w:rPr>
          <w:rFonts w:ascii="Calibri" w:hAnsi="Calibri" w:eastAsia="宋体"/>
          <w:sz w:val="21"/>
          <w:szCs w:val="24"/>
        </w:rPr>
        <mc:AlternateContent>
          <mc:Choice Requires="wps">
            <w:drawing>
              <wp:anchor distT="0" distB="0" distL="114300" distR="114300" simplePos="0" relativeHeight="251668480" behindDoc="0" locked="0" layoutInCell="1" allowOverlap="1">
                <wp:simplePos x="0" y="0"/>
                <wp:positionH relativeFrom="column">
                  <wp:posOffset>2540000</wp:posOffset>
                </wp:positionH>
                <wp:positionV relativeFrom="paragraph">
                  <wp:posOffset>67945</wp:posOffset>
                </wp:positionV>
                <wp:extent cx="635" cy="285750"/>
                <wp:effectExtent l="48895" t="0" r="64770" b="0"/>
                <wp:wrapNone/>
                <wp:docPr id="104" name="直接连接符 104"/>
                <wp:cNvGraphicFramePr/>
                <a:graphic xmlns:a="http://schemas.openxmlformats.org/drawingml/2006/main">
                  <a:graphicData uri="http://schemas.microsoft.com/office/word/2010/wordprocessingShape">
                    <wps:wsp>
                      <wps:cNvCnPr/>
                      <wps:spPr>
                        <a:xfrm>
                          <a:off x="0" y="0"/>
                          <a:ext cx="635" cy="285750"/>
                        </a:xfrm>
                        <a:prstGeom prst="line">
                          <a:avLst/>
                        </a:prstGeom>
                        <a:ln w="9525" cap="flat" cmpd="sng">
                          <a:solidFill>
                            <a:srgbClr val="000000"/>
                          </a:solidFill>
                          <a:prstDash val="solid"/>
                          <a:headEnd type="none" w="med" len="med"/>
                          <a:tailEnd type="arrow" w="med" len="med"/>
                        </a:ln>
                      </wps:spPr>
                      <wps:bodyPr upright="true"/>
                    </wps:wsp>
                  </a:graphicData>
                </a:graphic>
              </wp:anchor>
            </w:drawing>
          </mc:Choice>
          <mc:Fallback>
            <w:pict>
              <v:line id="_x0000_s1026" o:spid="_x0000_s1026" o:spt="20" style="position:absolute;left:0pt;margin-left:200pt;margin-top:5.35pt;height:22.5pt;width:0.05pt;z-index:251668480;mso-width-relative:page;mso-height-relative:page;" filled="f" stroked="t" coordsize="21600,21600" o:gfxdata="UEsFBgAAAAAAAAAAAAAAAAAAAAAAAFBLAwQKAAAAAACHTuJAAAAAAAAAAAAAAAAABAAAAGRycy9Q&#10;SwMEFAAAAAgAh07iQFU8FrbYAAAACQEAAA8AAABkcnMvZG93bnJldi54bWxNj8FOwzAQRO9I/IO1&#10;SFwQtYMIRWmcHkBIgOBAStWrG2/jiHgdxW4T/p7lBMedGc2+Kdez78UJx9gF0pAtFAikJtiOWg2f&#10;m6frexAxGbKmD4QavjHCujo/K01hw0QfeKpTK7iEYmE0uJSGQsrYOPQmLsKAxN4hjN4kPsdW2tFM&#10;XO57eaPUnfSmI/7gzIAPDpuv+ug1tNvpxT6/7epDv33cvOZXzr37WevLi0ytQCSc018YfvEZHSpm&#10;2ocj2Sh6DbdK8ZbEhlqC4AALGYi9hjxfgqxK+X9B9QNQSwMEFAAAAAgAh07iQIbmlAjlAQAAnwMA&#10;AA4AAABkcnMvZTJvRG9jLnhtbK1TS44TMRDdI3EHy3vSPYEMQyudWUwYNggiAQeo2O5uS/6p7KST&#10;S3ABJHawYsme2zAcg7ITEn4rRBaVclX5Vb3n6vn1zhq2VRi1dy2/mNScKSe81K5v+ZvXtw+uOIsJ&#10;nATjnWr5XkV+vbh/bz6GRk394I1UyAjExWYMLR9SCk1VRTEoC3Hig3KU7DxaSHTEvpIII6FbU03r&#10;+rIaPcqAXqgYKbo8JPmi4HedEull10WVmGk5zZaKxWLX2VaLOTQ9Qhi0OI4B/zCFBe2o6QlqCQnY&#10;BvUfUFYL9NF3aSK8rXzXaaEKB2JzUf/G5tUAQRUuJE4MJ5ni/4MVL7YrZFrS29WPOHNg6ZHu3n3+&#10;+vbDty/vyd59+shyioQaQ2yo/sat8HiKYYWZ9a5Dm/+JD9sVcfcncdUuMUHBy4czzgTFp1ezx7Oi&#10;fHW+GTCmZ8pblp2WG+0ycWhg+zwm6kalP0py2Dg2tvzJbJoxgfamM5DItYGYRNeXu9EbLW+1MflG&#10;xH59Y5BtIW9C+WVOhPtLWW6yhDgc6krqsCODAvnUSZb2gRRytMw8j2CV5Mwo2v3sESA0CbQ5VwKi&#10;H/9eSr2NoxGyrgcls7f2ck9Psgmo+4GkSLhRZdKcpC0oMx83Nq/Zz+cCdv6uF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VTwWttgAAAAJAQAADwAAAAAAAAABACAAAAA4AAAAZHJzL2Rvd25yZXYu&#10;eG1sUEsBAhQAFAAAAAgAh07iQIbmlAjlAQAAnwMAAA4AAAAAAAAAAQAgAAAAPQEAAGRycy9lMm9E&#10;b2MueG1sUEsFBgAAAAAGAAYAWQEAAJQFAAAAAA==&#10;">
                <v:fill on="f" focussize="0,0"/>
                <v:stroke color="#000000" joinstyle="round" endarrow="open"/>
                <v:imagedata o:title=""/>
                <o:lock v:ext="edit" aspectratio="f"/>
              </v:line>
            </w:pict>
          </mc:Fallback>
        </mc:AlternateContent>
      </w:r>
    </w:p>
    <w:p>
      <w:pPr>
        <w:rPr>
          <w:rFonts w:ascii="Calibri" w:hAnsi="Calibri" w:eastAsia="宋体"/>
          <w:sz w:val="21"/>
          <w:szCs w:val="24"/>
        </w:rPr>
      </w:pPr>
      <w:r>
        <w:rPr>
          <w:rFonts w:ascii="Calibri" w:hAnsi="Calibri" w:eastAsia="宋体"/>
          <w:sz w:val="21"/>
          <w:szCs w:val="24"/>
        </w:rPr>
        <mc:AlternateContent>
          <mc:Choice Requires="wps">
            <w:drawing>
              <wp:anchor distT="0" distB="0" distL="114300" distR="114300" simplePos="0" relativeHeight="251663360" behindDoc="0" locked="0" layoutInCell="1" allowOverlap="1">
                <wp:simplePos x="0" y="0"/>
                <wp:positionH relativeFrom="column">
                  <wp:posOffset>1176655</wp:posOffset>
                </wp:positionH>
                <wp:positionV relativeFrom="paragraph">
                  <wp:posOffset>154305</wp:posOffset>
                </wp:positionV>
                <wp:extent cx="2842260" cy="481965"/>
                <wp:effectExtent l="4445" t="4445" r="10795" b="8890"/>
                <wp:wrapNone/>
                <wp:docPr id="105" name="文本框 105"/>
                <wp:cNvGraphicFramePr/>
                <a:graphic xmlns:a="http://schemas.openxmlformats.org/drawingml/2006/main">
                  <a:graphicData uri="http://schemas.microsoft.com/office/word/2010/wordprocessingShape">
                    <wps:wsp>
                      <wps:cNvSpPr txBox="true"/>
                      <wps:spPr>
                        <a:xfrm>
                          <a:off x="0" y="0"/>
                          <a:ext cx="2842260" cy="481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Calibri" w:hAnsi="Calibri" w:eastAsia="宋体"/>
                                <w:sz w:val="21"/>
                                <w:szCs w:val="24"/>
                                <w:lang w:eastAsia="zh-CN"/>
                              </w:rPr>
                            </w:pPr>
                            <w:r>
                              <w:rPr>
                                <w:rFonts w:hint="eastAsia" w:ascii="Calibri" w:hAnsi="Calibri" w:eastAsia="宋体"/>
                                <w:sz w:val="21"/>
                                <w:szCs w:val="24"/>
                                <w:lang w:eastAsia="zh-CN"/>
                              </w:rPr>
                              <w:t>采购需求论证或调查，内部审查，需求公示</w:t>
                            </w:r>
                          </w:p>
                          <w:p>
                            <w:pPr>
                              <w:jc w:val="center"/>
                              <w:rPr>
                                <w:rFonts w:hint="eastAsia" w:ascii="Calibri" w:hAnsi="Calibri" w:eastAsia="宋体"/>
                                <w:sz w:val="21"/>
                                <w:szCs w:val="24"/>
                                <w:lang w:eastAsia="zh-CN"/>
                              </w:rPr>
                            </w:pPr>
                            <w:r>
                              <w:rPr>
                                <w:rFonts w:hint="eastAsia" w:ascii="Calibri" w:hAnsi="Calibri" w:eastAsia="宋体"/>
                                <w:sz w:val="21"/>
                                <w:szCs w:val="24"/>
                                <w:lang w:eastAsia="zh-CN"/>
                              </w:rPr>
                              <w:t>（可委托代理机构）</w:t>
                            </w:r>
                          </w:p>
                        </w:txbxContent>
                      </wps:txbx>
                      <wps:bodyPr upright="true"/>
                    </wps:wsp>
                  </a:graphicData>
                </a:graphic>
              </wp:anchor>
            </w:drawing>
          </mc:Choice>
          <mc:Fallback>
            <w:pict>
              <v:shape id="_x0000_s1026" o:spid="_x0000_s1026" o:spt="202" type="#_x0000_t202" style="position:absolute;left:0pt;margin-left:92.65pt;margin-top:12.15pt;height:37.95pt;width:223.8pt;z-index:251663360;mso-width-relative:page;mso-height-relative:page;" fillcolor="#FFFFFF" filled="t" stroked="t" coordsize="21600,21600" o:gfxdata="UEsFBgAAAAAAAAAAAAAAAAAAAAAAAFBLAwQKAAAAAACHTuJAAAAAAAAAAAAAAAAABAAAAGRycy9Q&#10;SwMEFAAAAAgAh07iQM1HYDTZAAAACgEAAA8AAABkcnMvZG93bnJldi54bWxNj81OwzAQhO9IvIO1&#10;SFwQtZuUkIY4PSCB4FZKVa5uvE0i/BNsNy1vz3KC02o0n2Zn6tXZGjZhiIN3EuYzAQxd6/XgOgnb&#10;96fbElhMymllvEMJ3xhh1Vxe1KrS/uTecNqkjlGIi5WS0Kc0VpzHtker4syP6Mg7+GBVIhk6roM6&#10;Ubg1PBOi4FYNjj70asTHHtvPzdFKKBcv00d8zde7tjiYZbq5n56/gpTXV3PxACzhOf3B8FufqkND&#10;nfb+6HRkhnR5lxMqIVvQJaDIsyWwPTlCZMCbmv+f0PwAUEsDBBQAAAAIAIdO4kBSLM/N9wEAAPID&#10;AAAOAAAAZHJzL2Uyb0RvYy54bWytU0uOEzEQ3SNxB8t70p3WTJRppTPSTAgbBEgDB6jY7m5L/sl2&#10;0p0LwA1YsWHPuXIOys4k82OBEL1wl13Pz/Ve2YvrUSuyEz5Iaxo6nZSUCMMsl6Zr6JfP6zdzSkIE&#10;w0FZIxq6F4FeL1+/WgyuFpXtreLCEyQxoR5cQ/sYXV0UgfVCQ5hYJwwmW+s1RJz6ruAeBmTXqqjK&#10;clYM1nPnLRMh4OrqmKTLzN+2gsWPbRtEJKqhWFvMo8/jJo3FcgF158H1kt2XAf9QhQZp8NAz1Qoi&#10;kK2XL6i0ZN4G28YJs7qwbSuZyBpQzbR8puauByeyFjQnuLNN4f/Rsg+7T55Ijr0rLykxoLFJh+/f&#10;Dj9+HX5+JWkRLRpcqBF55xAbxxs7NjT6rTilAq4n8WPrdfqjLIIQ9Ht/9liMkTBcrOYXVTXDFMPc&#10;xXx6NcsnFA+7nQ/xnbCapKChHnuYrYXd+xCxGISeIOmwYJXka6lUnvhuc6s82QH2e52/VCRueQJT&#10;hgwNvbqsUDIDvHatgoihdmhEMF0+78mO8Ji4zN+fiFNhKwj9sYDMkGBQaxmFz1EvgL81nMS9Q6sN&#10;vgqaitGCU6IEPqIUZWQEqf4GieqUQZGpS8dWpCiOmxFpUrixfI+d2zovux4tPfUu78CLlQ26fwTp&#10;5j6eZ96Hp7r8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M1HYDTZAAAACgEAAA8AAAAAAAAAAQAg&#10;AAAAOAAAAGRycy9kb3ducmV2LnhtbFBLAQIUABQAAAAIAIdO4kBSLM/N9wEAAPIDAAAOAAAAAAAA&#10;AAEAIAAAAD4BAABkcnMvZTJvRG9jLnhtbFBLBQYAAAAABgAGAFkBAACnBQAAAAA=&#10;">
                <v:fill on="t" focussize="0,0"/>
                <v:stroke color="#000000" joinstyle="miter"/>
                <v:imagedata o:title=""/>
                <o:lock v:ext="edit" aspectratio="f"/>
                <v:textbox>
                  <w:txbxContent>
                    <w:p>
                      <w:pPr>
                        <w:jc w:val="center"/>
                        <w:rPr>
                          <w:rFonts w:hint="eastAsia" w:ascii="Calibri" w:hAnsi="Calibri" w:eastAsia="宋体"/>
                          <w:sz w:val="21"/>
                          <w:szCs w:val="24"/>
                          <w:lang w:eastAsia="zh-CN"/>
                        </w:rPr>
                      </w:pPr>
                      <w:r>
                        <w:rPr>
                          <w:rFonts w:hint="eastAsia" w:ascii="Calibri" w:hAnsi="Calibri" w:eastAsia="宋体"/>
                          <w:sz w:val="21"/>
                          <w:szCs w:val="24"/>
                          <w:lang w:eastAsia="zh-CN"/>
                        </w:rPr>
                        <w:t>采购需求论证或调查，内部审查，需求公示</w:t>
                      </w:r>
                    </w:p>
                    <w:p>
                      <w:pPr>
                        <w:jc w:val="center"/>
                        <w:rPr>
                          <w:rFonts w:hint="eastAsia" w:ascii="Calibri" w:hAnsi="Calibri" w:eastAsia="宋体"/>
                          <w:sz w:val="21"/>
                          <w:szCs w:val="24"/>
                          <w:lang w:eastAsia="zh-CN"/>
                        </w:rPr>
                      </w:pPr>
                      <w:r>
                        <w:rPr>
                          <w:rFonts w:hint="eastAsia" w:ascii="Calibri" w:hAnsi="Calibri" w:eastAsia="宋体"/>
                          <w:sz w:val="21"/>
                          <w:szCs w:val="24"/>
                          <w:lang w:eastAsia="zh-CN"/>
                        </w:rPr>
                        <w:t>（可委托代理机构）</w:t>
                      </w:r>
                    </w:p>
                  </w:txbxContent>
                </v:textbox>
              </v:shape>
            </w:pict>
          </mc:Fallback>
        </mc:AlternateContent>
      </w:r>
    </w:p>
    <w:p>
      <w:pPr>
        <w:rPr>
          <w:rFonts w:hint="default" w:ascii="Calibri" w:hAnsi="Calibri" w:eastAsia="宋体"/>
          <w:sz w:val="21"/>
          <w:szCs w:val="24"/>
          <w:lang w:val="en-US" w:eastAsia="zh-CN"/>
        </w:rPr>
      </w:pPr>
      <w:r>
        <w:rPr>
          <w:rFonts w:hint="eastAsia" w:ascii="Calibri" w:hAnsi="Calibri" w:eastAsia="宋体"/>
          <w:sz w:val="21"/>
          <w:szCs w:val="24"/>
          <w:lang w:eastAsia="zh-CN"/>
        </w:rPr>
        <w:t>需大于</w:t>
      </w:r>
      <w:r>
        <w:rPr>
          <w:rFonts w:hint="eastAsia" w:ascii="Calibri" w:hAnsi="Calibri" w:eastAsia="宋体"/>
          <w:sz w:val="21"/>
          <w:szCs w:val="24"/>
          <w:lang w:val="en-US" w:eastAsia="zh-CN"/>
        </w:rPr>
        <w:t>30天</w:t>
      </w:r>
    </w:p>
    <w:p>
      <w:pPr>
        <w:rPr>
          <w:rFonts w:ascii="Calibri" w:hAnsi="Calibri" w:eastAsia="宋体"/>
          <w:sz w:val="21"/>
          <w:szCs w:val="24"/>
        </w:rPr>
      </w:pPr>
      <w:r>
        <w:rPr>
          <w:rFonts w:ascii="Calibri" w:hAnsi="Calibri" w:eastAsia="宋体"/>
          <w:sz w:val="21"/>
          <w:szCs w:val="24"/>
        </w:rPr>
        <mc:AlternateContent>
          <mc:Choice Requires="wps">
            <w:drawing>
              <wp:anchor distT="0" distB="0" distL="114300" distR="114300" simplePos="0" relativeHeight="251672576" behindDoc="0" locked="0" layoutInCell="1" allowOverlap="1">
                <wp:simplePos x="0" y="0"/>
                <wp:positionH relativeFrom="column">
                  <wp:posOffset>478790</wp:posOffset>
                </wp:positionH>
                <wp:positionV relativeFrom="paragraph">
                  <wp:posOffset>35560</wp:posOffset>
                </wp:positionV>
                <wp:extent cx="635" cy="666115"/>
                <wp:effectExtent l="48895" t="0" r="64770" b="635"/>
                <wp:wrapNone/>
                <wp:docPr id="106" name="直接连接符 106"/>
                <wp:cNvGraphicFramePr/>
                <a:graphic xmlns:a="http://schemas.openxmlformats.org/drawingml/2006/main">
                  <a:graphicData uri="http://schemas.microsoft.com/office/word/2010/wordprocessingShape">
                    <wps:wsp>
                      <wps:cNvCnPr/>
                      <wps:spPr>
                        <a:xfrm>
                          <a:off x="0" y="0"/>
                          <a:ext cx="635" cy="666115"/>
                        </a:xfrm>
                        <a:prstGeom prst="line">
                          <a:avLst/>
                        </a:prstGeom>
                        <a:ln w="9525" cap="flat" cmpd="sng">
                          <a:solidFill>
                            <a:srgbClr val="000000"/>
                          </a:solidFill>
                          <a:prstDash val="solid"/>
                          <a:headEnd type="none" w="med" len="med"/>
                          <a:tailEnd type="arrow" w="med" len="med"/>
                        </a:ln>
                      </wps:spPr>
                      <wps:bodyPr upright="true"/>
                    </wps:wsp>
                  </a:graphicData>
                </a:graphic>
              </wp:anchor>
            </w:drawing>
          </mc:Choice>
          <mc:Fallback>
            <w:pict>
              <v:line id="_x0000_s1026" o:spid="_x0000_s1026" o:spt="20" style="position:absolute;left:0pt;margin-left:37.7pt;margin-top:2.8pt;height:52.45pt;width:0.05pt;z-index:251672576;mso-width-relative:page;mso-height-relative:page;" filled="f" stroked="t" coordsize="21600,21600" o:gfxdata="UEsFBgAAAAAAAAAAAAAAAAAAAAAAAFBLAwQKAAAAAACHTuJAAAAAAAAAAAAAAAAABAAAAGRycy9Q&#10;SwMEFAAAAAgAh07iQCoqTd3WAAAABwEAAA8AAABkcnMvZG93bnJldi54bWxNjstOwzAURPdI/IN1&#10;kdggagfhFoU4XYCQANEFKRVbN76NI/yIYrcJf89lBcvRHM2caj17x044pj4GBcVCAMPQRtOHTsHH&#10;9un6DljKOhjtYkAF35hgXZ+fVbo0cQrveGpyx2gkpFIrsDkPJeepteh1WsQBA3WHOHqdKY4dN6Oe&#10;aNw7fiPEknvdB3qwesAHi+1Xc/QKut30Yp7fPpuD2z1uX+WVtRs/K3V5UYh7YBnn/AfDrz6pQ01O&#10;+3gMJjGnYCVviVQgl8CoXkkJbE9YISTwuuL//esfUEsDBBQAAAAIAIdO4kBPHugp4QEAAJ8DAAAO&#10;AAAAZHJzL2Uyb0RvYy54bWytU0uOEzEQ3SNxB8t70smgtKCVziwmDBsEkYADVGx3tyX/VHbSySW4&#10;ABI7WLFkz22YOQZlJyT8VoheVJddz6/rPVcvrvfWsJ3CqL1r+Wwy5Uw54aV2fcvfvrl99ISzmMBJ&#10;MN6plh9U5NfLhw8WY2jUlR+8kQoZkbjYjKHlQ0qhqaooBmUhTnxQjoqdRwuJlthXEmEkdmuqq+m0&#10;rkaPMqAXKkbaXR2LfFn4u06J9KrrokrMtJx6SyViiZscq+UCmh4hDFqc2oB/6MKCdvTRM9UKErAt&#10;6j+orBboo+/SRHhb+a7TQhUNpGY2/U3N6wGCKlrInBjONsX/Ryte7tbItKS7m9acObB0SXfvv3x7&#10;9/H+6weKd58/sVwio8YQG8LfuDWeVjGsMaved2jzm/SwfTH3cDZX7RMTtFk/nnMmaL+u69lsngmr&#10;y8mAMT1X3rKctNxol4VDA7sXMR2hPyB52zg2tvzp/CpzAs1NZyBRagMpia4vZ6M3Wt5qY/KJiP3m&#10;xiDbQZ6E8pxa+AWWP7KCOBxxpZRh0AwK5DMnWToEcsjRMPPcglWSM6No9nNWkAm0uSAB0Y9/h5J8&#10;48iF7OvRyZxtvDzQlWwD6n4gKxJuVek0F2kKim2nic1j9vO6kF3+q+V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KipN3dYAAAAHAQAADwAAAAAAAAABACAAAAA4AAAAZHJzL2Rvd25yZXYueG1sUEsB&#10;AhQAFAAAAAgAh07iQE8e6CnhAQAAnwMAAA4AAAAAAAAAAQAgAAAAOwEAAGRycy9lMm9Eb2MueG1s&#10;UEsFBgAAAAAGAAYAWQEAAI4FAAAAAA==&#10;">
                <v:fill on="f" focussize="0,0"/>
                <v:stroke color="#000000" joinstyle="round" endarrow="open"/>
                <v:imagedata o:title=""/>
                <o:lock v:ext="edit" aspectratio="f"/>
              </v:line>
            </w:pict>
          </mc:Fallback>
        </mc:AlternateContent>
      </w:r>
    </w:p>
    <w:p>
      <w:pPr>
        <w:rPr>
          <w:rFonts w:ascii="Calibri" w:hAnsi="Calibri" w:eastAsia="宋体"/>
          <w:sz w:val="21"/>
          <w:szCs w:val="24"/>
        </w:rPr>
      </w:pPr>
      <w:r>
        <w:rPr>
          <w:rFonts w:ascii="Calibri" w:hAnsi="Calibri" w:eastAsia="宋体"/>
          <w:sz w:val="21"/>
          <w:szCs w:val="24"/>
        </w:rPr>
        <mc:AlternateContent>
          <mc:Choice Requires="wps">
            <w:drawing>
              <wp:anchor distT="0" distB="0" distL="114300" distR="114300" simplePos="0" relativeHeight="251669504" behindDoc="0" locked="0" layoutInCell="1" allowOverlap="1">
                <wp:simplePos x="0" y="0"/>
                <wp:positionH relativeFrom="column">
                  <wp:posOffset>2560320</wp:posOffset>
                </wp:positionH>
                <wp:positionV relativeFrom="paragraph">
                  <wp:posOffset>44450</wp:posOffset>
                </wp:positionV>
                <wp:extent cx="635" cy="285750"/>
                <wp:effectExtent l="48895" t="0" r="64770" b="0"/>
                <wp:wrapNone/>
                <wp:docPr id="107" name="直接连接符 107"/>
                <wp:cNvGraphicFramePr/>
                <a:graphic xmlns:a="http://schemas.openxmlformats.org/drawingml/2006/main">
                  <a:graphicData uri="http://schemas.microsoft.com/office/word/2010/wordprocessingShape">
                    <wps:wsp>
                      <wps:cNvCnPr/>
                      <wps:spPr>
                        <a:xfrm>
                          <a:off x="0" y="0"/>
                          <a:ext cx="635" cy="285750"/>
                        </a:xfrm>
                        <a:prstGeom prst="line">
                          <a:avLst/>
                        </a:prstGeom>
                        <a:ln w="9525" cap="flat" cmpd="sng">
                          <a:solidFill>
                            <a:srgbClr val="000000"/>
                          </a:solidFill>
                          <a:prstDash val="solid"/>
                          <a:headEnd type="none" w="med" len="med"/>
                          <a:tailEnd type="arrow" w="med" len="med"/>
                        </a:ln>
                      </wps:spPr>
                      <wps:bodyPr upright="true"/>
                    </wps:wsp>
                  </a:graphicData>
                </a:graphic>
              </wp:anchor>
            </w:drawing>
          </mc:Choice>
          <mc:Fallback>
            <w:pict>
              <v:line id="_x0000_s1026" o:spid="_x0000_s1026" o:spt="20" style="position:absolute;left:0pt;margin-left:201.6pt;margin-top:3.5pt;height:22.5pt;width:0.05pt;z-index:251669504;mso-width-relative:page;mso-height-relative:page;" filled="f" stroked="t" coordsize="21600,21600" o:gfxdata="UEsFBgAAAAAAAAAAAAAAAAAAAAAAAFBLAwQKAAAAAACHTuJAAAAAAAAAAAAAAAAABAAAAGRycy9Q&#10;SwMEFAAAAAgAh07iQI0zCVTXAAAACAEAAA8AAABkcnMvZG93bnJldi54bWxNj8FOwzAQRO9I/IO1&#10;SFwQtZtSikI2PYCQAMGBtBVXN3bjiHgdxW4T/p7lBMfRjGbeFOvJd+Jkh9gGQpjPFAhLdTAtNQjb&#10;zdP1HYiYNBndBbII3zbCujw/K3Ruwkgf9lSlRnAJxVwjuJT6XMpYO+t1nIXeEnuHMHidWA6NNIMe&#10;udx3MlPqVnrdEi843dsHZ+uv6ugRmt34Yp7fPqtDt3vcvC6vnHv3E+LlxVzdg0h2Sn9h+MVndCiZ&#10;aR+OZKLoEG7UIuMowoovsc96AWKPsMwUyLKQ/w+UP1BLAwQUAAAACACHTuJAFkbekeUBAACfAwAA&#10;DgAAAGRycy9lMm9Eb2MueG1srVNLjhMxEN0jcQfLe9I9QZkZWunMYsKwQRAJOEDFdndb8k9lJ51c&#10;ggsgsYMVS/bchuEYlJ2Q8FshsqiUq8qv6j1Xz2921rCtwqi9a/nFpOZMOeGldn3L37y+e3TNWUzg&#10;JBjvVMv3KvKbxcMH8zE0auoHb6RCRiAuNmNo+ZBSaKoqikFZiBMflKNk59FCoiP2lUQYCd2aalrX&#10;l9XoUQb0QsVI0eUhyRcFv+uUSC+7LqrETMtptlQsFrvOtlrMoekRwqDFcQz4hyksaEdNT1BLSMA2&#10;qP+Aslqgj75LE+Ft5btOC1U4EJuL+jc2rwYIqnAhcWI4yRT/H6x4sV0h05Lerr7izIGlR7p/9/nr&#10;2w/fvrwne//pI8spEmoMsaH6W7fC4ymGFWbWuw5t/ic+bFfE3Z/EVbvEBAUvH884ExSfXs+uZkX5&#10;6nwzYEzPlLcsOy032mXi0MD2eUzUjUp/lOSwcWxs+ZPZNGMC7U1nIJFrAzGJri93ozda3mlj8o2I&#10;/frWINtC3oTyy5wI95ey3GQJcTjUldRhRwYF8qmTLO0DKeRomXkewSrJmVG0+9kjQGgSaHOuBEQ/&#10;/r2UehtHI2RdD0pmb+3lnp5kE1D3A0mRcKPKpDlJW1BmPm5sXrOfzwXs/F0tv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NMwlU1wAAAAgBAAAPAAAAAAAAAAEAIAAAADgAAABkcnMvZG93bnJldi54&#10;bWxQSwECFAAUAAAACACHTuJAFkbekeUBAACfAwAADgAAAAAAAAABACAAAAA8AQAAZHJzL2Uyb0Rv&#10;Yy54bWxQSwUGAAAAAAYABgBZAQAAkwUAAAAA&#10;">
                <v:fill on="f" focussize="0,0"/>
                <v:stroke color="#000000" joinstyle="round" endarrow="open"/>
                <v:imagedata o:title=""/>
                <o:lock v:ext="edit" aspectratio="f"/>
              </v:line>
            </w:pict>
          </mc:Fallback>
        </mc:AlternateContent>
      </w:r>
    </w:p>
    <w:p>
      <w:pPr>
        <w:rPr>
          <w:rFonts w:ascii="Calibri" w:hAnsi="Calibri" w:eastAsia="宋体"/>
          <w:sz w:val="21"/>
          <w:szCs w:val="24"/>
        </w:rPr>
      </w:pPr>
      <w:r>
        <w:rPr>
          <w:rFonts w:ascii="Calibri" w:hAnsi="Calibri" w:eastAsia="宋体"/>
          <w:sz w:val="21"/>
          <w:szCs w:val="24"/>
        </w:rPr>
        <mc:AlternateContent>
          <mc:Choice Requires="wps">
            <w:drawing>
              <wp:anchor distT="0" distB="0" distL="114300" distR="114300" simplePos="0" relativeHeight="251666432" behindDoc="0" locked="0" layoutInCell="1" allowOverlap="1">
                <wp:simplePos x="0" y="0"/>
                <wp:positionH relativeFrom="column">
                  <wp:posOffset>2019300</wp:posOffset>
                </wp:positionH>
                <wp:positionV relativeFrom="paragraph">
                  <wp:posOffset>153670</wp:posOffset>
                </wp:positionV>
                <wp:extent cx="1113790" cy="299720"/>
                <wp:effectExtent l="4445" t="4445" r="5715" b="19685"/>
                <wp:wrapNone/>
                <wp:docPr id="108" name="文本框 108"/>
                <wp:cNvGraphicFramePr/>
                <a:graphic xmlns:a="http://schemas.openxmlformats.org/drawingml/2006/main">
                  <a:graphicData uri="http://schemas.microsoft.com/office/word/2010/wordprocessingShape">
                    <wps:wsp>
                      <wps:cNvSpPr txBox="true"/>
                      <wps:spPr>
                        <a:xfrm>
                          <a:off x="0" y="0"/>
                          <a:ext cx="1113790" cy="299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Calibri" w:hAnsi="Calibri" w:eastAsia="宋体"/>
                                <w:sz w:val="21"/>
                                <w:szCs w:val="24"/>
                                <w:lang w:eastAsia="zh-CN"/>
                              </w:rPr>
                            </w:pPr>
                            <w:r>
                              <w:rPr>
                                <w:rFonts w:hint="eastAsia" w:ascii="Calibri" w:hAnsi="Calibri" w:eastAsia="宋体"/>
                                <w:sz w:val="21"/>
                                <w:szCs w:val="24"/>
                                <w:lang w:eastAsia="zh-CN"/>
                              </w:rPr>
                              <w:t>采购计划备案</w:t>
                            </w:r>
                          </w:p>
                        </w:txbxContent>
                      </wps:txbx>
                      <wps:bodyPr upright="true"/>
                    </wps:wsp>
                  </a:graphicData>
                </a:graphic>
              </wp:anchor>
            </w:drawing>
          </mc:Choice>
          <mc:Fallback>
            <w:pict>
              <v:shape id="_x0000_s1026" o:spid="_x0000_s1026" o:spt="202" type="#_x0000_t202" style="position:absolute;left:0pt;margin-left:159pt;margin-top:12.1pt;height:23.6pt;width:87.7pt;z-index:251666432;mso-width-relative:page;mso-height-relative:page;" fillcolor="#FFFFFF" filled="t" stroked="t" coordsize="21600,21600" o:gfxdata="UEsFBgAAAAAAAAAAAAAAAAAAAAAAAFBLAwQKAAAAAACHTuJAAAAAAAAAAAAAAAAABAAAAGRycy9Q&#10;SwMEFAAAAAgAh07iQF5lAxfZAAAACQEAAA8AAABkcnMvZG93bnJldi54bWxNj8tOwzAURPdI/IN1&#10;kdgg6jysNg256QIJBDtaEGzd+DaJ8CPYblr+HrOC5WhGM2eazdloNpMPo7MI+SIDRrZzarQ9wtvr&#10;w20FLERpldTOEsI3Bdi0lxeNrJU72S3Nu9izVGJDLRGGGKea89ANZGRYuIls8g7OGxmT9D1XXp5S&#10;udG8yLIlN3K0aWGQE90P1H3ujgahEk/zR3guX9675UGv481qfvzyiNdXeXYHLNI5/oXhFz+hQ5uY&#10;9u5oVWAaocyr9CUiFKIAlgJiXQpge4RVLoC3Df//oP0BUEsDBBQAAAAIAIdO4kC9uZTs9wEAAPID&#10;AAAOAAAAZHJzL2Uyb0RvYy54bWytU0uOEzEQ3SNxB8t70h80DGmlMxKEsEGANHCAiu3utuSfbCfd&#10;uQDcgBUb9pwr55iyM8nMwCxGiF64y67n56r37MXVpBXZCR+kNS2tZiUlwjDLpelb+vXL+sVrSkIE&#10;w0FZI1q6F4FeLZ8/W4yuEbUdrOLCEyQxoRldS4cYXVMUgQ1CQ5hZJwwmO+s1RJz6vuAeRmTXqqjL&#10;8lUxWs+dt0yEgKurY5IuM3/XCRY/dV0QkaiWYm0xjz6PmzQWywU0vQc3SHZbBvxDFRqkwUPPVCuI&#10;QLZe/kWlJfM22C7OmNWF7TrJRO4Bu6nKP7q5HsCJ3AuKE9xZpvD/aNnH3WdPJEfvSrTKgEaTDj++&#10;H37+Pvz6RtIiSjS60CDy2iE2Tm/s1NLot+KUCriemp86r9Mf2yIIQb33Z43FFAnDxaqqXl7OMcUw&#10;V8/nl3U2objb7XyI74XVJAUt9ehhlhZ2H0LEYhB6gqTDglWSr6VSeeL7zVvlyQ7Q73X+UpG45QFM&#10;GTK2dH5RX2AdgNeuUxAx1A6FCKbP5z3YEe4Tl/l7jDgVtoIwHAvIDAkGjZZR+BwNAvg7w0ncO5Ta&#10;4KugqRgtOCVK4CNKUUZGkOopSOxOGWwyuXS0IkVx2kxIk8KN5Xt0buu87AeU9ORd3oEXKwt0+wjS&#10;zb0/z7x3T3V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F5lAxfZAAAACQEAAA8AAAAAAAAAAQAg&#10;AAAAOAAAAGRycy9kb3ducmV2LnhtbFBLAQIUABQAAAAIAIdO4kC9uZTs9wEAAPIDAAAOAAAAAAAA&#10;AAEAIAAAAD4BAABkcnMvZTJvRG9jLnhtbFBLBQYAAAAABgAGAFkBAACnBQAAAAA=&#10;">
                <v:fill on="t" focussize="0,0"/>
                <v:stroke color="#000000" joinstyle="miter"/>
                <v:imagedata o:title=""/>
                <o:lock v:ext="edit" aspectratio="f"/>
                <v:textbox>
                  <w:txbxContent>
                    <w:p>
                      <w:pPr>
                        <w:jc w:val="center"/>
                        <w:rPr>
                          <w:rFonts w:hint="eastAsia" w:ascii="Calibri" w:hAnsi="Calibri" w:eastAsia="宋体"/>
                          <w:sz w:val="21"/>
                          <w:szCs w:val="24"/>
                          <w:lang w:eastAsia="zh-CN"/>
                        </w:rPr>
                      </w:pPr>
                      <w:r>
                        <w:rPr>
                          <w:rFonts w:hint="eastAsia" w:ascii="Calibri" w:hAnsi="Calibri" w:eastAsia="宋体"/>
                          <w:sz w:val="21"/>
                          <w:szCs w:val="24"/>
                          <w:lang w:eastAsia="zh-CN"/>
                        </w:rPr>
                        <w:t>采购计划备案</w:t>
                      </w:r>
                    </w:p>
                  </w:txbxContent>
                </v:textbox>
              </v:shape>
            </w:pict>
          </mc:Fallback>
        </mc:AlternateContent>
      </w:r>
    </w:p>
    <w:p>
      <w:pPr>
        <w:rPr>
          <w:rFonts w:ascii="Calibri" w:hAnsi="Calibri" w:eastAsia="宋体"/>
          <w:sz w:val="21"/>
          <w:szCs w:val="24"/>
        </w:rPr>
      </w:pPr>
      <w:r>
        <w:rPr>
          <w:rFonts w:ascii="Calibri" w:hAnsi="Calibri" w:eastAsia="宋体"/>
          <w:sz w:val="21"/>
          <w:szCs w:val="24"/>
        </w:rPr>
        <mc:AlternateContent>
          <mc:Choice Requires="wps">
            <w:drawing>
              <wp:anchor distT="0" distB="0" distL="114300" distR="114300" simplePos="0" relativeHeight="251673600" behindDoc="0" locked="0" layoutInCell="1" allowOverlap="1">
                <wp:simplePos x="0" y="0"/>
                <wp:positionH relativeFrom="column">
                  <wp:posOffset>462915</wp:posOffset>
                </wp:positionH>
                <wp:positionV relativeFrom="paragraph">
                  <wp:posOffset>107950</wp:posOffset>
                </wp:positionV>
                <wp:extent cx="1545590" cy="635"/>
                <wp:effectExtent l="0" t="48895" r="16510" b="64770"/>
                <wp:wrapNone/>
                <wp:docPr id="109" name="直接连接符 109"/>
                <wp:cNvGraphicFramePr/>
                <a:graphic xmlns:a="http://schemas.openxmlformats.org/drawingml/2006/main">
                  <a:graphicData uri="http://schemas.microsoft.com/office/word/2010/wordprocessingShape">
                    <wps:wsp>
                      <wps:cNvCnPr/>
                      <wps:spPr>
                        <a:xfrm flipV="true">
                          <a:off x="0" y="0"/>
                          <a:ext cx="1545590" cy="635"/>
                        </a:xfrm>
                        <a:prstGeom prst="line">
                          <a:avLst/>
                        </a:prstGeom>
                        <a:ln w="9525" cap="flat" cmpd="sng">
                          <a:solidFill>
                            <a:srgbClr val="000000"/>
                          </a:solidFill>
                          <a:prstDash val="solid"/>
                          <a:headEnd type="none" w="med" len="med"/>
                          <a:tailEnd type="arrow" w="med" len="med"/>
                        </a:ln>
                      </wps:spPr>
                      <wps:bodyPr upright="true"/>
                    </wps:wsp>
                  </a:graphicData>
                </a:graphic>
              </wp:anchor>
            </w:drawing>
          </mc:Choice>
          <mc:Fallback>
            <w:pict>
              <v:line id="_x0000_s1026" o:spid="_x0000_s1026" o:spt="20" style="position:absolute;left:0pt;flip:y;margin-left:36.45pt;margin-top:8.5pt;height:0.05pt;width:121.7pt;z-index:251673600;mso-width-relative:page;mso-height-relative:page;" filled="f" stroked="t" coordsize="21600,21600" o:gfxdata="UEsFBgAAAAAAAAAAAAAAAAAAAAAAAFBLAwQKAAAAAACHTuJAAAAAAAAAAAAAAAAABAAAAGRycy9Q&#10;SwMEFAAAAAgAh07iQKDg4yfWAAAACAEAAA8AAABkcnMvZG93bnJldi54bWxNj8FuwjAQRO+V+g/W&#10;VuoFgROQSEnjcEBqD73VIHp1YpOkxOsoXiD9+y6n9rgzo9k3xXbyvbi6MXYBFaSLBITDOtgOGwWH&#10;/dv8BUQkg9b0AZ2CHxdhWz4+FCa34Yaf7qqpEVyCMTcKWqIhlzLWrfMmLsLgkL1TGL0hPsdG2tHc&#10;uNz3cpkka+lNh/yhNYPbta4+64tX8P5BVO0PA83Op6P+/prtJp1ppZ6f0uQVBLmJ/sJwx2d0KJmp&#10;Che0UfQKsuWGk6xnPIn9VbpegajuQgqyLOT/AeUvUEsDBBQAAAAIAIdO4kC/xqtY7AEAAK0DAAAO&#10;AAAAZHJzL2Uyb0RvYy54bWytU0uOEzEQ3SNxB8t70kmgR6SVziwmDBsEkYDZV/zptuSfbCedXIIL&#10;ILGDFUv23IbhGJTdmQy/FaIXJbvr+bneq/Ly8mA02YsQlbMtnU2mlAjLHFe2a+nbN9ePnlISE1gO&#10;2lnR0qOI9HL18MFy8I2Yu95pLgJBEhubwbe0T8k3VRVZLwzEifPCYlK6YCDhNnQVDzAgu9HVfDq9&#10;qAYXuA+OiRjx73pM0lXhl1Kw9ErKKBLRLcXaUomhxG2O1WoJTRfA94qdyoB/qMKAsnjpmWoNCcgu&#10;qD+ojGLBRSfThDlTOSkVE0UDqplNf1PzugcvihY0J/qzTfH/0bKX+00gimPvpgtKLBhs0u37L9/e&#10;ffz+9QPG28+fSE6hUYOPDeKv7CacdtFvQlZ9kMEQqZW/aWkKu1wzNCiOHIrTx7PT4pAIw5+z+kld&#10;L7AhDHMXj+tMX408+agPMT0XzpC8aKlWdqSE/YuYRugdJMO1JUNLF/W8RkLAKZIaEi6NR13RdqWc&#10;6LTi10rrfCKGbnulA9lDnovynUr4BZYvWUPsR1xJZRg0vQD+zHKSjh79sjjaNJdgBKdEC3wJeVWQ&#10;CZS+R0IIbvg7FOVriy5kl0df82rr+BEbtPNBdT1aUdzNDuQkzkSx7TS/eeh+3hfU/Stb/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Cg4OMn1gAAAAgBAAAPAAAAAAAAAAEAIAAAADgAAABkcnMvZG93&#10;bnJldi54bWxQSwECFAAUAAAACACHTuJAv8arWOwBAACtAwAADgAAAAAAAAABACAAAAA7AQAAZHJz&#10;L2Uyb0RvYy54bWxQSwUGAAAAAAYABgBZAQAAmQUAAAAA&#10;">
                <v:fill on="f" focussize="0,0"/>
                <v:stroke color="#000000" joinstyle="round" endarrow="open"/>
                <v:imagedata o:title=""/>
                <o:lock v:ext="edit" aspectratio="f"/>
              </v:line>
            </w:pict>
          </mc:Fallback>
        </mc:AlternateContent>
      </w:r>
    </w:p>
    <w:p>
      <w:pPr>
        <w:rPr>
          <w:rFonts w:ascii="Calibri" w:hAnsi="Calibri" w:eastAsia="宋体"/>
          <w:sz w:val="21"/>
          <w:szCs w:val="24"/>
        </w:rPr>
      </w:pPr>
      <w:r>
        <w:rPr>
          <w:rFonts w:ascii="Calibri" w:hAnsi="Calibri" w:eastAsia="宋体"/>
          <w:sz w:val="21"/>
          <w:szCs w:val="24"/>
        </w:rPr>
        <mc:AlternateContent>
          <mc:Choice Requires="wps">
            <w:drawing>
              <wp:anchor distT="0" distB="0" distL="114300" distR="114300" simplePos="0" relativeHeight="251676672" behindDoc="0" locked="0" layoutInCell="1" allowOverlap="1">
                <wp:simplePos x="0" y="0"/>
                <wp:positionH relativeFrom="column">
                  <wp:posOffset>2571115</wp:posOffset>
                </wp:positionH>
                <wp:positionV relativeFrom="paragraph">
                  <wp:posOffset>83185</wp:posOffset>
                </wp:positionV>
                <wp:extent cx="635" cy="344170"/>
                <wp:effectExtent l="48895" t="0" r="64770" b="17780"/>
                <wp:wrapNone/>
                <wp:docPr id="110" name="直接连接符 110"/>
                <wp:cNvGraphicFramePr/>
                <a:graphic xmlns:a="http://schemas.openxmlformats.org/drawingml/2006/main">
                  <a:graphicData uri="http://schemas.microsoft.com/office/word/2010/wordprocessingShape">
                    <wps:wsp>
                      <wps:cNvCnPr/>
                      <wps:spPr>
                        <a:xfrm flipH="true">
                          <a:off x="0" y="0"/>
                          <a:ext cx="635" cy="344170"/>
                        </a:xfrm>
                        <a:prstGeom prst="line">
                          <a:avLst/>
                        </a:prstGeom>
                        <a:ln w="9525" cap="flat" cmpd="sng">
                          <a:solidFill>
                            <a:srgbClr val="000000"/>
                          </a:solidFill>
                          <a:prstDash val="solid"/>
                          <a:headEnd type="none" w="med" len="med"/>
                          <a:tailEnd type="arrow" w="med" len="med"/>
                        </a:ln>
                      </wps:spPr>
                      <wps:bodyPr upright="true"/>
                    </wps:wsp>
                  </a:graphicData>
                </a:graphic>
              </wp:anchor>
            </w:drawing>
          </mc:Choice>
          <mc:Fallback>
            <w:pict>
              <v:line id="_x0000_s1026" o:spid="_x0000_s1026" o:spt="20" style="position:absolute;left:0pt;flip:x;margin-left:202.45pt;margin-top:6.55pt;height:27.1pt;width:0.05pt;z-index:251676672;mso-width-relative:page;mso-height-relative:page;" filled="f" stroked="t" coordsize="21600,21600" o:gfxdata="UEsFBgAAAAAAAAAAAAAAAAAAAAAAAFBLAwQKAAAAAACHTuJAAAAAAAAAAAAAAAAABAAAAGRycy9Q&#10;SwMEFAAAAAgAh07iQNujlVTYAAAACQEAAA8AAABkcnMvZG93bnJldi54bWxNjzFPwzAQhXck/oN1&#10;SCwVtUNDW0KcDpVgYMOt6Ook1yQ0tqP42oZ/zzHBeHqf3n0v30yuFxccYxe8hmSuQKCvQt35RsN+&#10;9/qwBhHJ+tr2waOGb4ywKW5vcpvV4eo/8GKoEVziY2Y1tERDJmWsWnQ2zsOAnrNjGJ0lPsdG1qO9&#10;crnr5aNSS+ls5/lDawfctlidzNlpeHsnKnf7gWan46f5Osy2k1kZre/vEvUCgnCiPxh+9VkdCnYq&#10;w9nXUfQaUpU+M8rBIgHBQKqeeFypYblagCxy+X9B8QNQSwMEFAAAAAgAh07iQOZyqgvtAQAArAMA&#10;AA4AAABkcnMvZTJvRG9jLnhtbK1TS44TMRDdI3EHy3vSSeYDtNKZxYSBBYJIwAEqbbvbkn8qO+nk&#10;ElwAiR2sWLLnNgzHoOwOGX4rRC9Ktuv1q1fP5cXV3hq2kxi1dw2fTaacSdd6oV3X8Devbx484iwm&#10;cAKMd7LhBxn51fL+vcUQajn3vTdCIiMSF+shNLxPKdRVFdteWogTH6SjpPJoIdEWu0ogDMRuTTWf&#10;Ti+rwaMI6FsZI52uxiRfFn6lZJteKhVlYqbhpC2ViCVucqyWC6g7hNDr9igD/kGFBe2o6IlqBQnY&#10;FvUfVFa36KNXadJ6W3mldCtLD9TNbPpbN696CLL0QubEcLIp/j/a9sVujUwLursZ+ePA0iXdvvv8&#10;9e2Hb1/eU7z99JHlFBk1hFgT/tqt8biLYY25671Cy5TR4VnDE26zZqipObYvTh9OTst9Yi0dXp5d&#10;cNbS+dn5+exhYa9GmvxnwJieSm9ZXjTcaDcywu55TFSaoD8gGW4cGxr++GKeOYGGSBlItLSB2oqu&#10;K2qiN1rcaGPyHxG7zbVBtoM8FuXLDRLvL7BcZAWxH3ElNQ5ML0E8cYKlQyC7HE02zxKsFJwZSQ8h&#10;r4gQ6gTa3CEB0Q9/h1Jt40hCNnm0Na82XhzofrYBddeTFcXcrDQnaSSK5uP45pn7eV9Qd49s+R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bo5VU2AAAAAkBAAAPAAAAAAAAAAEAIAAAADgAAABkcnMv&#10;ZG93bnJldi54bWxQSwECFAAUAAAACACHTuJA5nKqC+0BAACsAwAADgAAAAAAAAABACAAAAA9AQAA&#10;ZHJzL2Uyb0RvYy54bWxQSwUGAAAAAAYABgBZAQAAnAUAAAAA&#10;">
                <v:fill on="f" focussize="0,0"/>
                <v:stroke color="#000000" joinstyle="round" endarrow="open"/>
                <v:imagedata o:title=""/>
                <o:lock v:ext="edit" aspectratio="f"/>
              </v:line>
            </w:pict>
          </mc:Fallback>
        </mc:AlternateContent>
      </w:r>
    </w:p>
    <w:p>
      <w:pPr>
        <w:ind w:firstLine="4410" w:firstLineChars="2100"/>
        <w:rPr>
          <w:rFonts w:hint="default" w:ascii="Calibri" w:hAnsi="Calibri" w:eastAsia="宋体"/>
          <w:sz w:val="21"/>
          <w:szCs w:val="24"/>
          <w:lang w:val="en-US" w:eastAsia="zh-CN"/>
        </w:rPr>
      </w:pPr>
      <w:r>
        <w:rPr>
          <w:rFonts w:hint="eastAsia" w:ascii="Calibri" w:hAnsi="Calibri" w:eastAsia="宋体"/>
          <w:sz w:val="21"/>
          <w:szCs w:val="24"/>
          <w:lang w:val="en-US" w:eastAsia="zh-CN"/>
        </w:rPr>
        <w:t>10个工作日内完成</w:t>
      </w:r>
    </w:p>
    <w:p>
      <w:pPr>
        <w:rPr>
          <w:rFonts w:ascii="Calibri" w:hAnsi="Calibri" w:eastAsia="宋体"/>
          <w:sz w:val="21"/>
          <w:szCs w:val="24"/>
        </w:rPr>
      </w:pPr>
      <w:r>
        <w:rPr>
          <w:rFonts w:ascii="Calibri" w:hAnsi="Calibri" w:eastAsia="宋体"/>
          <w:sz w:val="21"/>
          <w:szCs w:val="24"/>
        </w:rPr>
        <mc:AlternateContent>
          <mc:Choice Requires="wps">
            <w:drawing>
              <wp:anchor distT="0" distB="0" distL="114300" distR="114300" simplePos="0" relativeHeight="251664384" behindDoc="0" locked="0" layoutInCell="1" allowOverlap="1">
                <wp:simplePos x="0" y="0"/>
                <wp:positionH relativeFrom="column">
                  <wp:posOffset>1516380</wp:posOffset>
                </wp:positionH>
                <wp:positionV relativeFrom="paragraph">
                  <wp:posOffset>25400</wp:posOffset>
                </wp:positionV>
                <wp:extent cx="2124710" cy="306705"/>
                <wp:effectExtent l="4445" t="4445" r="23495" b="12700"/>
                <wp:wrapNone/>
                <wp:docPr id="111" name="文本框 111"/>
                <wp:cNvGraphicFramePr/>
                <a:graphic xmlns:a="http://schemas.openxmlformats.org/drawingml/2006/main">
                  <a:graphicData uri="http://schemas.microsoft.com/office/word/2010/wordprocessingShape">
                    <wps:wsp>
                      <wps:cNvSpPr txBox="true"/>
                      <wps:spPr>
                        <a:xfrm>
                          <a:off x="0" y="0"/>
                          <a:ext cx="2124710" cy="3067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Calibri" w:hAnsi="Calibri" w:eastAsia="宋体"/>
                                <w:sz w:val="21"/>
                                <w:szCs w:val="24"/>
                                <w:lang w:eastAsia="zh-CN"/>
                              </w:rPr>
                            </w:pPr>
                            <w:r>
                              <w:rPr>
                                <w:rFonts w:hint="eastAsia" w:ascii="Calibri" w:hAnsi="Calibri" w:eastAsia="宋体"/>
                                <w:sz w:val="21"/>
                                <w:szCs w:val="24"/>
                                <w:lang w:eastAsia="zh-CN"/>
                              </w:rPr>
                              <w:t>项目进场交易，发布采购公告</w:t>
                            </w:r>
                          </w:p>
                        </w:txbxContent>
                      </wps:txbx>
                      <wps:bodyPr upright="true"/>
                    </wps:wsp>
                  </a:graphicData>
                </a:graphic>
              </wp:anchor>
            </w:drawing>
          </mc:Choice>
          <mc:Fallback>
            <w:pict>
              <v:shape id="_x0000_s1026" o:spid="_x0000_s1026" o:spt="202" type="#_x0000_t202" style="position:absolute;left:0pt;margin-left:119.4pt;margin-top:2pt;height:24.15pt;width:167.3pt;z-index:251664384;mso-width-relative:page;mso-height-relative:page;" fillcolor="#FFFFFF" filled="t" stroked="t" coordsize="21600,21600" o:gfxdata="UEsFBgAAAAAAAAAAAAAAAAAAAAAAAFBLAwQKAAAAAACHTuJAAAAAAAAAAAAAAAAABAAAAGRycy9Q&#10;SwMEFAAAAAgAh07iQDkL8q3YAAAACAEAAA8AAABkcnMvZG93bnJldi54bWxNj8FOwzAQRO9I/IO1&#10;SFwQdZqENoQ4PSCB4FZKVa5usk0i7HWw3bT8PcsJbrOa1cybanW2Rkzow+BIwXyWgEBqXDtQp2D7&#10;/nRbgAhRU6uNI1TwjQFW9eVFpcvWnegNp03sBIdQKLWCPsaxlDI0PVodZm5EYu/gvNWRT9/J1usT&#10;h1sj0yRZSKsH4oZej/jYY/O5OVoFRf4yfYTXbL1rFgdzH2+W0/OXV+r6ap48gIh4jn/P8IvP6FAz&#10;094dqQ3CKEizgtGjgpwnsX+3zHIQexZpBrKu5P8B9Q9QSwMEFAAAAAgAh07iQFgYi/n0AQAA8gMA&#10;AA4AAABkcnMvZTJvRG9jLnhtbK1TS44TMRDdI3EHy3vSH8gMtNIZCULYIEAaOEDFdndb8k+2k+5c&#10;AG7Aig17zpVzUHY+MwMsEKIX7nLV83PVK9fiZtKK7IQP0pqWVrOSEmGY5dL0Lf30cf3kOSUhguGg&#10;rBEt3YtAb5aPHy1G14jaDlZx4QmSmNCMrqVDjK4pisAGoSHMrBMGg531GiJufV9wDyOya1XUZXlV&#10;jNZz5y0TIaB3dQzSZebvOsHi+64LIhLVUswt5tXndZPWYrmApvfgBslOacA/ZKFBGrz0QrWCCGTr&#10;5W9UWjJvg+3ijFld2K6TTOQasJqq/KWa2wGcyLWgOMFdZAr/j5a9233wRHLsXVVRYkBjkw5fvxy+&#10;/Th8/0ySEyUaXWgQeesQG6eXdmpp9FtxDgX0p+Knzuv0x7IIQlDv/UVjMUXC0FlX9bPrCkMMY0/L&#10;q+tynmiKu9POh/hGWE2S0VKPPczSwu5tiEfoGZIuC1ZJvpZK5Y3vN6+UJzvAfq/zd2J/AFOGjC19&#10;Ma/nmAfgs+sURDS1QyGC6fN9D06E+8Rl/v5EnBJbQRiOCWSGBINGyyh8tgYB/LXhJO4dSm1wKmhK&#10;RgtOiRI4RMnKyAhS/Q0StVMGJUxdOrYiWXHaTEiTzI3le+zc1nnZDyjpuXf5BD6sLP9pCNLLvb/P&#10;vHejuvw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OQvyrdgAAAAIAQAADwAAAAAAAAABACAAAAA4&#10;AAAAZHJzL2Rvd25yZXYueG1sUEsBAhQAFAAAAAgAh07iQFgYi/n0AQAA8gMAAA4AAAAAAAAAAQAg&#10;AAAAPQEAAGRycy9lMm9Eb2MueG1sUEsFBgAAAAAGAAYAWQEAAKMFAAAAAA==&#10;">
                <v:fill on="t" focussize="0,0"/>
                <v:stroke color="#000000" joinstyle="miter"/>
                <v:imagedata o:title=""/>
                <o:lock v:ext="edit" aspectratio="f"/>
                <v:textbox>
                  <w:txbxContent>
                    <w:p>
                      <w:pPr>
                        <w:jc w:val="center"/>
                        <w:rPr>
                          <w:rFonts w:hint="eastAsia" w:ascii="Calibri" w:hAnsi="Calibri" w:eastAsia="宋体"/>
                          <w:sz w:val="21"/>
                          <w:szCs w:val="24"/>
                          <w:lang w:eastAsia="zh-CN"/>
                        </w:rPr>
                      </w:pPr>
                      <w:r>
                        <w:rPr>
                          <w:rFonts w:hint="eastAsia" w:ascii="Calibri" w:hAnsi="Calibri" w:eastAsia="宋体"/>
                          <w:sz w:val="21"/>
                          <w:szCs w:val="24"/>
                          <w:lang w:eastAsia="zh-CN"/>
                        </w:rPr>
                        <w:t>项目进场交易，发布采购公告</w:t>
                      </w:r>
                    </w:p>
                  </w:txbxContent>
                </v:textbox>
              </v:shape>
            </w:pict>
          </mc:Fallback>
        </mc:AlternateContent>
      </w:r>
    </w:p>
    <w:p>
      <w:pPr>
        <w:rPr>
          <w:rFonts w:ascii="Calibri" w:hAnsi="Calibri" w:eastAsia="宋体"/>
          <w:sz w:val="21"/>
          <w:szCs w:val="24"/>
        </w:rPr>
      </w:pPr>
      <w:r>
        <w:rPr>
          <w:rFonts w:ascii="Calibri" w:hAnsi="Calibri" w:eastAsia="宋体"/>
          <w:sz w:val="21"/>
          <w:szCs w:val="24"/>
        </w:rPr>
        <mc:AlternateContent>
          <mc:Choice Requires="wps">
            <w:drawing>
              <wp:anchor distT="0" distB="0" distL="114300" distR="114300" simplePos="0" relativeHeight="251674624" behindDoc="0" locked="0" layoutInCell="1" allowOverlap="1">
                <wp:simplePos x="0" y="0"/>
                <wp:positionH relativeFrom="column">
                  <wp:posOffset>2573655</wp:posOffset>
                </wp:positionH>
                <wp:positionV relativeFrom="paragraph">
                  <wp:posOffset>140970</wp:posOffset>
                </wp:positionV>
                <wp:extent cx="6350" cy="336550"/>
                <wp:effectExtent l="44450" t="0" r="63500" b="6350"/>
                <wp:wrapNone/>
                <wp:docPr id="112" name="直接连接符 112"/>
                <wp:cNvGraphicFramePr/>
                <a:graphic xmlns:a="http://schemas.openxmlformats.org/drawingml/2006/main">
                  <a:graphicData uri="http://schemas.microsoft.com/office/word/2010/wordprocessingShape">
                    <wps:wsp>
                      <wps:cNvCnPr/>
                      <wps:spPr>
                        <a:xfrm>
                          <a:off x="0" y="0"/>
                          <a:ext cx="6350" cy="336550"/>
                        </a:xfrm>
                        <a:prstGeom prst="line">
                          <a:avLst/>
                        </a:prstGeom>
                        <a:ln w="9525" cap="flat" cmpd="sng">
                          <a:solidFill>
                            <a:srgbClr val="000000"/>
                          </a:solidFill>
                          <a:prstDash val="solid"/>
                          <a:headEnd type="none" w="med" len="med"/>
                          <a:tailEnd type="arrow" w="med" len="med"/>
                        </a:ln>
                      </wps:spPr>
                      <wps:bodyPr upright="true"/>
                    </wps:wsp>
                  </a:graphicData>
                </a:graphic>
              </wp:anchor>
            </w:drawing>
          </mc:Choice>
          <mc:Fallback>
            <w:pict>
              <v:line id="_x0000_s1026" o:spid="_x0000_s1026" o:spt="20" style="position:absolute;left:0pt;margin-left:202.65pt;margin-top:11.1pt;height:26.5pt;width:0.5pt;z-index:251674624;mso-width-relative:page;mso-height-relative:page;" filled="f" stroked="t" coordsize="21600,21600" o:gfxdata="UEsFBgAAAAAAAAAAAAAAAAAAAAAAAFBLAwQKAAAAAACHTuJAAAAAAAAAAAAAAAAABAAAAGRycy9Q&#10;SwMEFAAAAAgAh07iQF3ngLDaAAAACQEAAA8AAABkcnMvZG93bnJldi54bWxNj8tOwzAQRfdI/IM1&#10;SGwQtRuaFoU4XYCQAJUFaSu2bjyNI/yIYrcJf8+wguXMHN05t1xPzrIzDrELXsJ8JoChb4LufCth&#10;t32+vQcWk/Ja2eBRwjdGWFeXF6UqdBj9B57r1DIK8bFQEkxKfcF5bAw6FWehR0+3YxicSjQOLdeD&#10;GincWZ4JseROdZ4+GNXjo8Hmqz45Ce1+fNUvm8/6aPdP27f8xph3N0l5fTUXD8ASTukPhl99UoeK&#10;nA7h5HVkVsJC5HeESsiyDBgBC7GkxUHCKs+AVyX/36D6AVBLAwQUAAAACACHTuJAQv5YOOIBAACg&#10;AwAADgAAAGRycy9lMm9Eb2MueG1srVPLrtMwEN0j8Q+W9zR9qBVETe/ilssGQSXgA6a2k1jyS2O3&#10;aX+CH0BiByuW7PkbLp/B2C0trxUii8nYc3wy53iyvDlYw/YKo/au4ZPRmDPlhJfadQ1/8/ru0WPO&#10;YgInwXinGn5Ukd+sHj5YDqFWU997IxUyInGxHkLD+5RCXVVR9MpCHPmgHBVbjxYSLbGrJMJA7NZU&#10;0/F4UQ0eZUAvVIy0uz4V+arwt60S6WXbRpWYaTj1lkrEErc5Vqsl1B1C6LU4twH/0IUF7eijF6o1&#10;JGA71H9QWS3QR9+mkfC28m2rhSoaSM1k/JuaVz0EVbSQOTFcbIr/j1a82G+QaUl3N5ly5sDSJd2/&#10;+/z17YdvX95TvP/0keUSGTWEWBP+1m3wvIphg1n1oUWb36SHHYq5x4u56pCYoM3FbE4XIKgwmy3m&#10;lBNHdT0aMKZnyluWk4Yb7bJyqGH/PKYT9AckbxvHhoY/mU/nxAk0OK2BRKkNJCW6rpyN3mh5p43J&#10;JyJ221uDbA95FMpzbuEXWP7IGmJ/wpVShkHdK5BPnWTpGMgiR9PMcwtWSc6MouHPWUEm0OaKBEQ/&#10;/B1K8o0jF7KxJytztvXySHeyC6i7nqxIuFOl01ykMSi2nUc2z9nP60J2/bFW3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Bd54Cw2gAAAAkBAAAPAAAAAAAAAAEAIAAAADgAAABkcnMvZG93bnJldi54&#10;bWxQSwECFAAUAAAACACHTuJAQv5YOOIBAACgAwAADgAAAAAAAAABACAAAAA/AQAAZHJzL2Uyb0Rv&#10;Yy54bWxQSwUGAAAAAAYABgBZAQAAkwUAAAAA&#10;">
                <v:fill on="f" focussize="0,0"/>
                <v:stroke color="#000000" joinstyle="round" endarrow="open"/>
                <v:imagedata o:title=""/>
                <o:lock v:ext="edit" aspectratio="f"/>
              </v:line>
            </w:pict>
          </mc:Fallback>
        </mc:AlternateContent>
      </w:r>
    </w:p>
    <w:p>
      <w:pPr>
        <w:rPr>
          <w:rFonts w:ascii="Calibri" w:hAnsi="Calibri" w:eastAsia="宋体"/>
          <w:sz w:val="21"/>
          <w:szCs w:val="24"/>
        </w:rPr>
      </w:pPr>
    </w:p>
    <w:p>
      <w:pPr>
        <w:rPr>
          <w:rFonts w:ascii="Calibri" w:hAnsi="Calibri" w:eastAsia="宋体"/>
          <w:sz w:val="21"/>
          <w:szCs w:val="24"/>
        </w:rPr>
      </w:pPr>
      <w:r>
        <w:rPr>
          <w:rFonts w:ascii="Calibri" w:hAnsi="Calibri" w:eastAsia="宋体"/>
          <w:sz w:val="21"/>
          <w:szCs w:val="24"/>
        </w:rPr>
        <mc:AlternateContent>
          <mc:Choice Requires="wps">
            <w:drawing>
              <wp:anchor distT="0" distB="0" distL="114300" distR="114300" simplePos="0" relativeHeight="251665408" behindDoc="0" locked="0" layoutInCell="1" allowOverlap="1">
                <wp:simplePos x="0" y="0"/>
                <wp:positionH relativeFrom="column">
                  <wp:posOffset>1770380</wp:posOffset>
                </wp:positionH>
                <wp:positionV relativeFrom="paragraph">
                  <wp:posOffset>101600</wp:posOffset>
                </wp:positionV>
                <wp:extent cx="1554480" cy="299720"/>
                <wp:effectExtent l="5080" t="4445" r="21590" b="19685"/>
                <wp:wrapNone/>
                <wp:docPr id="113" name="文本框 113"/>
                <wp:cNvGraphicFramePr/>
                <a:graphic xmlns:a="http://schemas.openxmlformats.org/drawingml/2006/main">
                  <a:graphicData uri="http://schemas.microsoft.com/office/word/2010/wordprocessingShape">
                    <wps:wsp>
                      <wps:cNvSpPr txBox="true"/>
                      <wps:spPr>
                        <a:xfrm>
                          <a:off x="0" y="0"/>
                          <a:ext cx="1554480" cy="299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Calibri" w:hAnsi="Calibri" w:eastAsia="宋体"/>
                                <w:sz w:val="21"/>
                                <w:szCs w:val="24"/>
                                <w:lang w:eastAsia="zh-CN"/>
                              </w:rPr>
                            </w:pPr>
                            <w:r>
                              <w:rPr>
                                <w:rFonts w:hint="eastAsia" w:ascii="Calibri" w:hAnsi="Calibri" w:eastAsia="宋体"/>
                                <w:sz w:val="21"/>
                                <w:szCs w:val="24"/>
                                <w:lang w:eastAsia="zh-CN"/>
                              </w:rPr>
                              <w:t>项目开标，专家评标</w:t>
                            </w:r>
                          </w:p>
                        </w:txbxContent>
                      </wps:txbx>
                      <wps:bodyPr upright="true"/>
                    </wps:wsp>
                  </a:graphicData>
                </a:graphic>
              </wp:anchor>
            </w:drawing>
          </mc:Choice>
          <mc:Fallback>
            <w:pict>
              <v:shape id="_x0000_s1026" o:spid="_x0000_s1026" o:spt="202" type="#_x0000_t202" style="position:absolute;left:0pt;margin-left:139.4pt;margin-top:8pt;height:23.6pt;width:122.4pt;z-index:251665408;mso-width-relative:page;mso-height-relative:page;" fillcolor="#FFFFFF" filled="t" stroked="t" coordsize="21600,21600" o:gfxdata="UEsFBgAAAAAAAAAAAAAAAAAAAAAAAFBLAwQKAAAAAACHTuJAAAAAAAAAAAAAAAAABAAAAGRycy9Q&#10;SwMEFAAAAAgAh07iQHf2A2vYAAAACQEAAA8AAABkcnMvZG93bnJldi54bWxNj8FOwzAQRO9I/IO1&#10;SFwQdZpAGkKcHpBAcIOC4OrG2yTCXgfbTcvfs5zgOJrRzJtmfXRWzBji6EnBcpGBQOq8GalX8PZ6&#10;f1mBiEmT0dYTKvjGCOv29KTRtfEHesF5k3rBJRRrrWBIaaqljN2ATseFn5DY2/ngdGIZemmCPnC5&#10;szLPslI6PRIvDHrCuwG7z83eKaiuHueP+FQ8v3flzt6ki9X88BWUOj9bZrcgEh7TXxh+8RkdWmba&#10;+j2ZKKyCfFUxemKj5E8cuM6LEsRWQVnkINtG/n/Q/gBQSwMEFAAAAAgAh07iQEh1sUj4AQAA8gMA&#10;AA4AAABkcnMvZTJvRG9jLnhtbK1TTY7TMBTeI3EHy3uaNExhGjUdCUrZIEAaOMCr7SSW/CfbbdIL&#10;wA1YsWHPuXqOeXannRlmFgiRhfPs9/nze99nL65GrchO+CCtaeh0UlIiDLNcmq6hX7+sX1xSEiIY&#10;Dsoa0dC9CPRq+fzZYnC1qGxvFReeIIkJ9eAa2sfo6qIIrBcawsQ6YTDZWq8h4tR3BfcwILtWRVWW&#10;r4rBeu68ZSIEXF0dk3SZ+dtWsPipbYOIRDUUa4t59HncpLFYLqDuPLhestsy4B+q0CANHnqmWkEE&#10;svXyEZWWzNtg2zhhVhe2bSUTuQfsZlr+0c11D07kXlCc4M4yhf9Hyz7uPnsiOXo3fUmJAY0mHX58&#10;P/z8ffj1jaRFlGhwoUbktUNsHN/YsaHRb8UpFXA9NT+2Xqc/tkUQgnrvzxqLMRKGi9PZ7OLiElMM&#10;c9V8/rrKJhR3u50P8b2wmqSgoR49zNLC7kOIWAxCT5B0WLBK8rVUKk98t3mrPNkB+r3OXyoStzyA&#10;KUOGhs5n1QzrALx2rYKIoXYoRDBdPu/BjnCfuMzfU8SpsBWE/lhAZkgwqLWMwueoF8DfGU7i3qHU&#10;Bl8FTcVowSlRAh9RijIyglR/g8TulMEmk0tHK1IUx82INCncWL5H57bOy65HSU/e5R14sbJAt48g&#10;3dz788x791SX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Hf2A2vYAAAACQEAAA8AAAAAAAAAAQAg&#10;AAAAOAAAAGRycy9kb3ducmV2LnhtbFBLAQIUABQAAAAIAIdO4kBIdbFI+AEAAPIDAAAOAAAAAAAA&#10;AAEAIAAAAD0BAABkcnMvZTJvRG9jLnhtbFBLBQYAAAAABgAGAFkBAACnBQAAAAA=&#10;">
                <v:fill on="t" focussize="0,0"/>
                <v:stroke color="#000000" joinstyle="miter"/>
                <v:imagedata o:title=""/>
                <o:lock v:ext="edit" aspectratio="f"/>
                <v:textbox>
                  <w:txbxContent>
                    <w:p>
                      <w:pPr>
                        <w:jc w:val="center"/>
                        <w:rPr>
                          <w:rFonts w:hint="eastAsia" w:ascii="Calibri" w:hAnsi="Calibri" w:eastAsia="宋体"/>
                          <w:sz w:val="21"/>
                          <w:szCs w:val="24"/>
                          <w:lang w:eastAsia="zh-CN"/>
                        </w:rPr>
                      </w:pPr>
                      <w:r>
                        <w:rPr>
                          <w:rFonts w:hint="eastAsia" w:ascii="Calibri" w:hAnsi="Calibri" w:eastAsia="宋体"/>
                          <w:sz w:val="21"/>
                          <w:szCs w:val="24"/>
                          <w:lang w:eastAsia="zh-CN"/>
                        </w:rPr>
                        <w:t>项目开标，专家评标</w:t>
                      </w:r>
                    </w:p>
                  </w:txbxContent>
                </v:textbox>
              </v:shape>
            </w:pict>
          </mc:Fallback>
        </mc:AlternateContent>
      </w:r>
    </w:p>
    <w:p>
      <w:pPr>
        <w:rPr>
          <w:rFonts w:ascii="Calibri" w:hAnsi="Calibri" w:eastAsia="宋体"/>
          <w:sz w:val="21"/>
          <w:szCs w:val="24"/>
        </w:rPr>
      </w:pPr>
    </w:p>
    <w:p>
      <w:pPr>
        <w:rPr>
          <w:rFonts w:ascii="Calibri" w:hAnsi="Calibri" w:eastAsia="宋体"/>
          <w:sz w:val="21"/>
          <w:szCs w:val="24"/>
        </w:rPr>
      </w:pPr>
      <w:r>
        <w:rPr>
          <w:rFonts w:ascii="Calibri" w:hAnsi="Calibri" w:eastAsia="宋体"/>
          <w:sz w:val="21"/>
          <w:szCs w:val="24"/>
        </w:rPr>
        <mc:AlternateContent>
          <mc:Choice Requires="wps">
            <w:drawing>
              <wp:anchor distT="0" distB="0" distL="114300" distR="114300" simplePos="0" relativeHeight="251677696" behindDoc="0" locked="0" layoutInCell="1" allowOverlap="1">
                <wp:simplePos x="0" y="0"/>
                <wp:positionH relativeFrom="column">
                  <wp:posOffset>2599690</wp:posOffset>
                </wp:positionH>
                <wp:positionV relativeFrom="paragraph">
                  <wp:posOffset>24765</wp:posOffset>
                </wp:positionV>
                <wp:extent cx="635" cy="344170"/>
                <wp:effectExtent l="48895" t="0" r="64770" b="17780"/>
                <wp:wrapNone/>
                <wp:docPr id="114" name="直接连接符 114"/>
                <wp:cNvGraphicFramePr/>
                <a:graphic xmlns:a="http://schemas.openxmlformats.org/drawingml/2006/main">
                  <a:graphicData uri="http://schemas.microsoft.com/office/word/2010/wordprocessingShape">
                    <wps:wsp>
                      <wps:cNvCnPr/>
                      <wps:spPr>
                        <a:xfrm flipH="true">
                          <a:off x="0" y="0"/>
                          <a:ext cx="635" cy="344170"/>
                        </a:xfrm>
                        <a:prstGeom prst="line">
                          <a:avLst/>
                        </a:prstGeom>
                        <a:ln w="9525" cap="flat" cmpd="sng">
                          <a:solidFill>
                            <a:srgbClr val="000000"/>
                          </a:solidFill>
                          <a:prstDash val="solid"/>
                          <a:headEnd type="none" w="med" len="med"/>
                          <a:tailEnd type="arrow" w="med" len="med"/>
                        </a:ln>
                      </wps:spPr>
                      <wps:bodyPr upright="true"/>
                    </wps:wsp>
                  </a:graphicData>
                </a:graphic>
              </wp:anchor>
            </w:drawing>
          </mc:Choice>
          <mc:Fallback>
            <w:pict>
              <v:line id="_x0000_s1026" o:spid="_x0000_s1026" o:spt="20" style="position:absolute;left:0pt;flip:x;margin-left:204.7pt;margin-top:1.95pt;height:27.1pt;width:0.05pt;z-index:251677696;mso-width-relative:page;mso-height-relative:page;" filled="f" stroked="t" coordsize="21600,21600" o:gfxdata="UEsFBgAAAAAAAAAAAAAAAAAAAAAAAFBLAwQKAAAAAACHTuJAAAAAAAAAAAAAAAAABAAAAGRycy9Q&#10;SwMEFAAAAAgAh07iQLaRkWvXAAAACAEAAA8AAABkcnMvZG93bnJldi54bWxNjzFPwzAUhHck/oP1&#10;kFgqagdaaEOcDpVgYMOtYHViNwmNn6P4tQ3/nscE4+lOd98Vmyn04uzH1EXUkM0VCI91dB02Gva7&#10;l7sViEQWne0jeg3fPsGmvL4qbO7iBd/92VAjuARTbjW0REMuZapbH2yax8Eje4c4Bkssx0a60V64&#10;PPTyXqlHGWyHvNDawW9bXx/NKWh4fSOqdvuBZsfDh/n6nG0n82S0vr3J1DMI8hP9heEXn9GhZKYq&#10;ntAl0WtYqPWCoxoe1iDYZ70EUWlYrjKQZSH/Hyh/AFBLAwQUAAAACACHTuJA9UJ8MO8BAACsAwAA&#10;DgAAAGRycy9lMm9Eb2MueG1srVNLjhMxEN0jcQfLe6aTTGaAVjqzmDCwQBAJOEClbXdb8k9lJ51c&#10;ggsgsYMVS/bchuEYlN0hw2+F6IVVdr1+fvWqvLjaW8N2EqP2ruHTswln0rVeaNc1/M3rmwePOIsJ&#10;nADjnWz4QUZ+tbx/bzGEWs58742QyIjExXoIDe9TCnVVxbaXFuKZD9JRUnm0kGiLXSUQBmK3pppN&#10;JpfV4FEE9K2MkU5XY5IvC79Ssk0vlYoyMdNw0pbKimXd5LVaLqDuEEKv26MM+AcVFrSjS09UK0jA&#10;tqj/oLK6RR+9Smett5VXSrey1EDVTCe/VfOqhyBLLWRODCeb4v+jbV/s1si0oN5N55w5sNSk23ef&#10;v7798O3Le1pvP31kOUVGDSHWhL92azzuYlhjrnqv0DJldHjW8ITbrBlqKo7ti9OHk9Nyn1hLh5fn&#10;F5y1dH4+n08fljZUI03+M2BMT6W3LAcNN9qNjLB7HhNdTdAfkAw3jg0Nf3wxy5xAQ6QMJAptoLKi&#10;64qa6I0WN9qY/EfEbnNtkO0gj0X5coHE+wssX7KC2I+4khoHppcgnjjB0iGQXY4mm2cJVgrOjKSH&#10;kCMihDqBNndIQPTD36F0t3EkIZs82pqjjRcH6s82oO56sqKYm5XmJI1E0Xwc3zxzP+8L6u6RLb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tpGRa9cAAAAIAQAADwAAAAAAAAABACAAAAA4AAAAZHJz&#10;L2Rvd25yZXYueG1sUEsBAhQAFAAAAAgAh07iQPVCfDDvAQAArAMAAA4AAAAAAAAAAQAgAAAAPAEA&#10;AGRycy9lMm9Eb2MueG1sUEsFBgAAAAAGAAYAWQEAAJ0FAAAAAA==&#10;">
                <v:fill on="f" focussize="0,0"/>
                <v:stroke color="#000000" joinstyle="round" endarrow="open"/>
                <v:imagedata o:title=""/>
                <o:lock v:ext="edit" aspectratio="f"/>
              </v:line>
            </w:pict>
          </mc:Fallback>
        </mc:AlternateContent>
      </w:r>
    </w:p>
    <w:p>
      <w:pPr>
        <w:rPr>
          <w:rFonts w:hint="default" w:ascii="Calibri" w:hAnsi="Calibri" w:eastAsia="宋体"/>
          <w:sz w:val="21"/>
          <w:szCs w:val="24"/>
          <w:lang w:val="en-US" w:eastAsia="zh-CN"/>
        </w:rPr>
      </w:pPr>
      <w:r>
        <w:rPr>
          <w:rFonts w:ascii="Calibri" w:hAnsi="Calibri" w:eastAsia="宋体"/>
          <w:sz w:val="21"/>
          <w:szCs w:val="24"/>
        </w:rPr>
        <mc:AlternateContent>
          <mc:Choice Requires="wps">
            <w:drawing>
              <wp:anchor distT="0" distB="0" distL="114300" distR="114300" simplePos="0" relativeHeight="251682816" behindDoc="0" locked="0" layoutInCell="1" allowOverlap="1">
                <wp:simplePos x="0" y="0"/>
                <wp:positionH relativeFrom="column">
                  <wp:posOffset>1301750</wp:posOffset>
                </wp:positionH>
                <wp:positionV relativeFrom="paragraph">
                  <wp:posOffset>174625</wp:posOffset>
                </wp:positionV>
                <wp:extent cx="2915920" cy="307975"/>
                <wp:effectExtent l="4445" t="4445" r="13335" b="11430"/>
                <wp:wrapNone/>
                <wp:docPr id="115" name="文本框 115"/>
                <wp:cNvGraphicFramePr/>
                <a:graphic xmlns:a="http://schemas.openxmlformats.org/drawingml/2006/main">
                  <a:graphicData uri="http://schemas.microsoft.com/office/word/2010/wordprocessingShape">
                    <wps:wsp>
                      <wps:cNvSpPr txBox="true"/>
                      <wps:spPr>
                        <a:xfrm>
                          <a:off x="0" y="0"/>
                          <a:ext cx="2915920" cy="3079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Calibri" w:hAnsi="Calibri" w:eastAsia="宋体"/>
                                <w:sz w:val="21"/>
                                <w:szCs w:val="24"/>
                                <w:lang w:eastAsia="zh-CN"/>
                              </w:rPr>
                            </w:pPr>
                            <w:r>
                              <w:rPr>
                                <w:rFonts w:hint="eastAsia" w:ascii="Calibri" w:hAnsi="Calibri" w:eastAsia="宋体"/>
                                <w:sz w:val="21"/>
                                <w:szCs w:val="24"/>
                                <w:lang w:eastAsia="zh-CN"/>
                              </w:rPr>
                              <w:t>发布采购结果公告，同日发出中标成交通知书</w:t>
                            </w:r>
                          </w:p>
                        </w:txbxContent>
                      </wps:txbx>
                      <wps:bodyPr upright="true"/>
                    </wps:wsp>
                  </a:graphicData>
                </a:graphic>
              </wp:anchor>
            </w:drawing>
          </mc:Choice>
          <mc:Fallback>
            <w:pict>
              <v:shape id="_x0000_s1026" o:spid="_x0000_s1026" o:spt="202" type="#_x0000_t202" style="position:absolute;left:0pt;margin-left:102.5pt;margin-top:13.75pt;height:24.25pt;width:229.6pt;z-index:251682816;mso-width-relative:page;mso-height-relative:page;" fillcolor="#FFFFFF" filled="t" stroked="t" coordsize="21600,21600" o:gfxdata="UEsFBgAAAAAAAAAAAAAAAAAAAAAAAFBLAwQKAAAAAACHTuJAAAAAAAAAAAAAAAAABAAAAGRycy9Q&#10;SwMEFAAAAAgAh07iQFM03s/ZAAAACQEAAA8AAABkcnMvZG93bnJldi54bWxNj8FOwzAQRO9I/IO1&#10;SFwQtRtap4Q4PSCB4FYKgqsbu0mEvQ62m5a/ZznBbVYzmn1Tr0/escnGNARUMJ8JYBbbYAbsFLy9&#10;PlyvgKWs0WgX0Cr4tgnWzflZrSsTjvhip23uGJVgqrSCPuex4jy1vfU6zcJokbx9iF5nOmPHTdRH&#10;KveOF0JI7vWA9KHXo73vbfu5PXgFq8XT9JGebzbvrdy723xVTo9fUanLi7m4A5btKf+F4Ref0KEh&#10;pl04oEnMKSjEkrZkEuUSGAWkXBTAdgpKKYA3Nf+/oPkBUEsDBBQAAAAIAIdO4kDqvN119gEAAPID&#10;AAAOAAAAZHJzL2Uyb0RvYy54bWytU0uOEzEQ3SNxB8t70p2gMKSVzkgQwgYB0sABKv50W/JPtpPu&#10;XABuwIoNe86Vc0zZmWRmgAVC9MJddj0/13tlL69Ho8lehKicbel0UlMiLHNc2a6lnz9tnr2kJCaw&#10;HLSzoqUHEen16umT5eAbMXO901wEgiQ2NoNvaZ+Sb6oqsl4YiBPnhcWkdMFAwmnoKh5gQHajq1ld&#10;v6gGF7gPjokYcXV9StJV4ZdSsPRByigS0S3F2lIZQxm3eaxWS2i6AL5X7K4M+IcqDCiLh16o1pCA&#10;7IL6jcooFlx0Mk2YM5WTUjFRNKCaaf2LmpsevCha0JzoLzbF/0fL3u8/BqI49m46p8SCwSYdv309&#10;fv95/PGF5EW0aPCxQeSNR2waX7mxpSnsxDkVcT2LH2Uw+Y+yCELQ78PFYzEmwnBxtpjOFzNMMcw9&#10;r68WV+WE6n63DzG9Fc6QHLQ0YA+LtbB/FxMWg9AzJB8WnVZ8o7Quk9BtX+tA9oD93pQvF4lbHsG0&#10;JUNLF/MZSmaA105qSBgaj0ZE25XzHu2ID4nr8v2JOBe2htifCigMGQaNUUmEEvUC+BvLSTp4tNri&#10;q6C5GCM4JVrgI8pRQSZQ+m+QqE5bFJm7dGpFjtK4HZEmh1vHD9i5nQ+q69HSc+/KDrxYxaC7R5Bv&#10;7sN54b1/qqt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UzTez9kAAAAJAQAADwAAAAAAAAABACAA&#10;AAA4AAAAZHJzL2Rvd25yZXYueG1sUEsBAhQAFAAAAAgAh07iQOq83XX2AQAA8gMAAA4AAAAAAAAA&#10;AQAgAAAAPgEAAGRycy9lMm9Eb2MueG1sUEsFBgAAAAAGAAYAWQEAAKYFAAAAAA==&#10;">
                <v:fill on="t" focussize="0,0"/>
                <v:stroke color="#000000" joinstyle="miter"/>
                <v:imagedata o:title=""/>
                <o:lock v:ext="edit" aspectratio="f"/>
                <v:textbox>
                  <w:txbxContent>
                    <w:p>
                      <w:pPr>
                        <w:jc w:val="center"/>
                        <w:rPr>
                          <w:rFonts w:hint="eastAsia" w:ascii="Calibri" w:hAnsi="Calibri" w:eastAsia="宋体"/>
                          <w:sz w:val="21"/>
                          <w:szCs w:val="24"/>
                          <w:lang w:eastAsia="zh-CN"/>
                        </w:rPr>
                      </w:pPr>
                      <w:r>
                        <w:rPr>
                          <w:rFonts w:hint="eastAsia" w:ascii="Calibri" w:hAnsi="Calibri" w:eastAsia="宋体"/>
                          <w:sz w:val="21"/>
                          <w:szCs w:val="24"/>
                          <w:lang w:eastAsia="zh-CN"/>
                        </w:rPr>
                        <w:t>发布采购结果公告，同日发出中标成交通知书</w:t>
                      </w:r>
                    </w:p>
                  </w:txbxContent>
                </v:textbox>
              </v:shape>
            </w:pict>
          </mc:Fallback>
        </mc:AlternateContent>
      </w:r>
      <w:r>
        <w:rPr>
          <w:rFonts w:ascii="Calibri" w:hAnsi="Calibri" w:eastAsia="宋体"/>
          <w:sz w:val="21"/>
          <w:szCs w:val="24"/>
        </w:rPr>
        <mc:AlternateContent>
          <mc:Choice Requires="wps">
            <w:drawing>
              <wp:anchor distT="0" distB="0" distL="114300" distR="114300" simplePos="0" relativeHeight="251675648" behindDoc="0" locked="0" layoutInCell="1" allowOverlap="1">
                <wp:simplePos x="0" y="0"/>
                <wp:positionH relativeFrom="column">
                  <wp:posOffset>1292225</wp:posOffset>
                </wp:positionH>
                <wp:positionV relativeFrom="paragraph">
                  <wp:posOffset>174625</wp:posOffset>
                </wp:positionV>
                <wp:extent cx="2915920" cy="307975"/>
                <wp:effectExtent l="4445" t="4445" r="13335" b="11430"/>
                <wp:wrapNone/>
                <wp:docPr id="116" name="文本框 116"/>
                <wp:cNvGraphicFramePr/>
                <a:graphic xmlns:a="http://schemas.openxmlformats.org/drawingml/2006/main">
                  <a:graphicData uri="http://schemas.microsoft.com/office/word/2010/wordprocessingShape">
                    <wps:wsp>
                      <wps:cNvSpPr txBox="true"/>
                      <wps:spPr>
                        <a:xfrm>
                          <a:off x="0" y="0"/>
                          <a:ext cx="2915920" cy="3079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Calibri" w:hAnsi="Calibri" w:eastAsia="宋体"/>
                                <w:sz w:val="21"/>
                                <w:szCs w:val="24"/>
                                <w:lang w:eastAsia="zh-CN"/>
                              </w:rPr>
                            </w:pPr>
                            <w:r>
                              <w:rPr>
                                <w:rFonts w:hint="eastAsia" w:ascii="Calibri" w:hAnsi="Calibri" w:eastAsia="宋体"/>
                                <w:sz w:val="21"/>
                                <w:szCs w:val="24"/>
                                <w:lang w:eastAsia="zh-CN"/>
                              </w:rPr>
                              <w:t>发布采购结果公告，同日发出中标成交通知书</w:t>
                            </w:r>
                          </w:p>
                        </w:txbxContent>
                      </wps:txbx>
                      <wps:bodyPr upright="true"/>
                    </wps:wsp>
                  </a:graphicData>
                </a:graphic>
              </wp:anchor>
            </w:drawing>
          </mc:Choice>
          <mc:Fallback>
            <w:pict>
              <v:shape id="_x0000_s1026" o:spid="_x0000_s1026" o:spt="202" type="#_x0000_t202" style="position:absolute;left:0pt;margin-left:101.75pt;margin-top:13.75pt;height:24.25pt;width:229.6pt;z-index:251675648;mso-width-relative:page;mso-height-relative:page;" fillcolor="#FFFFFF" filled="t" stroked="t" coordsize="21600,21600" o:gfxdata="UEsFBgAAAAAAAAAAAAAAAAAAAAAAAFBLAwQKAAAAAACHTuJAAAAAAAAAAAAAAAAABAAAAGRycy9Q&#10;SwMEFAAAAAgAh07iQNlusTjYAAAACQEAAA8AAABkcnMvZG93bnJldi54bWxNj8FOwzAMhu9IvENk&#10;JC6IJesgHaXpDkgguMFA2zVrsrYicUqSdePtMSc42ZY//f5cr07escnGNARUMJ8JYBbbYAbsFHy8&#10;P14vgaWs0WgX0Cr4tglWzflZrSsTjvhmp3XuGIVgqrSCPuex4jy1vfU6zcJokXb7EL3ONMaOm6iP&#10;FO4dL4SQ3OsB6UKvR/vQ2/ZzffAKljfP0za9LF43rdy7u3xVTk9fUanLi7m4B5btKf/B8KtP6tCQ&#10;0y4c0CTmFBRicUsoNSVVAqQsSmA7BaUUwJua//+g+QFQSwMEFAAAAAgAh07iQJdeMw71AQAA8gMA&#10;AA4AAABkcnMvZTJvRG9jLnhtbK1TzY7TMBC+I/EOlu80aVB3adR0JSjlggBp4QGmtpNY8p9st0lf&#10;AN6AExfuPFefg7H7s7vsHhAiB2c88/nzzDeexc2oFdkJH6Q1DZ1OSkqEYZZL0zX0y+f1i1eUhAiG&#10;g7JGNHQvAr1ZPn+2GFwtKttbxYUnSGJCPbiG9jG6uigC64WGMLFOGAy21muIuPVdwT0MyK5VUZXl&#10;VTFYz523TISA3tUxSJeZv20Fix/bNohIVEMxt5hXn9dNWovlAurOg+slO6UB/5CFBmnw0gvVCiKQ&#10;rZePqLRk3gbbxgmzurBtK5nINWA10/KPam57cCLXguIEd5Ep/D9a9mH3yRPJsXfTK0oMaGzS4fu3&#10;w49fh59fSXKiRIMLNSJvHWLj+NqODY1+K86hgP5U/Nh6nf5YFkEI6r2/aCzGSBg6q/l0Nq8wxDD2&#10;sryeX88STXF32vkQ3wmrSTIa6rGHWVrYvQ/xCD1D0mXBKsnXUqm88d3mjfJkB9jvdf5O7A9gypCh&#10;ofNZNcM8AJ9dqyCiqR0KEUyX73twItwnLvP3FHFKbAWhPyaQGRIMai2j8NnqBfC3hpO4dyi1wamg&#10;KRktOCVK4BAlKyMjSPU3SNROGZQwdenYimTFcTMiTTI3lu+xc1vnZdejpOfe5RP4sLL8pyFIL/f+&#10;PvPejer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NlusTjYAAAACQEAAA8AAAAAAAAAAQAgAAAA&#10;OAAAAGRycy9kb3ducmV2LnhtbFBLAQIUABQAAAAIAIdO4kCXXjMO9QEAAPIDAAAOAAAAAAAAAAEA&#10;IAAAAD0BAABkcnMvZTJvRG9jLnhtbFBLBQYAAAAABgAGAFkBAACkBQAAAAA=&#10;">
                <v:fill on="t" focussize="0,0"/>
                <v:stroke color="#000000" joinstyle="miter"/>
                <v:imagedata o:title=""/>
                <o:lock v:ext="edit" aspectratio="f"/>
                <v:textbox>
                  <w:txbxContent>
                    <w:p>
                      <w:pPr>
                        <w:jc w:val="center"/>
                        <w:rPr>
                          <w:rFonts w:hint="eastAsia" w:ascii="Calibri" w:hAnsi="Calibri" w:eastAsia="宋体"/>
                          <w:sz w:val="21"/>
                          <w:szCs w:val="24"/>
                          <w:lang w:eastAsia="zh-CN"/>
                        </w:rPr>
                      </w:pPr>
                      <w:r>
                        <w:rPr>
                          <w:rFonts w:hint="eastAsia" w:ascii="Calibri" w:hAnsi="Calibri" w:eastAsia="宋体"/>
                          <w:sz w:val="21"/>
                          <w:szCs w:val="24"/>
                          <w:lang w:eastAsia="zh-CN"/>
                        </w:rPr>
                        <w:t>发布采购结果公告，同日发出中标成交通知书</w:t>
                      </w:r>
                    </w:p>
                  </w:txbxContent>
                </v:textbox>
              </v:shape>
            </w:pict>
          </mc:Fallback>
        </mc:AlternateContent>
      </w:r>
      <w:r>
        <w:rPr>
          <w:rFonts w:hint="eastAsia" w:ascii="Calibri" w:hAnsi="Calibri" w:eastAsia="宋体"/>
          <w:sz w:val="21"/>
          <w:szCs w:val="24"/>
          <w:lang w:val="en-US" w:eastAsia="zh-CN"/>
        </w:rPr>
        <w:t xml:space="preserve">                                          1个工作日内完成 </w:t>
      </w:r>
    </w:p>
    <w:p>
      <w:pPr>
        <w:rPr>
          <w:rFonts w:ascii="Calibri" w:hAnsi="Calibri" w:eastAsia="宋体"/>
          <w:sz w:val="21"/>
          <w:szCs w:val="24"/>
        </w:rPr>
      </w:pPr>
    </w:p>
    <w:p>
      <w:pPr>
        <w:rPr>
          <w:rFonts w:ascii="Calibri" w:hAnsi="Calibri" w:eastAsia="宋体"/>
          <w:sz w:val="21"/>
          <w:szCs w:val="24"/>
        </w:rPr>
      </w:pPr>
      <w:r>
        <w:rPr>
          <w:rFonts w:ascii="Calibri" w:hAnsi="Calibri" w:eastAsia="宋体"/>
          <w:sz w:val="21"/>
          <w:szCs w:val="24"/>
        </w:rPr>
        <mc:AlternateContent>
          <mc:Choice Requires="wps">
            <w:drawing>
              <wp:anchor distT="0" distB="0" distL="114300" distR="114300" simplePos="0" relativeHeight="251678720" behindDoc="0" locked="0" layoutInCell="1" allowOverlap="1">
                <wp:simplePos x="0" y="0"/>
                <wp:positionH relativeFrom="column">
                  <wp:posOffset>2634615</wp:posOffset>
                </wp:positionH>
                <wp:positionV relativeFrom="paragraph">
                  <wp:posOffset>110490</wp:posOffset>
                </wp:positionV>
                <wp:extent cx="635" cy="344170"/>
                <wp:effectExtent l="48895" t="0" r="64770" b="17780"/>
                <wp:wrapNone/>
                <wp:docPr id="117" name="直接连接符 117"/>
                <wp:cNvGraphicFramePr/>
                <a:graphic xmlns:a="http://schemas.openxmlformats.org/drawingml/2006/main">
                  <a:graphicData uri="http://schemas.microsoft.com/office/word/2010/wordprocessingShape">
                    <wps:wsp>
                      <wps:cNvCnPr/>
                      <wps:spPr>
                        <a:xfrm flipH="true">
                          <a:off x="0" y="0"/>
                          <a:ext cx="635" cy="344170"/>
                        </a:xfrm>
                        <a:prstGeom prst="line">
                          <a:avLst/>
                        </a:prstGeom>
                        <a:ln w="9525" cap="flat" cmpd="sng">
                          <a:solidFill>
                            <a:srgbClr val="000000"/>
                          </a:solidFill>
                          <a:prstDash val="solid"/>
                          <a:headEnd type="none" w="med" len="med"/>
                          <a:tailEnd type="arrow" w="med" len="med"/>
                        </a:ln>
                      </wps:spPr>
                      <wps:bodyPr upright="true"/>
                    </wps:wsp>
                  </a:graphicData>
                </a:graphic>
              </wp:anchor>
            </w:drawing>
          </mc:Choice>
          <mc:Fallback>
            <w:pict>
              <v:line id="_x0000_s1026" o:spid="_x0000_s1026" o:spt="20" style="position:absolute;left:0pt;flip:x;margin-left:207.45pt;margin-top:8.7pt;height:27.1pt;width:0.05pt;z-index:251678720;mso-width-relative:page;mso-height-relative:page;" filled="f" stroked="t" coordsize="21600,21600" o:gfxdata="UEsFBgAAAAAAAAAAAAAAAAAAAAAAAFBLAwQKAAAAAACHTuJAAAAAAAAAAAAAAAAABAAAAGRycy9Q&#10;SwMEFAAAAAgAh07iQCCoW67YAAAACQEAAA8AAABkcnMvZG93bnJldi54bWxNjzFPwzAQhXck/oN1&#10;SCwVdYxC04Y4HSrBwEZawerEbhIan6P42oZ/zzHBeHqf3n2v2M5+EBc3xT6gBrVMQDhsgu2x1XDY&#10;vzysQUQyaM0Q0Gn4dhG25e1NYXIbrvjuLhW1gksw5kZDRzTmUsamc97EZRgdcnYMkzfE59RKO5kr&#10;l/tBPibJSnrTI3/ozOh2nWtO1dlreH0jqveHkRan40f19bnYzVVWaX1/p5JnEORm+oPhV5/VoWSn&#10;OpzRRjFoSFW6YZSDLAXBQKqeeFytIVMrkGUh/y8ofwBQSwMEFAAAAAgAh07iQGiXvlXuAQAArAMA&#10;AA4AAABkcnMvZTJvRG9jLnhtbK1TS44TMRDdI3EHy3umk8wPWunMYsLAAkEk4AAV291tyT+VnXRy&#10;CS6AxA5WLGfPbRiOQdkdMvxWiF5YZdfr51evyvOrnTVsqzBq7xo+PZlwppzwUruu4W/f3Dx6zFlM&#10;4CQY71TD9yryq8XDB/Mh1Grme2+kQkYkLtZDaHifUqirKopeWYgnPihHydajhURb7CqJMBC7NdVs&#10;MrmoBo8yoBcqRjpdjkm+KPxtq0R61bZRJWYaTtpSWbGs67xWiznUHULotTjIgH9QYUE7uvRItYQE&#10;bIP6DyqrBfro23QivK1822qhSg1UzXTyWzWvewiq1ELmxHC0Kf4/WvFyu0KmJfVuesmZA0tNunt/&#10;+/Xdx29fPtB69/kTyykyagixJvy1W+FhF8MKc9W7Fi1rjQ7PG55wkzVDTcWxXXF6f3Ra7RITdHhx&#10;es6ZoPPTs7PpZWlDNdLkPwPG9Ex5y3LQcKPdyAjbFzHR1QT9Aclw49jQ8Cfns8wJNEStgUShDVRW&#10;dF1RE73R8kYbk/+I2K2vDbIt5LEoXy6QeH+B5UuWEPsRV1LjwPQK5FMnWdoHssvRZPMswSrJmVH0&#10;EHJEhFAn0OYeCYh++DuU7jaOJGSTR1tztPZyT/3ZBNRdT1YUc7PSnKSRKJoP45tn7ud9Qd0/ssV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IKhbrtgAAAAJAQAADwAAAAAAAAABACAAAAA4AAAAZHJz&#10;L2Rvd25yZXYueG1sUEsBAhQAFAAAAAgAh07iQGiXvlXuAQAArAMAAA4AAAAAAAAAAQAgAAAAPQEA&#10;AGRycy9lMm9Eb2MueG1sUEsFBgAAAAAGAAYAWQEAAJ0FAAAAAA==&#10;">
                <v:fill on="f" focussize="0,0"/>
                <v:stroke color="#000000" joinstyle="round" endarrow="open"/>
                <v:imagedata o:title=""/>
                <o:lock v:ext="edit" aspectratio="f"/>
              </v:line>
            </w:pict>
          </mc:Fallback>
        </mc:AlternateContent>
      </w:r>
    </w:p>
    <w:p>
      <w:pPr>
        <w:rPr>
          <w:rFonts w:hint="default" w:ascii="Calibri" w:hAnsi="Calibri" w:eastAsia="宋体"/>
          <w:sz w:val="21"/>
          <w:szCs w:val="24"/>
          <w:lang w:val="en-US" w:eastAsia="zh-CN"/>
        </w:rPr>
      </w:pPr>
      <w:r>
        <w:rPr>
          <w:rFonts w:hint="eastAsia" w:ascii="Calibri" w:hAnsi="Calibri" w:eastAsia="宋体"/>
          <w:sz w:val="21"/>
          <w:szCs w:val="24"/>
          <w:lang w:val="en-US" w:eastAsia="zh-CN"/>
        </w:rPr>
        <w:t xml:space="preserve">                                          3个工作日内完成</w:t>
      </w:r>
    </w:p>
    <w:p>
      <w:pPr>
        <w:rPr>
          <w:rFonts w:ascii="Calibri" w:hAnsi="Calibri" w:eastAsia="宋体"/>
          <w:sz w:val="21"/>
          <w:szCs w:val="24"/>
        </w:rPr>
      </w:pPr>
    </w:p>
    <w:p>
      <w:pPr>
        <w:rPr>
          <w:rFonts w:ascii="Calibri" w:hAnsi="Calibri" w:eastAsia="宋体"/>
          <w:sz w:val="21"/>
          <w:szCs w:val="24"/>
        </w:rPr>
      </w:pPr>
    </w:p>
    <w:p>
      <w:pPr>
        <w:rPr>
          <w:rFonts w:hint="default" w:ascii="Calibri" w:hAnsi="Calibri" w:eastAsia="宋体"/>
          <w:sz w:val="21"/>
          <w:szCs w:val="24"/>
          <w:lang w:val="en-US" w:eastAsia="zh-CN"/>
        </w:rPr>
      </w:pPr>
      <w:r>
        <w:rPr>
          <w:rFonts w:hint="eastAsia" w:ascii="Calibri" w:hAnsi="Calibri" w:eastAsia="宋体"/>
          <w:sz w:val="21"/>
          <w:szCs w:val="24"/>
          <w:lang w:val="en-US" w:eastAsia="zh-CN"/>
        </w:rPr>
        <w:t xml:space="preserve">                                           1个工作日内完成</w:t>
      </w:r>
    </w:p>
    <w:p>
      <w:pPr>
        <w:rPr>
          <w:rFonts w:ascii="Calibri" w:hAnsi="Calibri" w:eastAsia="宋体"/>
          <w:sz w:val="21"/>
          <w:szCs w:val="24"/>
        </w:rPr>
      </w:pPr>
    </w:p>
    <w:p>
      <w:pPr>
        <w:rPr>
          <w:rFonts w:ascii="Calibri" w:hAnsi="Calibri" w:eastAsia="宋体"/>
          <w:sz w:val="21"/>
          <w:szCs w:val="24"/>
        </w:rPr>
      </w:pPr>
      <w:r>
        <w:rPr>
          <w:rFonts w:ascii="Calibri" w:hAnsi="Calibri" w:eastAsia="宋体"/>
          <w:sz w:val="21"/>
          <w:szCs w:val="24"/>
        </w:rPr>
        <mc:AlternateContent>
          <mc:Choice Requires="wps">
            <w:drawing>
              <wp:anchor distT="0" distB="0" distL="114300" distR="114300" simplePos="0" relativeHeight="251679744" behindDoc="0" locked="0" layoutInCell="1" allowOverlap="1">
                <wp:simplePos x="0" y="0"/>
                <wp:positionH relativeFrom="column">
                  <wp:posOffset>2652395</wp:posOffset>
                </wp:positionH>
                <wp:positionV relativeFrom="paragraph">
                  <wp:posOffset>135255</wp:posOffset>
                </wp:positionV>
                <wp:extent cx="1270" cy="248920"/>
                <wp:effectExtent l="48895" t="0" r="64135" b="17780"/>
                <wp:wrapNone/>
                <wp:docPr id="118" name="直接连接符 118"/>
                <wp:cNvGraphicFramePr/>
                <a:graphic xmlns:a="http://schemas.openxmlformats.org/drawingml/2006/main">
                  <a:graphicData uri="http://schemas.microsoft.com/office/word/2010/wordprocessingShape">
                    <wps:wsp>
                      <wps:cNvCnPr/>
                      <wps:spPr>
                        <a:xfrm flipH="true">
                          <a:off x="0" y="0"/>
                          <a:ext cx="1270" cy="248920"/>
                        </a:xfrm>
                        <a:prstGeom prst="line">
                          <a:avLst/>
                        </a:prstGeom>
                        <a:ln w="9525" cap="flat" cmpd="sng">
                          <a:solidFill>
                            <a:srgbClr val="000000"/>
                          </a:solidFill>
                          <a:prstDash val="solid"/>
                          <a:headEnd type="none" w="med" len="med"/>
                          <a:tailEnd type="arrow" w="med" len="med"/>
                        </a:ln>
                      </wps:spPr>
                      <wps:bodyPr upright="true"/>
                    </wps:wsp>
                  </a:graphicData>
                </a:graphic>
              </wp:anchor>
            </w:drawing>
          </mc:Choice>
          <mc:Fallback>
            <w:pict>
              <v:line id="_x0000_s1026" o:spid="_x0000_s1026" o:spt="20" style="position:absolute;left:0pt;flip:x;margin-left:208.85pt;margin-top:10.65pt;height:19.6pt;width:0.1pt;z-index:251679744;mso-width-relative:page;mso-height-relative:page;" filled="f" stroked="t" coordsize="21600,21600" o:gfxdata="UEsFBgAAAAAAAAAAAAAAAAAAAAAAAFBLAwQKAAAAAACHTuJAAAAAAAAAAAAAAAAABAAAAGRycy9Q&#10;SwMEFAAAAAgAh07iQObWRLTYAAAACQEAAA8AAABkcnMvZG93bnJldi54bWxNj8FOwzAMhu9IvENk&#10;JC4TSztg3UrdHSbBgRvZBNe0ydqyxqkabytvTzixo+1Pv7+/2EyuF2c7hs4TQjpPQFiqvemoQdjv&#10;Xh9WIAJrMrr3ZBF+bIBNeXtT6Nz4C33Ys+JGxBAKuUZomYdcylC31ukw94OleDv40WmO49hIM+pL&#10;DHe9XCTJUjrdUfzQ6sFuW1sf1ckhvL0zV7v9wLPj4VN9f822k8oU4v1dmryAYDvxPwx/+lEdyuhU&#10;+ROZIHqEpzTLIoqwSB9BRCAu1iAqhGXyDLIs5HWD8hdQSwMEFAAAAAgAh07iQKsUKfbvAQAArQMA&#10;AA4AAABkcnMvZTJvRG9jLnhtbK1TS44TMRDdI3EHy3vSSYuBmVY6s5gwsEAwEnCAiu3utuSfyk46&#10;uQQXQGIHK5bsuQ3DMSi7Q4bfCtELy+56fvXqVXl5ubeG7RRG7V3LF7M5Z8oJL7XrW/7m9fWDc85i&#10;AifBeKdaflCRX67u31uOoVG1H7yRChmRuNiMoeVDSqGpqigGZSHOfFCOgp1HC4mO2FcSYSR2a6p6&#10;Pn9UjR5lQC9UjPR3PQX5qvB3nRLpZddFlZhpOWlLZcWybvJarZbQ9Ahh0OIoA/5BhQXtKOmJag0J&#10;2Bb1H1RWC/TRd2kmvK1812mhSg1UzWL+WzWvBgiq1ELmxHCyKf4/WvFid4NMS+rdglrlwFKTbt99&#10;/vr2w7cv72m9/fSR5RAZNYbYEP7K3eDxFMMN5qr3HVrWGR2etTzhNmuGhopj++L04eS02icm6Oei&#10;fkzdEBSoH55f1KUP1cSTrwaM6anyluVNy412EyXsnsdEuQn6A5LhxrGx5Rdn9RlxAk1RZyDR1gaq&#10;K7q+yIneaHmtjck3IvabK4NsB3kuypcrJN5fYDnJGuIw4UpomphBgXziJEuHQH45Gm2eJVglOTOK&#10;XkLeESE0CbS5QwKiH/8OpdzGkYTs8uRr3m28PFCDtgF1P5AVxd2sNAdpJorm4/zmofv5XFB3r2z1&#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ObWRLTYAAAACQEAAA8AAAAAAAAAAQAgAAAAOAAAAGRy&#10;cy9kb3ducmV2LnhtbFBLAQIUABQAAAAIAIdO4kCrFCn27wEAAK0DAAAOAAAAAAAAAAEAIAAAAD0B&#10;AABkcnMvZTJvRG9jLnhtbFBLBQYAAAAABgAGAFkBAACeBQAAAAA=&#10;">
                <v:fill on="f" focussize="0,0"/>
                <v:stroke color="#000000" joinstyle="round" endarrow="open"/>
                <v:imagedata o:title=""/>
                <o:lock v:ext="edit" aspectratio="f"/>
              </v:line>
            </w:pict>
          </mc:Fallback>
        </mc:AlternateContent>
      </w:r>
    </w:p>
    <w:p>
      <w:pPr>
        <w:rPr>
          <w:rFonts w:ascii="Calibri" w:hAnsi="Calibri" w:eastAsia="宋体"/>
          <w:sz w:val="21"/>
          <w:szCs w:val="24"/>
        </w:rPr>
      </w:pPr>
    </w:p>
    <w:p>
      <w:pPr>
        <w:rPr>
          <w:rFonts w:ascii="Calibri" w:hAnsi="Calibri" w:eastAsia="宋体"/>
          <w:sz w:val="21"/>
          <w:szCs w:val="24"/>
        </w:rPr>
      </w:pPr>
    </w:p>
    <w:p>
      <w:pPr>
        <w:rPr>
          <w:rFonts w:ascii="Calibri" w:hAnsi="Calibri" w:eastAsia="宋体"/>
          <w:sz w:val="21"/>
          <w:szCs w:val="24"/>
        </w:rPr>
      </w:pPr>
    </w:p>
    <w:p>
      <w:pPr>
        <w:rPr>
          <w:rFonts w:hint="default" w:ascii="Calibri" w:hAnsi="Calibri" w:eastAsia="宋体"/>
          <w:sz w:val="21"/>
          <w:szCs w:val="24"/>
          <w:lang w:val="en-US" w:eastAsia="zh-CN"/>
        </w:rPr>
      </w:pPr>
      <w:r>
        <w:rPr>
          <w:rFonts w:hint="eastAsia" w:ascii="Calibri" w:hAnsi="Calibri" w:eastAsia="宋体"/>
          <w:sz w:val="21"/>
          <w:szCs w:val="24"/>
          <w:lang w:val="en-US" w:eastAsia="zh-CN"/>
        </w:rPr>
        <w:t xml:space="preserve">                                           1个工作日完成</w:t>
      </w:r>
    </w:p>
    <w:p>
      <w:pPr>
        <w:rPr>
          <w:rFonts w:ascii="Calibri" w:hAnsi="Calibri" w:eastAsia="宋体"/>
          <w:sz w:val="21"/>
          <w:szCs w:val="24"/>
        </w:rPr>
      </w:pPr>
    </w:p>
    <w:p>
      <w:pPr>
        <w:rPr>
          <w:rFonts w:hint="default" w:ascii="Calibri" w:hAnsi="Calibri" w:eastAsia="宋体"/>
          <w:sz w:val="21"/>
          <w:szCs w:val="24"/>
          <w:lang w:val="en-US"/>
        </w:rPr>
      </w:pPr>
      <w:r>
        <w:rPr>
          <w:rFonts w:hint="eastAsia" w:ascii="Calibri" w:hAnsi="Calibri" w:eastAsia="宋体"/>
          <w:sz w:val="21"/>
          <w:szCs w:val="24"/>
          <w:lang w:val="en-US" w:eastAsia="zh-CN"/>
        </w:rPr>
        <w:t xml:space="preserve">                                          </w:t>
      </w:r>
    </w:p>
    <w:p>
      <w:pPr>
        <w:rPr>
          <w:rFonts w:hint="default" w:ascii="Calibri" w:hAnsi="Calibri" w:eastAsia="宋体"/>
          <w:sz w:val="21"/>
          <w:szCs w:val="24"/>
          <w:lang w:val="en-US" w:eastAsia="zh-CN"/>
        </w:rPr>
      </w:pPr>
      <w:r>
        <w:rPr>
          <w:rFonts w:hint="eastAsia" w:ascii="Calibri" w:hAnsi="Calibri" w:eastAsia="宋体"/>
          <w:sz w:val="21"/>
          <w:szCs w:val="24"/>
          <w:lang w:val="en-US" w:eastAsia="zh-CN"/>
        </w:rPr>
        <w:t xml:space="preserve">                                         1个工作日发布验收报告（根据资金安排发布）                                  </w:t>
      </w:r>
    </w:p>
    <w:p>
      <w:pPr>
        <w:rPr>
          <w:rFonts w:ascii="Calibri" w:hAnsi="Calibri" w:eastAsia="宋体"/>
          <w:sz w:val="21"/>
          <w:szCs w:val="24"/>
        </w:rPr>
      </w:pPr>
    </w:p>
    <w:p>
      <w:pPr>
        <w:rPr>
          <w:rFonts w:ascii="Calibri" w:hAnsi="Calibri" w:eastAsia="宋体"/>
          <w:sz w:val="21"/>
          <w:szCs w:val="24"/>
        </w:rPr>
      </w:pPr>
    </w:p>
    <w:p>
      <w:pPr>
        <w:rPr>
          <w:rFonts w:hint="default" w:ascii="Calibri" w:hAnsi="Calibri" w:eastAsia="宋体"/>
          <w:sz w:val="21"/>
          <w:szCs w:val="24"/>
          <w:lang w:val="en-US"/>
        </w:rPr>
      </w:pPr>
      <w:r>
        <w:rPr>
          <w:rFonts w:hint="eastAsia" w:ascii="Calibri" w:hAnsi="Calibri" w:eastAsia="宋体"/>
          <w:sz w:val="21"/>
          <w:szCs w:val="24"/>
          <w:lang w:val="en-US" w:eastAsia="zh-CN"/>
        </w:rPr>
        <w:t xml:space="preserve">                                            根据资金安排，开具发票</w:t>
      </w:r>
    </w:p>
    <w:p>
      <w:pPr>
        <w:rPr>
          <w:rFonts w:ascii="Calibri" w:hAnsi="Calibri" w:eastAsia="宋体"/>
          <w:sz w:val="21"/>
          <w:szCs w:val="24"/>
        </w:rPr>
      </w:pPr>
    </w:p>
    <w:p>
      <w:r>
        <w:rPr>
          <w:rFonts w:hint="eastAsia" w:ascii="Calibri" w:hAnsi="Calibri" w:eastAsia="宋体"/>
          <w:sz w:val="21"/>
          <w:szCs w:val="24"/>
          <w:lang w:val="en-US" w:eastAsia="zh-CN"/>
        </w:rPr>
        <w:t xml:space="preserve">                                                </w:t>
      </w:r>
      <w:bookmarkStart w:id="0" w:name="_GoBack"/>
      <w:bookmarkEnd w:id="0"/>
      <w:r>
        <w:rPr>
          <w:rFonts w:hint="eastAsia" w:ascii="Calibri" w:hAnsi="Calibri" w:eastAsia="宋体"/>
          <w:sz w:val="21"/>
          <w:szCs w:val="24"/>
          <w:lang w:val="en-US" w:eastAsia="zh-CN"/>
        </w:rPr>
        <w:t xml:space="preserve">     2个工作日内完成支付</w:t>
      </w:r>
    </w:p>
    <w:sectPr>
      <w:footerReference r:id="rId11" w:type="default"/>
      <w:pgSz w:w="11906" w:h="16838"/>
      <w:pgMar w:top="820" w:right="1486" w:bottom="822" w:left="1800" w:header="851" w:footer="992" w:gutter="0"/>
      <w:pgNumType w:fmt="numberInDash" w:start="8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MS Mincho">
    <w:altName w:val="方正书宋_GBK"/>
    <w:panose1 w:val="02020609040205080304"/>
    <w:charset w:val="80"/>
    <w:family w:val="modern"/>
    <w:pitch w:val="default"/>
    <w:sig w:usb0="00000000" w:usb1="00000000" w:usb2="00000012" w:usb3="00000000" w:csb0="4002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3"/>
        <w:tab w:val="right" w:pos="8306"/>
        <w:tab w:val="clear" w:pos="4140"/>
        <w:tab w:val="clear" w:pos="8300"/>
      </w:tabs>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tabs>
                              <w:tab w:val="center" w:pos="4153"/>
                              <w:tab w:val="right" w:pos="8306"/>
                              <w:tab w:val="clear" w:pos="4140"/>
                              <w:tab w:val="clear" w:pos="8300"/>
                            </w:tabs>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tabs>
                        <w:tab w:val="center" w:pos="4153"/>
                        <w:tab w:val="right" w:pos="8306"/>
                        <w:tab w:val="clear" w:pos="4140"/>
                        <w:tab w:val="clear" w:pos="8300"/>
                      </w:tabs>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3"/>
        <w:tab w:val="right" w:pos="8306"/>
        <w:tab w:val="clear" w:pos="4140"/>
        <w:tab w:val="clear" w:pos="8300"/>
      </w:tabs>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3"/>
        <w:tab w:val="right" w:pos="8306"/>
        <w:tab w:val="clear" w:pos="4140"/>
        <w:tab w:val="clear" w:pos="8300"/>
      </w:tabs>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tabs>
                              <w:tab w:val="center" w:pos="4153"/>
                              <w:tab w:val="right" w:pos="8306"/>
                              <w:tab w:val="clear" w:pos="4140"/>
                              <w:tab w:val="clear" w:pos="8300"/>
                            </w:tabs>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4"/>
                      <w:tabs>
                        <w:tab w:val="center" w:pos="4153"/>
                        <w:tab w:val="right" w:pos="8306"/>
                        <w:tab w:val="clear" w:pos="4140"/>
                        <w:tab w:val="clear" w:pos="8300"/>
                      </w:tabs>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3"/>
        <w:tab w:val="right" w:pos="8306"/>
        <w:tab w:val="clear" w:pos="4140"/>
        <w:tab w:val="clear" w:pos="8300"/>
      </w:tabs>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24</w:t>
    </w:r>
    <w:r>
      <w:rPr>
        <w:rFonts w:ascii="宋体" w:hAnsi="宋体"/>
        <w:sz w:val="28"/>
        <w:szCs w:val="28"/>
      </w:rPr>
      <w:fldChar w:fldCharType="end"/>
    </w:r>
    <w:r>
      <w:rPr>
        <w:rFonts w:hint="eastAsia" w:ascii="宋体"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3"/>
        <w:tab w:val="right" w:pos="8306"/>
        <w:tab w:val="clear" w:pos="4140"/>
        <w:tab w:val="clear" w:pos="8300"/>
      </w:tabs>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tabs>
                              <w:tab w:val="center" w:pos="4153"/>
                              <w:tab w:val="right" w:pos="8306"/>
                              <w:tab w:val="clear" w:pos="4140"/>
                              <w:tab w:val="clear" w:pos="8300"/>
                            </w:tabs>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4"/>
                      <w:tabs>
                        <w:tab w:val="center" w:pos="4153"/>
                        <w:tab w:val="right" w:pos="8306"/>
                        <w:tab w:val="clear" w:pos="4140"/>
                        <w:tab w:val="clear" w:pos="8300"/>
                      </w:tabs>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3"/>
        <w:tab w:val="right" w:pos="8306"/>
        <w:tab w:val="clear" w:pos="4140"/>
        <w:tab w:val="clear" w:pos="8300"/>
      </w:tabs>
      <w:jc w:val="right"/>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tabs>
                              <w:tab w:val="center" w:pos="4153"/>
                              <w:tab w:val="right" w:pos="8306"/>
                              <w:tab w:val="clear" w:pos="4140"/>
                              <w:tab w:val="clear" w:pos="8300"/>
                            </w:tabs>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19</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4"/>
                      <w:tabs>
                        <w:tab w:val="center" w:pos="4153"/>
                        <w:tab w:val="right" w:pos="8306"/>
                        <w:tab w:val="clear" w:pos="4140"/>
                        <w:tab w:val="clear" w:pos="8300"/>
                      </w:tabs>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19</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3"/>
        <w:tab w:val="right" w:pos="8306"/>
        <w:tab w:val="clear" w:pos="4140"/>
        <w:tab w:val="clear" w:pos="8300"/>
      </w:tabs>
      <w:jc w:val="right"/>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tabs>
                              <w:tab w:val="center" w:pos="4153"/>
                              <w:tab w:val="right" w:pos="8306"/>
                              <w:tab w:val="clear" w:pos="4140"/>
                              <w:tab w:val="clear" w:pos="8300"/>
                            </w:tabs>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23</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4"/>
                      <w:tabs>
                        <w:tab w:val="center" w:pos="4153"/>
                        <w:tab w:val="right" w:pos="8306"/>
                        <w:tab w:val="clear" w:pos="4140"/>
                        <w:tab w:val="clear" w:pos="8300"/>
                      </w:tabs>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23</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3"/>
        <w:tab w:val="right" w:pos="8306"/>
        <w:tab w:val="clear" w:pos="4140"/>
        <w:tab w:val="clear" w:pos="8300"/>
      </w:tabs>
      <w:jc w:val="right"/>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tabs>
                              <w:tab w:val="center" w:pos="4153"/>
                              <w:tab w:val="right" w:pos="8306"/>
                              <w:tab w:val="clear" w:pos="4140"/>
                              <w:tab w:val="clear" w:pos="8300"/>
                            </w:tabs>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25</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4"/>
                      <w:tabs>
                        <w:tab w:val="center" w:pos="4153"/>
                        <w:tab w:val="right" w:pos="8306"/>
                        <w:tab w:val="clear" w:pos="4140"/>
                        <w:tab w:val="clear" w:pos="8300"/>
                      </w:tabs>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25</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07" w:rightChars="96"/>
      <w:jc w:val="right"/>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posOffset>-161290</wp:posOffset>
              </wp:positionH>
              <wp:positionV relativeFrom="paragraph">
                <wp:posOffset>0</wp:posOffset>
              </wp:positionV>
              <wp:extent cx="540385"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54038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right="307" w:rightChars="96"/>
                            <w:jc w:val="right"/>
                          </w:pPr>
                          <w:r>
                            <w:rPr>
                              <w:rFonts w:ascii="宋体" w:hAnsi="宋体"/>
                              <w:sz w:val="28"/>
                              <w:szCs w:val="28"/>
                            </w:rPr>
                            <w:fldChar w:fldCharType="begin"/>
                          </w:r>
                          <w:r>
                            <w:rPr>
                              <w:rStyle w:val="9"/>
                              <w:rFonts w:ascii="宋体" w:hAnsi="宋体"/>
                              <w:sz w:val="28"/>
                              <w:szCs w:val="28"/>
                            </w:rPr>
                            <w:instrText xml:space="preserve"> PAGE </w:instrText>
                          </w:r>
                          <w:r>
                            <w:rPr>
                              <w:rFonts w:ascii="宋体" w:hAnsi="宋体"/>
                              <w:sz w:val="28"/>
                              <w:szCs w:val="28"/>
                            </w:rPr>
                            <w:fldChar w:fldCharType="separate"/>
                          </w:r>
                          <w:r>
                            <w:rPr>
                              <w:rStyle w:val="9"/>
                              <w:rFonts w:ascii="宋体" w:hAnsi="宋体"/>
                              <w:sz w:val="28"/>
                              <w:szCs w:val="28"/>
                            </w:rPr>
                            <w:t>- 53 -</w:t>
                          </w:r>
                          <w:r>
                            <w:rPr>
                              <w:rFonts w:ascii="宋体" w:hAnsi="宋体"/>
                              <w:sz w:val="28"/>
                              <w:szCs w:val="28"/>
                            </w:rP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12.7pt;margin-top:0pt;height:144pt;width:42.55pt;mso-position-horizontal-relative:margin;z-index:251665408;mso-width-relative:page;mso-height-relative:page;" filled="f" stroked="f" coordsize="21600,21600" o:gfxdata="UEsFBgAAAAAAAAAAAAAAAAAAAAAAAFBLAwQKAAAAAACHTuJAAAAAAAAAAAAAAAAABAAAAGRycy9Q&#10;SwMEFAAAAAgAh07iQJQJz8DWAAAABwEAAA8AAABkcnMvZG93bnJldi54bWxNj8FOwzAQRO9I/IO1&#10;SNxauxGFEOL0gKAHOJEixNGNN3EgXkexmxa+nuUEx9HMzrwtNyc/iBmn2AfSsFoqEEhNsD11Gl53&#10;j4scREyGrBkCoYYvjLCpzs9KU9hwpBec69QJLqFYGA0upbGQMjYOvYnLMCKx14bJm8Ry6qSdzJHL&#10;/SAzpa6lNz3xgjMj3jtsPuuDZ4y3Z+W3361790+mjbXbzduHD60vL1bqDkTCU/oLwy8+30DFTPtw&#10;IBvFoGGRra84qoE/Ynt9ewNiryHLcwWyKuV//uoHUEsDBBQAAAAIAIdO4kAgowF7IgIAACoEAAAO&#10;AAAAZHJzL2Uyb0RvYy54bWytU8uO0zAU3SPxD5b3NGmHjqqq6ajMqAipYkYqiLXr2E0kv7h2mpQP&#10;gD9gxYY939Xv4NpNWgSsEBv72vfle87x4q7TihwE+Nqago5HOSXCcFvWZl/Q9+/WL2aU+MBMyZQ1&#10;oqBH4end8vmzRevmYmIrq0oBBIsYP29dQasQ3DzLPK+EZn5knTDolBY0C3iEfVYCa7G6Vtkkz2+z&#10;1kLpwHLhPd4+nJ10mepLKXh4lNKLQFRB8W0hrZDWXVyz5YLN98BcVfP+GewfXqFZbbDppdQDC4w0&#10;UP9RStccrLcyjLjVmZWy5iLNgNOM89+m2VbMiTQLguPdBSb//8ryt4cnIHVZUCTKMI0Unb5+OX37&#10;cfr+mcwiPK3zc4zaOowL3SvbFTRAIwaXx/s4eCdBxx1HIhiCWB8v+IouEI6X05f5zWxKCUfXeDaZ&#10;zfJEQHbNduDDa2E1iUZBAflLsLLDxgd8DIYOIbGZsetaqcShMqQt6O3NNE8JFw9mKIOJcYzzW6MV&#10;ul3Xz7az5RFHA3vWhnd8XWPzDfPhiQGKAUdBgYdHXKSy2MT2FiWVhU9/u4/xyBF6KWlRXAX1HxsG&#10;ghL1xiB7UYmDAYOxGwzT6HuLeh3j13E8mZgAQQ2mBKs/oO5XsYtkymNhZjj2Q24G8z7gqXfi/+Fi&#10;tbqcGwf1vromoxYdCxuzdbxnN6Lr3aoJiHACPqJ2hqoHEwWZ+Og/T1T8r+cUdf3iy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CUCc/A1gAAAAcBAAAPAAAAAAAAAAEAIAAAADgAAABkcnMvZG93bnJl&#10;di54bWxQSwECFAAUAAAACACHTuJAIKMBeyICAAAqBAAADgAAAAAAAAABACAAAAA7AQAAZHJzL2Uy&#10;b0RvYy54bWxQSwUGAAAAAAYABgBZAQAAzwUAAAAA&#10;">
              <v:fill on="f" focussize="0,0"/>
              <v:stroke on="f" weight="0.5pt"/>
              <v:imagedata o:title=""/>
              <o:lock v:ext="edit" aspectratio="f"/>
              <v:textbox inset="0mm,0mm,0mm,0mm" style="mso-fit-shape-to-text:t;">
                <w:txbxContent>
                  <w:p>
                    <w:pPr>
                      <w:pStyle w:val="4"/>
                      <w:ind w:right="307" w:rightChars="96"/>
                      <w:jc w:val="right"/>
                    </w:pPr>
                    <w:r>
                      <w:rPr>
                        <w:rFonts w:ascii="宋体" w:hAnsi="宋体"/>
                        <w:sz w:val="28"/>
                        <w:szCs w:val="28"/>
                      </w:rPr>
                      <w:fldChar w:fldCharType="begin"/>
                    </w:r>
                    <w:r>
                      <w:rPr>
                        <w:rStyle w:val="9"/>
                        <w:rFonts w:ascii="宋体" w:hAnsi="宋体"/>
                        <w:sz w:val="28"/>
                        <w:szCs w:val="28"/>
                      </w:rPr>
                      <w:instrText xml:space="preserve"> PAGE </w:instrText>
                    </w:r>
                    <w:r>
                      <w:rPr>
                        <w:rFonts w:ascii="宋体" w:hAnsi="宋体"/>
                        <w:sz w:val="28"/>
                        <w:szCs w:val="28"/>
                      </w:rPr>
                      <w:fldChar w:fldCharType="separate"/>
                    </w:r>
                    <w:r>
                      <w:rPr>
                        <w:rStyle w:val="9"/>
                        <w:rFonts w:ascii="宋体" w:hAnsi="宋体"/>
                        <w:sz w:val="28"/>
                        <w:szCs w:val="28"/>
                      </w:rPr>
                      <w:t>- 53 -</w:t>
                    </w:r>
                    <w:r>
                      <w:rPr>
                        <w:rFonts w:ascii="宋体" w:hAnsi="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26C6B2"/>
    <w:multiLevelType w:val="singleLevel"/>
    <w:tmpl w:val="F726C6B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A79C9"/>
    <w:rsid w:val="0BA04799"/>
    <w:rsid w:val="11481922"/>
    <w:rsid w:val="15CD06D8"/>
    <w:rsid w:val="162E0D37"/>
    <w:rsid w:val="17B40CAD"/>
    <w:rsid w:val="199F6A2E"/>
    <w:rsid w:val="1CB41852"/>
    <w:rsid w:val="1F3B6403"/>
    <w:rsid w:val="23583633"/>
    <w:rsid w:val="2A284247"/>
    <w:rsid w:val="2E5C3459"/>
    <w:rsid w:val="3037252D"/>
    <w:rsid w:val="3C23420F"/>
    <w:rsid w:val="3C6404C7"/>
    <w:rsid w:val="3C78735C"/>
    <w:rsid w:val="40412717"/>
    <w:rsid w:val="4182353E"/>
    <w:rsid w:val="42893A0E"/>
    <w:rsid w:val="4C106674"/>
    <w:rsid w:val="4D152277"/>
    <w:rsid w:val="4F4347B8"/>
    <w:rsid w:val="5384056E"/>
    <w:rsid w:val="57902102"/>
    <w:rsid w:val="63431DFD"/>
    <w:rsid w:val="658974AC"/>
    <w:rsid w:val="6A2C1234"/>
    <w:rsid w:val="6F147A04"/>
    <w:rsid w:val="77D42843"/>
    <w:rsid w:val="79E90E23"/>
    <w:rsid w:val="7D532705"/>
    <w:rsid w:val="7FB75082"/>
    <w:rsid w:val="D7FB9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widowControl w:val="0"/>
      <w:spacing w:after="0"/>
      <w:jc w:val="left"/>
    </w:pPr>
    <w:rPr>
      <w:rFonts w:ascii="Times New Roman" w:hAnsi="Times New Roman" w:cs="Times New Roman"/>
    </w:rPr>
  </w:style>
  <w:style w:type="paragraph" w:styleId="4">
    <w:name w:val="footer"/>
    <w:basedOn w:val="1"/>
    <w:qFormat/>
    <w:uiPriority w:val="0"/>
    <w:pPr>
      <w:widowControl w:val="0"/>
      <w:tabs>
        <w:tab w:val="center" w:pos="4140"/>
        <w:tab w:val="right" w:pos="8300"/>
      </w:tabs>
      <w:snapToGrid w:val="0"/>
      <w:spacing w:before="0" w:after="0"/>
      <w:ind w:left="0" w:right="0"/>
      <w:jc w:val="left"/>
    </w:pPr>
    <w:rPr>
      <w:rFonts w:ascii="Times New Roman" w:hAnsi="Times New Roman" w:eastAsia="宋体" w:cs="Times New Roman"/>
      <w:kern w:val="2"/>
      <w:sz w:val="18"/>
      <w:szCs w:val="18"/>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widowControl/>
      <w:spacing w:before="100" w:beforeAutospacing="1" w:after="100" w:afterAutospacing="1"/>
      <w:ind w:left="0" w:right="0"/>
      <w:jc w:val="left"/>
    </w:pPr>
    <w:rPr>
      <w:rFonts w:ascii="宋体" w:hAnsi="Times New Roman" w:eastAsia="宋体" w:cs="宋体"/>
      <w:kern w:val="0"/>
      <w:sz w:val="24"/>
      <w:szCs w:val="24"/>
      <w:lang w:val="en-US" w:eastAsia="zh-CN" w:bidi="ar-SA"/>
    </w:rPr>
  </w:style>
  <w:style w:type="character" w:styleId="9">
    <w:name w:val="page number"/>
    <w:basedOn w:val="8"/>
    <w:qFormat/>
    <w:uiPriority w:val="0"/>
    <w:rPr>
      <w:rFonts w:ascii="Times New Roman" w:hAnsi="Times New Roman" w:eastAsia="宋体" w:cs="Times New Roman"/>
      <w:lang w:bidi="ar-SA"/>
    </w:rPr>
  </w:style>
  <w:style w:type="character" w:styleId="10">
    <w:name w:val="annotation reference"/>
    <w:unhideWhenUsed/>
    <w:qFormat/>
    <w:uiPriority w:val="99"/>
    <w:rPr>
      <w:rFonts w:ascii="Times New Roman" w:hAnsi="Times New Roman"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65</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2020-08-14T15:27:00Z</dcterms:created>
  <dc:creator>dell</dc:creator>
  <cp:lastModifiedBy>administrator</cp:lastModifiedBy>
  <dcterms:modified xsi:type="dcterms:W3CDTF">2021-12-08T08:24:04Z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D433223DA4814D3AB222CB67A37E8492</vt:lpwstr>
  </property>
</Properties>
</file>