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2023年1-2月凤泉区经济运行情况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2023年1-2月，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随着</w:t>
      </w:r>
      <w:r>
        <w:rPr>
          <w:rFonts w:hint="eastAsia" w:ascii="仿宋" w:hAnsi="仿宋" w:eastAsia="仿宋" w:cs="仿宋"/>
          <w:sz w:val="32"/>
          <w:szCs w:val="32"/>
        </w:rPr>
        <w:t>稳经济政策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及接续政策</w:t>
      </w:r>
      <w:r>
        <w:rPr>
          <w:rFonts w:hint="eastAsia" w:ascii="仿宋" w:hAnsi="仿宋" w:eastAsia="仿宋" w:cs="仿宋"/>
          <w:sz w:val="32"/>
          <w:szCs w:val="32"/>
        </w:rPr>
        <w:t>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持续发力</w:t>
      </w:r>
      <w:r>
        <w:rPr>
          <w:rFonts w:hint="eastAsia" w:ascii="仿宋" w:hAnsi="仿宋" w:eastAsia="仿宋" w:cs="仿宋"/>
          <w:sz w:val="32"/>
          <w:szCs w:val="32"/>
        </w:rPr>
        <w:t>，市场预期有所转好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，全区经济运行处于合理区间。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一、主要经济指标完成情况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（一）工业经济低预期恢复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1-2月，规模以上工业增加值2.73亿元，同比增长5.7%，高于全市平均水平0.9个百分点，居全市第7位，四个主城区第3位；较去年同期提升3.9个百分点，较去年全年提升0.3个百分点。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从三大门类看，1-2月，制造业同比增长8.6%，电力、热力、燃气及水生产和供应业同比增长1.5%，采矿业增加值同比下降57.3%。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企业规模看：1-2月，中型企业增加值1亿元，同比增长9.6%，比重36.6%，贡献率58.56%，拉升全区增速3.34个百分点；小型企业增加值1.67亿元，同比增长5.4%，比重61.1%，贡献率58.24%，拉升全区增速3.32个百分点；微型企业增加值0.06亿元，同比下降27.7%，比重2.3%，贡献率-16.79%，下拉全区增速0.96个百分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行业看，1-2月，19个大类行业中有13个行业增加值保持同比增长，受疫情冲击逐渐被市场消化叠加节后开工需求恢复影响，涨幅面较同期有所增加，其中上涨动力主要来自于水泥及制品制造业（同比增长5.9%，占全区增加值比重为20.1%）、化学原料和化学制品制造业（同比增长16.2%，占增加值比重为9.7%）、电池制造业（同比增长40.4%，占增加值比重为9.1%）等，显示工业经济稳步恢复。</w:t>
      </w:r>
    </w:p>
    <w:tbl>
      <w:tblPr>
        <w:tblStyle w:val="3"/>
        <w:tblpPr w:leftFromText="180" w:rightFromText="180" w:vertAnchor="text" w:horzAnchor="page" w:tblpX="1885" w:tblpY="-20"/>
        <w:tblOverlap w:val="never"/>
        <w:tblW w:w="8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1470"/>
        <w:gridCol w:w="915"/>
        <w:gridCol w:w="975"/>
        <w:gridCol w:w="100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19个行业大类具体情况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单位：千元、%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行业大类</w:t>
            </w:r>
          </w:p>
        </w:tc>
        <w:tc>
          <w:tcPr>
            <w:tcW w:w="14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1-2月增加值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增速</w:t>
            </w:r>
          </w:p>
        </w:tc>
        <w:tc>
          <w:tcPr>
            <w:tcW w:w="9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比重</w:t>
            </w:r>
          </w:p>
        </w:tc>
        <w:tc>
          <w:tcPr>
            <w:tcW w:w="10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贡献率</w:t>
            </w:r>
          </w:p>
        </w:tc>
        <w:tc>
          <w:tcPr>
            <w:tcW w:w="9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拉动点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273378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非金属矿采选业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-57.3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-16.1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1226.0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1309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-20.4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4728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纺织服装、服饰业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-34.1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-19.3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造纸和纸制品业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26384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7439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54821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黑色金属冶炼和压延加工业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2108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26171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12934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-13.1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-11.9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6129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9905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-13.0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-9.7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67821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2526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 </w:t>
            </w:r>
          </w:p>
        </w:tc>
      </w:tr>
    </w:tbl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（二）投资稳定增长，房地产投资增长较快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月，固定资产投资增速8.3%，高于全市平均水平1.1个百分点，居全市第7位，四个主城区第1位。分行业看：工业投资同比下降25.6%，居全市第12位，低于全市平均水平38.2个百分点；基础设施投资同比增长67.6%，高于全市平均水平66.6个百分点，增速居全市第5位；民间投资同比增长0.7%，低于全市平均增速0.3个百分点，居全市第6位；房地产开发投资同比增长285.3%，居全市第1位，高于全市平均水平282.4个百分点，房地产投资增长较快。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（三）消费市场低迷，大企业下拉严重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1-2月，社会消费品零售总额2.1亿元，同比增长4.4%，增速居全市末位。其中，限额以上企业（单位）消费品零售额0.27亿元，同比下降17.8%。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二、经济运行中的短板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工业经济：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产业结构不合理。目前在库规模以上工业企业92家，同比增长29.2%，仍无大型企业支撑；二是市场主体活力不足。新增的21家规模以上企业，1-2月仅拉动全区规模以上工业增加值上升0.9个百分点；三是企业无专精特新优势。缺乏专注于细分市场、创新能力强、市场占有率高、掌握关键核心技术、质量效益优的排头兵企业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固定资产投资: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工业投资支撑乏力。1-2月，全区工业投资同比下降25.6%，工业五大主导产业投资6506万元，同比下降22.8%；装备制造投资5039万元，同比下降30.3%；战略性新兴产业投资920万元，同比下降68.1%；高载能行业投资2566万元，同比增长17.6%；传统支柱产业投资2622万元，同比增长14.9%。二是在库工业投资项目建设推进缓慢，本年投资完成率低，对固定资产投资拉动力较弱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社会消费品零售总额：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一是销售结构单一。1-2月，39家限上批零住餐企业，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批发业32家，零售业7家。32家批发业企业中，有8家销售商用车，5家销售纺织品，行业结构单一，抗风险能力弱；二是优质企业量少，拉动乏力。在库85%企业均游离于达规边缘，小而乱，一直制约着消费市场的发展；三是行业门类的缺失，无法得到有效补充。地理位置及消费意识的潜在影响，本地消费的意愿不强，住宿和餐饮的壁垒长期无法打破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特别需要关注的是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，国家对行业结构的进一步审核，对行业界定的进一步规范，商贸限上企业新奥燃气已经划分为工业企业，无替代企业拉动全区限上增速稳增长。</w:t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三、凝心聚力，保障经济运行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（一）围绕GDP核算评估指标，保经济稳增长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依托乡村振兴的契机，加强一产循环发展为着力点，大力发展林业，实现生态环境的良性发展，确保一产数据应统尽统，数据同一；二是服务助企提振发展信心，优化二产。以“万人助万企”活动平台，进一步加大惠企政策落地力度。紧盯有资质的建筑业，政策招引，落户凤泉，形成实物工作量；三是继续充实三产结构，做大做强生产性服务业。着重跟踪、培育服务业，积极适应核算规则，关注劳动工资构成指标，避免漏报、瞒报，确保三次产业结构健康、均衡、高质量发展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（二）补链强链，保产业链稳定畅通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区以“工业经济提质年”为抓手，补链强链：一是助力企业做大做强，加快推动新旧动能转换。推动新能源新材料电池产业提级扩能，重点推进河南易成阳光、诚德能源科技、新乡煜和石墨烯科技有限公司等优势企业的延链、补链、强链项目做大做强；重点改造提升传统支柱产业提质换挡；重点构建一批各具特色、优势互补、结构合理的战略性新兴产业增长引擎；二是继续提升“两高”和“战新”比重，加快产业转型升级。加快推动传统产业智能化改造、绿色化改造和技术化改造，重点推进西玛鼓风机、赛飞扬新能源和诚德能源科技技改项目，提高高新技术产业占比；加快高端装备制造业集聚发展，紧盯多向模锻、盾构设备、铜精深加工等领域，不断完善产业链条，构建高端装备新型产业体系，形成新的增长引擎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（三）提质提量，保投资均速增长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分门别类谋划储备重大项目，做深做实前期工作；二是持续聚焦主导产业发展，强力推进“三个一批”活动，形成实物工作量，扩大有效投资；三是加强部门联动，促进投资稳增长。继续加大对投资项目的排查力度，与工信、发改联动做好项目摸排，及时跟踪服务，帮助并指导企业收集整理统计入库资料，确保项目招得来、落得下、建得快；四是紧跟政策红利，谋划专项债和地方债项目。财政发力前置，2023年财政赤字率预算从2022年的2.8%提高至3.0%，专项债额度增加1500亿元，新增地方政府专项债务限额2.2万亿元，较上年提前批大幅增长50%，财政发力支持基建投资稳步增长。</w:t>
      </w:r>
      <w:bookmarkStart w:id="0" w:name="_GoBack"/>
      <w:bookmarkEnd w:id="0"/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（四）提振信心，保消费逐步回暖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是政策加持，消费潜力进一步释放。随着经济逐步恢复，就业增加，居民收入增加，人民对美好生活的意愿，消费能力会逐步增强，消费潜力会同步释放；二是利用电子商务平台，培育新的增长点。通过电子商务平台，加强实体销售与网上营销相结合的经营模式，利用交通、仓储等区位优势培育电商企业，不断加大线上线下、电子商务和实体融合转型，完善不同层次消费品供给；三是提升服务水平，培育新型消费热点。积极培育消费热点，促进消费结构转型升级，加大对迅猛发展的信息消费、绿色消费、文化消费等消费需求的力度，提高服务水平，引导居民扩大服务消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WUwZDczMWZiNGEyOTVlNjViMzMyNDJlMGI5MmUifQ=="/>
  </w:docVars>
  <w:rsids>
    <w:rsidRoot w:val="10E23285"/>
    <w:rsid w:val="018A445D"/>
    <w:rsid w:val="01FD4015"/>
    <w:rsid w:val="042A076C"/>
    <w:rsid w:val="0B5103F4"/>
    <w:rsid w:val="0BC419DA"/>
    <w:rsid w:val="0C1E10EA"/>
    <w:rsid w:val="0F781459"/>
    <w:rsid w:val="10E23285"/>
    <w:rsid w:val="16161084"/>
    <w:rsid w:val="18131D1F"/>
    <w:rsid w:val="1BCF0653"/>
    <w:rsid w:val="25E7320A"/>
    <w:rsid w:val="2852419D"/>
    <w:rsid w:val="28E07281"/>
    <w:rsid w:val="29F27FD8"/>
    <w:rsid w:val="31B77767"/>
    <w:rsid w:val="35CA5CBB"/>
    <w:rsid w:val="394B7593"/>
    <w:rsid w:val="3B07350D"/>
    <w:rsid w:val="3E8B7FB1"/>
    <w:rsid w:val="3F4A7E6C"/>
    <w:rsid w:val="41BD1DD3"/>
    <w:rsid w:val="468E588C"/>
    <w:rsid w:val="51624BA2"/>
    <w:rsid w:val="5234135F"/>
    <w:rsid w:val="57C55E8A"/>
    <w:rsid w:val="5F1F2324"/>
    <w:rsid w:val="644D32A6"/>
    <w:rsid w:val="6D536B78"/>
    <w:rsid w:val="6EA42846"/>
    <w:rsid w:val="7617088A"/>
    <w:rsid w:val="780600CD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2794</Words>
  <Characters>3318</Characters>
  <Lines>0</Lines>
  <Paragraphs>0</Paragraphs>
  <TotalTime>416</TotalTime>
  <ScaleCrop>false</ScaleCrop>
  <LinksUpToDate>false</LinksUpToDate>
  <CharactersWithSpaces>3465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2023-03-20T07:18:00Z</dcterms:created>
  <dc:creator>凤泉区统计局</dc:creator>
  <cp:lastModifiedBy>凤泉区统计局</cp:lastModifiedBy>
  <cp:lastPrinted>2023-03-21T02:12:00Z</cp:lastPrinted>
  <dcterms:modified xsi:type="dcterms:W3CDTF">2023-03-23T07:30:40Z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A53B7B74CF6D4A8A9E5B25299C31E7FE</vt:lpwstr>
  </property>
</Properties>
</file>