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2023年前三季度凤泉区经济运行分析</w:t>
      </w: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2023</w:t>
      </w:r>
      <w:r>
        <w:rPr>
          <w:rFonts w:hint="eastAsia" w:ascii="仿宋_GB2312" w:hAnsi="仿宋_GB2312" w:eastAsia="仿宋_GB2312" w:cs="仿宋_GB2312"/>
          <w:sz w:val="32"/>
          <w:szCs w:val="32"/>
          <w:lang w:eastAsia="zh-CN"/>
        </w:rPr>
        <w:t>年前三季度全区</w:t>
      </w:r>
      <w:r>
        <w:rPr>
          <w:rFonts w:hint="eastAsia" w:ascii="仿宋_GB2312" w:hAnsi="仿宋_GB2312" w:eastAsia="仿宋_GB2312" w:cs="仿宋_GB2312"/>
          <w:sz w:val="32"/>
          <w:szCs w:val="32"/>
        </w:rPr>
        <w:t>经济运行稳中向好，</w:t>
      </w:r>
      <w:r>
        <w:rPr>
          <w:rFonts w:hint="eastAsia" w:ascii="仿宋_GB2312" w:hAnsi="仿宋_GB2312" w:eastAsia="仿宋_GB2312" w:cs="仿宋_GB2312"/>
          <w:sz w:val="32"/>
          <w:szCs w:val="32"/>
          <w:lang w:eastAsia="zh-CN"/>
        </w:rPr>
        <w:t>承压恢复，</w:t>
      </w:r>
      <w:r>
        <w:rPr>
          <w:rFonts w:hint="eastAsia" w:ascii="仿宋_GB2312" w:hAnsi="仿宋_GB2312" w:eastAsia="仿宋_GB2312" w:cs="仿宋_GB2312"/>
          <w:sz w:val="32"/>
          <w:szCs w:val="32"/>
        </w:rPr>
        <w:t>消费和生产</w:t>
      </w:r>
      <w:r>
        <w:rPr>
          <w:rFonts w:hint="eastAsia" w:ascii="仿宋_GB2312" w:hAnsi="仿宋_GB2312" w:eastAsia="仿宋_GB2312" w:cs="仿宋_GB2312"/>
          <w:sz w:val="32"/>
          <w:szCs w:val="32"/>
          <w:lang w:eastAsia="zh-CN"/>
        </w:rPr>
        <w:t>等高频指标</w:t>
      </w:r>
      <w:r>
        <w:rPr>
          <w:rFonts w:hint="eastAsia" w:ascii="仿宋_GB2312" w:hAnsi="仿宋_GB2312" w:eastAsia="仿宋_GB2312" w:cs="仿宋_GB2312"/>
          <w:sz w:val="32"/>
          <w:szCs w:val="32"/>
        </w:rPr>
        <w:t>持续复苏，对经济基本面形成良好支撑，高质量发展态势持续巩固。</w:t>
      </w:r>
    </w:p>
    <w:p>
      <w:pPr>
        <w:keepNext w:val="0"/>
        <w:keepLines w:val="0"/>
        <w:pageBreakBefore w:val="0"/>
        <w:widowControl w:val="0"/>
        <w:kinsoku/>
        <w:wordWrap/>
        <w:overflowPunct/>
        <w:topLinePunct w:val="0"/>
        <w:autoSpaceDE/>
        <w:autoSpaceDN/>
        <w:bidi w:val="0"/>
        <w:adjustRightInd/>
        <w:snapToGrid/>
        <w:spacing w:line="480" w:lineRule="auto"/>
        <w:ind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lang w:eastAsia="zh-CN"/>
        </w:rPr>
        <w:t>一、</w:t>
      </w:r>
      <w:r>
        <w:rPr>
          <w:rFonts w:hint="eastAsia" w:ascii="黑体" w:hAnsi="黑体" w:eastAsia="黑体" w:cs="黑体"/>
          <w:b/>
          <w:bCs/>
          <w:sz w:val="32"/>
          <w:szCs w:val="32"/>
        </w:rPr>
        <w:t>经济运行稳中向好，三季度增速高于市场预期</w:t>
      </w: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根据地区生产总值统一核算结果，前三季度全</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实现地区生产总值</w:t>
      </w:r>
      <w:r>
        <w:rPr>
          <w:rFonts w:hint="eastAsia" w:ascii="仿宋_GB2312" w:hAnsi="仿宋_GB2312" w:eastAsia="仿宋_GB2312" w:cs="仿宋_GB2312"/>
          <w:sz w:val="32"/>
          <w:szCs w:val="32"/>
          <w:lang w:val="en-US" w:eastAsia="zh-CN"/>
        </w:rPr>
        <w:t>69.14</w:t>
      </w:r>
      <w:r>
        <w:rPr>
          <w:rFonts w:hint="eastAsia" w:ascii="仿宋_GB2312" w:hAnsi="仿宋_GB2312" w:eastAsia="仿宋_GB2312" w:cs="仿宋_GB2312"/>
          <w:sz w:val="32"/>
          <w:szCs w:val="32"/>
        </w:rPr>
        <w:t>亿元，同比增长</w:t>
      </w:r>
      <w:r>
        <w:rPr>
          <w:rFonts w:hint="eastAsia" w:ascii="仿宋_GB2312" w:hAnsi="仿宋_GB2312" w:eastAsia="仿宋_GB2312" w:cs="仿宋_GB2312"/>
          <w:sz w:val="32"/>
          <w:szCs w:val="32"/>
          <w:lang w:val="en-US" w:eastAsia="zh-CN"/>
        </w:rPr>
        <w:t>5.6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，增速居全市第</w:t>
      </w:r>
      <w:r>
        <w:rPr>
          <w:rFonts w:hint="eastAsia" w:ascii="仿宋_GB2312" w:hAnsi="仿宋_GB2312" w:eastAsia="仿宋_GB2312" w:cs="仿宋_GB2312"/>
          <w:sz w:val="32"/>
          <w:szCs w:val="32"/>
          <w:lang w:val="en-US" w:eastAsia="zh-CN"/>
        </w:rPr>
        <w:t>1位，高于全市平均水平（1.1%）4.5个百分点</w:t>
      </w:r>
      <w:r>
        <w:rPr>
          <w:rFonts w:hint="eastAsia" w:ascii="仿宋_GB2312" w:hAnsi="仿宋_GB2312" w:eastAsia="仿宋_GB2312" w:cs="仿宋_GB2312"/>
          <w:sz w:val="32"/>
          <w:szCs w:val="32"/>
        </w:rPr>
        <w:t>。其中，第一产业增加值</w:t>
      </w:r>
      <w:r>
        <w:rPr>
          <w:rFonts w:hint="eastAsia" w:ascii="仿宋_GB2312" w:hAnsi="仿宋_GB2312" w:eastAsia="仿宋_GB2312" w:cs="仿宋_GB2312"/>
          <w:sz w:val="32"/>
          <w:szCs w:val="32"/>
          <w:lang w:val="en-US" w:eastAsia="zh-CN"/>
        </w:rPr>
        <w:t>0.63</w:t>
      </w:r>
      <w:r>
        <w:rPr>
          <w:rFonts w:hint="eastAsia" w:ascii="仿宋_GB2312" w:hAnsi="仿宋_GB2312" w:eastAsia="仿宋_GB2312" w:cs="仿宋_GB2312"/>
          <w:sz w:val="32"/>
          <w:szCs w:val="32"/>
        </w:rPr>
        <w:t>亿元，增长1.</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%；第二产业增加值</w:t>
      </w:r>
      <w:r>
        <w:rPr>
          <w:rFonts w:hint="eastAsia" w:ascii="仿宋_GB2312" w:hAnsi="仿宋_GB2312" w:eastAsia="仿宋_GB2312" w:cs="仿宋_GB2312"/>
          <w:sz w:val="32"/>
          <w:szCs w:val="32"/>
          <w:lang w:val="en-US" w:eastAsia="zh-CN"/>
        </w:rPr>
        <w:t>31.26</w:t>
      </w:r>
      <w:r>
        <w:rPr>
          <w:rFonts w:hint="eastAsia" w:ascii="仿宋_GB2312" w:hAnsi="仿宋_GB2312" w:eastAsia="仿宋_GB2312" w:cs="仿宋_GB2312"/>
          <w:sz w:val="32"/>
          <w:szCs w:val="32"/>
        </w:rPr>
        <w:t>亿元，增长</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lang w:eastAsia="zh-CN"/>
        </w:rPr>
        <w:t>，增速居全市第</w:t>
      </w:r>
      <w:r>
        <w:rPr>
          <w:rFonts w:hint="eastAsia" w:ascii="仿宋_GB2312" w:hAnsi="仿宋_GB2312" w:eastAsia="仿宋_GB2312" w:cs="仿宋_GB2312"/>
          <w:sz w:val="32"/>
          <w:szCs w:val="32"/>
          <w:lang w:val="en-US" w:eastAsia="zh-CN"/>
        </w:rPr>
        <w:t>7位，四个主城区第1位</w:t>
      </w:r>
      <w:r>
        <w:rPr>
          <w:rFonts w:hint="eastAsia" w:ascii="仿宋_GB2312" w:hAnsi="仿宋_GB2312" w:eastAsia="仿宋_GB2312" w:cs="仿宋_GB2312"/>
          <w:sz w:val="32"/>
          <w:szCs w:val="32"/>
        </w:rPr>
        <w:t>；第三产业增加值</w:t>
      </w:r>
      <w:r>
        <w:rPr>
          <w:rFonts w:hint="eastAsia" w:ascii="仿宋_GB2312" w:hAnsi="仿宋_GB2312" w:eastAsia="仿宋_GB2312" w:cs="仿宋_GB2312"/>
          <w:sz w:val="32"/>
          <w:szCs w:val="32"/>
          <w:lang w:val="en-US" w:eastAsia="zh-CN"/>
        </w:rPr>
        <w:t>37.26亿元，增长9.1%，增速居全市第1位</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三次产业结构比：</w:t>
      </w:r>
      <w:r>
        <w:rPr>
          <w:rFonts w:hint="eastAsia" w:ascii="仿宋_GB2312" w:hAnsi="仿宋_GB2312" w:eastAsia="仿宋_GB2312" w:cs="仿宋_GB2312"/>
          <w:sz w:val="32"/>
          <w:szCs w:val="32"/>
          <w:lang w:val="en-US" w:eastAsia="zh-CN"/>
        </w:rPr>
        <w:t>0.9:45.2:53.9。</w:t>
      </w:r>
    </w:p>
    <w:p>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仿宋_GB2312" w:hAnsi="仿宋_GB2312" w:eastAsia="仿宋_GB2312" w:cs="仿宋_GB2312"/>
          <w:sz w:val="32"/>
          <w:szCs w:val="32"/>
          <w:lang w:eastAsia="zh-CN"/>
        </w:rPr>
      </w:pPr>
      <w:r>
        <w:drawing>
          <wp:inline distT="0" distB="0" distL="114300" distR="114300">
            <wp:extent cx="4883785" cy="2543175"/>
            <wp:effectExtent l="4445" t="4445" r="7620" b="81280"/>
            <wp:docPr id="1" name="图表 14" descr="7b0a202020202263686172745265734964223a20223230343734373536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分季度看，一季度地区生产总值</w:t>
      </w:r>
      <w:r>
        <w:rPr>
          <w:rFonts w:hint="eastAsia" w:ascii="仿宋_GB2312" w:hAnsi="仿宋_GB2312" w:eastAsia="仿宋_GB2312" w:cs="仿宋_GB2312"/>
          <w:sz w:val="32"/>
          <w:szCs w:val="32"/>
          <w:lang w:val="en-US" w:eastAsia="zh-CN"/>
        </w:rPr>
        <w:t>22.72亿元，同比</w:t>
      </w:r>
      <w:r>
        <w:rPr>
          <w:rFonts w:hint="eastAsia" w:ascii="仿宋_GB2312" w:hAnsi="仿宋_GB2312" w:eastAsia="仿宋_GB2312" w:cs="仿宋_GB2312"/>
          <w:sz w:val="32"/>
          <w:szCs w:val="32"/>
          <w:lang w:eastAsia="zh-CN"/>
        </w:rPr>
        <w:t>增长4.</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%，二季度地区生产总值</w:t>
      </w:r>
      <w:r>
        <w:rPr>
          <w:rFonts w:hint="eastAsia" w:ascii="仿宋_GB2312" w:hAnsi="仿宋_GB2312" w:eastAsia="仿宋_GB2312" w:cs="仿宋_GB2312"/>
          <w:sz w:val="32"/>
          <w:szCs w:val="32"/>
          <w:lang w:val="en-US" w:eastAsia="zh-CN"/>
        </w:rPr>
        <w:t>23.86亿元，同比</w:t>
      </w:r>
      <w:r>
        <w:rPr>
          <w:rFonts w:hint="eastAsia" w:ascii="仿宋_GB2312" w:hAnsi="仿宋_GB2312" w:eastAsia="仿宋_GB2312" w:cs="仿宋_GB2312"/>
          <w:sz w:val="32"/>
          <w:szCs w:val="32"/>
          <w:lang w:eastAsia="zh-CN"/>
        </w:rPr>
        <w:t>增长</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lang w:eastAsia="zh-CN"/>
        </w:rPr>
        <w:t>%，三季度地区生产总值</w:t>
      </w:r>
      <w:r>
        <w:rPr>
          <w:rFonts w:hint="eastAsia" w:ascii="仿宋_GB2312" w:hAnsi="仿宋_GB2312" w:eastAsia="仿宋_GB2312" w:cs="仿宋_GB2312"/>
          <w:sz w:val="32"/>
          <w:szCs w:val="32"/>
          <w:lang w:val="en-US" w:eastAsia="zh-CN"/>
        </w:rPr>
        <w:t>22.56亿元，同比</w:t>
      </w:r>
      <w:r>
        <w:rPr>
          <w:rFonts w:hint="eastAsia" w:ascii="仿宋_GB2312" w:hAnsi="仿宋_GB2312" w:eastAsia="仿宋_GB2312" w:cs="仿宋_GB2312"/>
          <w:sz w:val="32"/>
          <w:szCs w:val="32"/>
          <w:lang w:eastAsia="zh-CN"/>
        </w:rPr>
        <w:t>增长</w:t>
      </w:r>
      <w:r>
        <w:rPr>
          <w:rFonts w:hint="eastAsia" w:ascii="仿宋_GB2312" w:hAnsi="仿宋_GB2312" w:eastAsia="仿宋_GB2312" w:cs="仿宋_GB2312"/>
          <w:sz w:val="32"/>
          <w:szCs w:val="32"/>
          <w:lang w:val="en-US" w:eastAsia="zh-CN"/>
        </w:rPr>
        <w:t>12.2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第三季度以来，在国内稳增长政策的全面助力下，经济基本面持续恢复向好发展，生产、消费和投资</w:t>
      </w:r>
      <w:r>
        <w:rPr>
          <w:rFonts w:hint="eastAsia" w:ascii="仿宋_GB2312" w:hAnsi="仿宋_GB2312" w:eastAsia="仿宋_GB2312" w:cs="仿宋_GB2312"/>
          <w:sz w:val="32"/>
          <w:szCs w:val="32"/>
          <w:lang w:eastAsia="zh-CN"/>
        </w:rPr>
        <w:t>积极因素增多，三季度增速高于市场预期。</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643" w:firstLineChars="2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（一）工业经济平稳增长，积极因素累积增多</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1-9月，规模以上工业增加值累计实现</w:t>
      </w:r>
      <w:r>
        <w:rPr>
          <w:rFonts w:hint="eastAsia" w:ascii="仿宋_GB2312" w:hAnsi="仿宋_GB2312" w:eastAsia="仿宋_GB2312" w:cs="仿宋_GB2312"/>
          <w:sz w:val="32"/>
          <w:szCs w:val="32"/>
          <w:lang w:val="en-US" w:eastAsia="zh-CN"/>
        </w:rPr>
        <w:t>12.25亿元，</w:t>
      </w:r>
      <w:r>
        <w:rPr>
          <w:rFonts w:hint="eastAsia" w:ascii="仿宋_GB2312" w:hAnsi="仿宋_GB2312" w:eastAsia="仿宋_GB2312" w:cs="仿宋_GB2312"/>
          <w:sz w:val="32"/>
          <w:szCs w:val="32"/>
          <w:lang w:eastAsia="zh-CN"/>
        </w:rPr>
        <w:t>同比下降</w:t>
      </w:r>
      <w:r>
        <w:rPr>
          <w:rFonts w:hint="eastAsia" w:ascii="仿宋_GB2312" w:hAnsi="仿宋_GB2312" w:eastAsia="仿宋_GB2312" w:cs="仿宋_GB2312"/>
          <w:sz w:val="32"/>
          <w:szCs w:val="32"/>
          <w:lang w:val="en-US" w:eastAsia="zh-CN"/>
        </w:rPr>
        <w:t>0.9</w:t>
      </w:r>
      <w:r>
        <w:rPr>
          <w:rFonts w:hint="eastAsia" w:ascii="仿宋_GB2312" w:hAnsi="仿宋_GB2312" w:eastAsia="仿宋_GB2312" w:cs="仿宋_GB2312"/>
          <w:sz w:val="32"/>
          <w:szCs w:val="32"/>
          <w:lang w:eastAsia="zh-CN"/>
        </w:rPr>
        <w:t>%，较</w:t>
      </w:r>
      <w:r>
        <w:rPr>
          <w:rFonts w:hint="eastAsia" w:ascii="仿宋_GB2312" w:hAnsi="仿宋_GB2312" w:eastAsia="仿宋_GB2312" w:cs="仿宋_GB2312"/>
          <w:sz w:val="32"/>
          <w:szCs w:val="32"/>
          <w:lang w:val="en-US" w:eastAsia="zh-CN"/>
        </w:rPr>
        <w:t>1-8月</w:t>
      </w:r>
      <w:r>
        <w:rPr>
          <w:rFonts w:hint="eastAsia" w:ascii="仿宋_GB2312" w:hAnsi="仿宋_GB2312" w:eastAsia="仿宋_GB2312" w:cs="仿宋_GB2312"/>
          <w:sz w:val="32"/>
          <w:szCs w:val="32"/>
          <w:lang w:eastAsia="zh-CN"/>
        </w:rPr>
        <w:t>提升0.</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eastAsia="zh-CN"/>
        </w:rPr>
        <w:t>个百分点，增速居全市第11位，四个主城区第2位，工业生产总体稳定增长。从三大门类看，9月份，采矿业增加值增速</w:t>
      </w:r>
      <w:r>
        <w:rPr>
          <w:rFonts w:hint="eastAsia" w:ascii="仿宋_GB2312" w:hAnsi="仿宋_GB2312" w:eastAsia="仿宋_GB2312" w:cs="仿宋_GB2312"/>
          <w:sz w:val="32"/>
          <w:szCs w:val="32"/>
          <w:lang w:val="en-US" w:eastAsia="zh-CN"/>
        </w:rPr>
        <w:t>-82.7</w:t>
      </w:r>
      <w:r>
        <w:rPr>
          <w:rFonts w:hint="eastAsia" w:ascii="仿宋_GB2312" w:hAnsi="仿宋_GB2312" w:eastAsia="仿宋_GB2312" w:cs="仿宋_GB2312"/>
          <w:sz w:val="32"/>
          <w:szCs w:val="32"/>
          <w:lang w:eastAsia="zh-CN"/>
        </w:rPr>
        <w:t>%，占比</w:t>
      </w:r>
      <w:r>
        <w:rPr>
          <w:rFonts w:hint="eastAsia" w:ascii="仿宋_GB2312" w:hAnsi="仿宋_GB2312" w:eastAsia="仿宋_GB2312" w:cs="仿宋_GB2312"/>
          <w:sz w:val="32"/>
          <w:szCs w:val="32"/>
          <w:lang w:val="en-US" w:eastAsia="zh-CN"/>
        </w:rPr>
        <w:t>0.2；</w:t>
      </w:r>
      <w:r>
        <w:rPr>
          <w:rFonts w:hint="eastAsia" w:ascii="仿宋_GB2312" w:hAnsi="仿宋_GB2312" w:eastAsia="仿宋_GB2312" w:cs="仿宋_GB2312"/>
          <w:sz w:val="32"/>
          <w:szCs w:val="32"/>
          <w:lang w:eastAsia="zh-CN"/>
        </w:rPr>
        <w:t>制造业增速</w:t>
      </w:r>
      <w:r>
        <w:rPr>
          <w:rFonts w:hint="eastAsia" w:ascii="仿宋_GB2312" w:hAnsi="仿宋_GB2312" w:eastAsia="仿宋_GB2312" w:cs="仿宋_GB2312"/>
          <w:sz w:val="32"/>
          <w:szCs w:val="32"/>
          <w:lang w:val="en-US" w:eastAsia="zh-CN"/>
        </w:rPr>
        <w:t>6.7</w:t>
      </w:r>
      <w:r>
        <w:rPr>
          <w:rFonts w:hint="eastAsia" w:ascii="仿宋_GB2312" w:hAnsi="仿宋_GB2312" w:eastAsia="仿宋_GB2312" w:cs="仿宋_GB2312"/>
          <w:sz w:val="32"/>
          <w:szCs w:val="32"/>
          <w:lang w:eastAsia="zh-CN"/>
        </w:rPr>
        <w:t>%；电力、热力、燃气及水生产和供应业增速</w:t>
      </w:r>
      <w:r>
        <w:rPr>
          <w:rFonts w:hint="eastAsia" w:ascii="仿宋_GB2312" w:hAnsi="仿宋_GB2312" w:eastAsia="仿宋_GB2312" w:cs="仿宋_GB2312"/>
          <w:sz w:val="32"/>
          <w:szCs w:val="32"/>
          <w:lang w:val="en-US" w:eastAsia="zh-CN"/>
        </w:rPr>
        <w:t>23.8</w:t>
      </w:r>
      <w:r>
        <w:rPr>
          <w:rFonts w:hint="eastAsia" w:ascii="仿宋_GB2312" w:hAnsi="仿宋_GB2312" w:eastAsia="仿宋_GB2312" w:cs="仿宋_GB2312"/>
          <w:sz w:val="32"/>
          <w:szCs w:val="32"/>
          <w:lang w:eastAsia="zh-CN"/>
        </w:rPr>
        <w:t>%，占比</w:t>
      </w:r>
      <w:r>
        <w:rPr>
          <w:rFonts w:hint="eastAsia" w:ascii="仿宋_GB2312" w:hAnsi="仿宋_GB2312" w:eastAsia="仿宋_GB2312" w:cs="仿宋_GB2312"/>
          <w:sz w:val="32"/>
          <w:szCs w:val="32"/>
          <w:lang w:val="en-US" w:eastAsia="zh-CN"/>
        </w:rPr>
        <w:t>13.3%。</w:t>
      </w:r>
      <w:r>
        <w:rPr>
          <w:rFonts w:hint="eastAsia" w:ascii="仿宋_GB2312" w:hAnsi="仿宋_GB2312" w:eastAsia="仿宋_GB2312" w:cs="仿宋_GB2312"/>
          <w:sz w:val="32"/>
          <w:szCs w:val="32"/>
          <w:lang w:eastAsia="zh-CN"/>
        </w:rPr>
        <w:t>受高基数效应消退影响，电热燃水供应业增加值同比回升</w:t>
      </w:r>
      <w:r>
        <w:rPr>
          <w:rFonts w:hint="eastAsia" w:ascii="仿宋_GB2312" w:hAnsi="仿宋_GB2312" w:eastAsia="仿宋_GB2312" w:cs="仿宋_GB2312"/>
          <w:sz w:val="32"/>
          <w:szCs w:val="32"/>
          <w:lang w:val="en-US" w:eastAsia="zh-CN"/>
        </w:rPr>
        <w:t>10.5个百分点</w:t>
      </w:r>
      <w:r>
        <w:rPr>
          <w:rFonts w:hint="eastAsia" w:ascii="仿宋_GB2312" w:hAnsi="仿宋_GB2312" w:eastAsia="仿宋_GB2312" w:cs="仿宋_GB2312"/>
          <w:sz w:val="32"/>
          <w:szCs w:val="32"/>
          <w:lang w:eastAsia="zh-CN"/>
        </w:rPr>
        <w:t>。9月，工业环比较上期继续上升，实际工业生产表现基本符合市场预期。随着工业需求稳步回升，工业企业利润降幅收窄，工业经济去库存影响稀释，预计随着上游成本压力趋缓和中下游需求得到有效提振，工业经济有望继续恢复。</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分行业看，9月份，</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lang w:eastAsia="zh-CN"/>
        </w:rPr>
        <w:t>个大类行业中有</w:t>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lang w:eastAsia="zh-CN"/>
        </w:rPr>
        <w:t>个行业增加值保持同比增长，上涨动力主要来自于非金属矿物制品业</w:t>
      </w:r>
      <w:r>
        <w:rPr>
          <w:rFonts w:hint="eastAsia" w:ascii="仿宋_GB2312" w:hAnsi="仿宋_GB2312" w:eastAsia="仿宋_GB2312" w:cs="仿宋_GB2312"/>
          <w:sz w:val="32"/>
          <w:szCs w:val="32"/>
          <w:lang w:val="en-US" w:eastAsia="zh-CN"/>
        </w:rPr>
        <w:t>(水泥及水泥制品业）增速23.3%，占比20.1%、</w:t>
      </w:r>
      <w:r>
        <w:rPr>
          <w:rFonts w:hint="eastAsia" w:ascii="仿宋_GB2312" w:hAnsi="仿宋_GB2312" w:eastAsia="仿宋_GB2312" w:cs="仿宋_GB2312"/>
          <w:sz w:val="32"/>
          <w:szCs w:val="32"/>
          <w:lang w:eastAsia="zh-CN"/>
        </w:rPr>
        <w:t>有色金属冶炼和压延加工业（铜加工业）增速</w:t>
      </w:r>
      <w:r>
        <w:rPr>
          <w:rFonts w:hint="eastAsia" w:ascii="仿宋_GB2312" w:hAnsi="仿宋_GB2312" w:eastAsia="仿宋_GB2312" w:cs="仿宋_GB2312"/>
          <w:sz w:val="32"/>
          <w:szCs w:val="32"/>
          <w:lang w:val="en-US" w:eastAsia="zh-CN"/>
        </w:rPr>
        <w:t>50.1%，占比12.2%</w:t>
      </w:r>
      <w:r>
        <w:rPr>
          <w:rFonts w:hint="eastAsia" w:ascii="仿宋_GB2312" w:hAnsi="仿宋_GB2312" w:eastAsia="仿宋_GB2312" w:cs="仿宋_GB2312"/>
          <w:sz w:val="32"/>
          <w:szCs w:val="32"/>
          <w:lang w:eastAsia="zh-CN"/>
        </w:rPr>
        <w:t>，显示工业整体需求继续回升。</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分产品看，9月份，</w:t>
      </w:r>
      <w:r>
        <w:rPr>
          <w:rFonts w:hint="eastAsia" w:ascii="仿宋_GB2312" w:hAnsi="仿宋_GB2312" w:eastAsia="仿宋_GB2312" w:cs="仿宋_GB2312"/>
          <w:sz w:val="32"/>
          <w:szCs w:val="32"/>
          <w:lang w:val="en-US" w:eastAsia="zh-CN"/>
        </w:rPr>
        <w:t>33</w:t>
      </w:r>
      <w:r>
        <w:rPr>
          <w:rFonts w:hint="eastAsia" w:ascii="仿宋_GB2312" w:hAnsi="仿宋_GB2312" w:eastAsia="仿宋_GB2312" w:cs="仿宋_GB2312"/>
          <w:sz w:val="32"/>
          <w:szCs w:val="32"/>
          <w:lang w:eastAsia="zh-CN"/>
        </w:rPr>
        <w:t>种产品中有</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lang w:eastAsia="zh-CN"/>
        </w:rPr>
        <w:t>种产品产量同比增长，其中强度等级52.5水泥（含R型）、铜合金、电力电缆仍是主要增长点。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562" w:firstLineChars="200"/>
        <w:jc w:val="center"/>
        <w:textAlignment w:val="auto"/>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eastAsia="zh-CN"/>
        </w:rPr>
        <w:t>全区</w:t>
      </w:r>
      <w:r>
        <w:rPr>
          <w:rFonts w:hint="eastAsia" w:ascii="仿宋_GB2312" w:hAnsi="仿宋_GB2312" w:eastAsia="仿宋_GB2312" w:cs="仿宋_GB2312"/>
          <w:b/>
          <w:bCs/>
          <w:sz w:val="28"/>
          <w:szCs w:val="28"/>
          <w:lang w:val="en-US" w:eastAsia="zh-CN"/>
        </w:rPr>
        <w:t>19个行业大类情况一览表</w:t>
      </w:r>
    </w:p>
    <w:tbl>
      <w:tblPr>
        <w:tblStyle w:val="5"/>
        <w:tblW w:w="721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895"/>
        <w:gridCol w:w="1367"/>
        <w:gridCol w:w="812"/>
        <w:gridCol w:w="1338"/>
        <w:gridCol w:w="8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2895" w:type="dxa"/>
            <w:tcBorders>
              <w:top w:val="single" w:color="000000" w:sz="12"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行业类别</w:t>
            </w:r>
          </w:p>
        </w:tc>
        <w:tc>
          <w:tcPr>
            <w:tcW w:w="1367" w:type="dxa"/>
            <w:tcBorders>
              <w:top w:val="single" w:color="000000" w:sz="12"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当月增加值</w:t>
            </w:r>
          </w:p>
        </w:tc>
        <w:tc>
          <w:tcPr>
            <w:tcW w:w="812" w:type="dxa"/>
            <w:tcBorders>
              <w:top w:val="single" w:color="000000" w:sz="12"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增速</w:t>
            </w:r>
          </w:p>
        </w:tc>
        <w:tc>
          <w:tcPr>
            <w:tcW w:w="1338" w:type="dxa"/>
            <w:tcBorders>
              <w:top w:val="single" w:color="000000" w:sz="12"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累计增加值</w:t>
            </w:r>
          </w:p>
        </w:tc>
        <w:tc>
          <w:tcPr>
            <w:tcW w:w="800" w:type="dxa"/>
            <w:tcBorders>
              <w:top w:val="single" w:color="000000" w:sz="12"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增速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9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    区</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142896 </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7.3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1225332 </w:t>
            </w:r>
          </w:p>
        </w:tc>
        <w:tc>
          <w:tcPr>
            <w:tcW w:w="80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9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非金属矿采选业</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349 </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-82.7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3556 </w:t>
            </w:r>
          </w:p>
        </w:tc>
        <w:tc>
          <w:tcPr>
            <w:tcW w:w="80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-75.5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9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农副食品加工业</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162 </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-52.4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3370 </w:t>
            </w:r>
          </w:p>
        </w:tc>
        <w:tc>
          <w:tcPr>
            <w:tcW w:w="80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9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食品制造业</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3708 </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44.8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29129 </w:t>
            </w:r>
          </w:p>
        </w:tc>
        <w:tc>
          <w:tcPr>
            <w:tcW w:w="80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37.9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9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酒、饮料和精制茶制造业</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3025 </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31.7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21867 </w:t>
            </w:r>
          </w:p>
        </w:tc>
        <w:tc>
          <w:tcPr>
            <w:tcW w:w="80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31.7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9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纺织业</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2507 </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37.1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16005 </w:t>
            </w:r>
          </w:p>
        </w:tc>
        <w:tc>
          <w:tcPr>
            <w:tcW w:w="80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9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纺织服装、服饰业</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3796 </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13.0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30752 </w:t>
            </w:r>
          </w:p>
        </w:tc>
        <w:tc>
          <w:tcPr>
            <w:tcW w:w="80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9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造纸和纸制品业</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3133 </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11.3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25691 </w:t>
            </w:r>
          </w:p>
        </w:tc>
        <w:tc>
          <w:tcPr>
            <w:tcW w:w="80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9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化学原料和化学制品制造业</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10696 </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-39.9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84905 </w:t>
            </w:r>
          </w:p>
        </w:tc>
        <w:tc>
          <w:tcPr>
            <w:tcW w:w="80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9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橡胶和塑料制品业</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7423 </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-9.0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75314 </w:t>
            </w:r>
          </w:p>
        </w:tc>
        <w:tc>
          <w:tcPr>
            <w:tcW w:w="80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9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非金属矿物制品业</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28757 </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23.3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254669 </w:t>
            </w:r>
          </w:p>
        </w:tc>
        <w:tc>
          <w:tcPr>
            <w:tcW w:w="80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9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黑色金属冶炼和压延加工业</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2735 </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76.0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17458 </w:t>
            </w:r>
          </w:p>
        </w:tc>
        <w:tc>
          <w:tcPr>
            <w:tcW w:w="80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39.9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9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有色金属冶炼和压延加工业</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17408 </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50.1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132564 </w:t>
            </w:r>
          </w:p>
        </w:tc>
        <w:tc>
          <w:tcPr>
            <w:tcW w:w="80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9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金属制品业</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9322 </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72963 </w:t>
            </w:r>
          </w:p>
        </w:tc>
        <w:tc>
          <w:tcPr>
            <w:tcW w:w="80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9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通用设备制造业</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4656 </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12.9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47683 </w:t>
            </w:r>
          </w:p>
        </w:tc>
        <w:tc>
          <w:tcPr>
            <w:tcW w:w="80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53.2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9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专用设备制造业</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5227 </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75.3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42884 </w:t>
            </w:r>
          </w:p>
        </w:tc>
        <w:tc>
          <w:tcPr>
            <w:tcW w:w="80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9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汽车制造业</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4633 </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16.2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41640 </w:t>
            </w:r>
          </w:p>
        </w:tc>
        <w:tc>
          <w:tcPr>
            <w:tcW w:w="80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9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电气机械和器材制造业</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15190 </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-18.0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129569 </w:t>
            </w:r>
          </w:p>
        </w:tc>
        <w:tc>
          <w:tcPr>
            <w:tcW w:w="80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9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电力、热力生产和供应业</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19059 </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23.8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183832 </w:t>
            </w:r>
          </w:p>
        </w:tc>
        <w:tc>
          <w:tcPr>
            <w:tcW w:w="80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895" w:type="dxa"/>
            <w:tcBorders>
              <w:top w:val="single" w:color="000000" w:sz="4" w:space="0"/>
              <w:left w:val="nil"/>
              <w:bottom w:val="single" w:color="000000" w:sz="12"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水的生产和供应业</w:t>
            </w:r>
          </w:p>
        </w:tc>
        <w:tc>
          <w:tcPr>
            <w:tcW w:w="1367" w:type="dxa"/>
            <w:tcBorders>
              <w:top w:val="single" w:color="000000" w:sz="4" w:space="0"/>
              <w:left w:val="single" w:color="000000" w:sz="4" w:space="0"/>
              <w:bottom w:val="single" w:color="000000" w:sz="12"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1111 </w:t>
            </w:r>
          </w:p>
        </w:tc>
        <w:tc>
          <w:tcPr>
            <w:tcW w:w="812" w:type="dxa"/>
            <w:tcBorders>
              <w:top w:val="single" w:color="000000" w:sz="4" w:space="0"/>
              <w:left w:val="single" w:color="000000" w:sz="4" w:space="0"/>
              <w:bottom w:val="single" w:color="000000" w:sz="12"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7.4 </w:t>
            </w:r>
          </w:p>
        </w:tc>
        <w:tc>
          <w:tcPr>
            <w:tcW w:w="1338" w:type="dxa"/>
            <w:tcBorders>
              <w:top w:val="single" w:color="000000" w:sz="4" w:space="0"/>
              <w:left w:val="single" w:color="000000" w:sz="4" w:space="0"/>
              <w:bottom w:val="single" w:color="000000" w:sz="12"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11483 </w:t>
            </w:r>
          </w:p>
        </w:tc>
        <w:tc>
          <w:tcPr>
            <w:tcW w:w="800" w:type="dxa"/>
            <w:tcBorders>
              <w:top w:val="single" w:color="000000" w:sz="4" w:space="0"/>
              <w:left w:val="single" w:color="000000" w:sz="4" w:space="0"/>
              <w:bottom w:val="single" w:color="000000" w:sz="12"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 </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2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（二）固定资产投资稳步改善，工业投资持续回暖</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1-9月，</w:t>
      </w:r>
      <w:r>
        <w:rPr>
          <w:rFonts w:hint="eastAsia" w:ascii="仿宋_GB2312" w:hAnsi="仿宋_GB2312" w:eastAsia="仿宋_GB2312" w:cs="仿宋_GB2312"/>
          <w:sz w:val="32"/>
          <w:szCs w:val="32"/>
          <w:lang w:eastAsia="zh-CN"/>
        </w:rPr>
        <w:t>固定资产投资累计完成10.85亿元，同比下降5.2%，较</w:t>
      </w:r>
      <w:r>
        <w:rPr>
          <w:rFonts w:hint="eastAsia" w:ascii="仿宋_GB2312" w:hAnsi="仿宋_GB2312" w:eastAsia="仿宋_GB2312" w:cs="仿宋_GB2312"/>
          <w:sz w:val="32"/>
          <w:szCs w:val="32"/>
          <w:lang w:val="en-US" w:eastAsia="zh-CN"/>
        </w:rPr>
        <w:t>1-8月环比提升0.5个百分点，增速居全市第7位，四个主城区第2位，高于全市平均水平(-5.4%)0.2个百分点</w:t>
      </w:r>
      <w:r>
        <w:rPr>
          <w:rFonts w:hint="eastAsia" w:ascii="仿宋_GB2312" w:hAnsi="仿宋_GB2312" w:eastAsia="仿宋_GB2312" w:cs="仿宋_GB2312"/>
          <w:sz w:val="32"/>
          <w:szCs w:val="32"/>
          <w:lang w:eastAsia="zh-CN"/>
        </w:rPr>
        <w:t>；其中工业投资累计完成6.13亿元，增速</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11.7%，较</w:t>
      </w:r>
      <w:r>
        <w:rPr>
          <w:rFonts w:hint="eastAsia" w:ascii="仿宋_GB2312" w:hAnsi="仿宋_GB2312" w:eastAsia="仿宋_GB2312" w:cs="仿宋_GB2312"/>
          <w:sz w:val="32"/>
          <w:szCs w:val="32"/>
          <w:lang w:val="en-US" w:eastAsia="zh-CN"/>
        </w:rPr>
        <w:t>1-8月环比提升5.9个百分点，</w:t>
      </w:r>
      <w:r>
        <w:rPr>
          <w:rFonts w:hint="eastAsia" w:ascii="仿宋_GB2312" w:hAnsi="仿宋_GB2312" w:eastAsia="仿宋_GB2312" w:cs="仿宋_GB2312"/>
          <w:sz w:val="32"/>
          <w:szCs w:val="32"/>
          <w:lang w:eastAsia="zh-CN"/>
        </w:rPr>
        <w:t>增速居全市第</w:t>
      </w:r>
      <w:r>
        <w:rPr>
          <w:rFonts w:hint="eastAsia" w:ascii="仿宋_GB2312" w:hAnsi="仿宋_GB2312" w:eastAsia="仿宋_GB2312" w:cs="仿宋_GB2312"/>
          <w:sz w:val="32"/>
          <w:szCs w:val="32"/>
          <w:lang w:val="en-US" w:eastAsia="zh-CN"/>
        </w:rPr>
        <w:t>8位，四个主城区第2位，高于全市平均水平（-19.5%）7.8个百分；</w:t>
      </w:r>
      <w:r>
        <w:rPr>
          <w:rFonts w:hint="eastAsia" w:ascii="仿宋_GB2312" w:hAnsi="仿宋_GB2312" w:eastAsia="仿宋_GB2312" w:cs="仿宋_GB2312"/>
          <w:sz w:val="32"/>
          <w:szCs w:val="32"/>
          <w:lang w:eastAsia="zh-CN"/>
        </w:rPr>
        <w:t>第三产业累计完成投资4.6亿元，同比增长3.6%；民间投资累计完成6.09亿元，同比下降22.1%；基础设施投资2.87亿元，同比增长5.4%；房地产持续</w:t>
      </w:r>
      <w:r>
        <w:rPr>
          <w:rFonts w:hint="eastAsia" w:ascii="仿宋_GB2312" w:hAnsi="仿宋_GB2312" w:eastAsia="仿宋_GB2312" w:cs="仿宋_GB2312"/>
          <w:sz w:val="32"/>
          <w:szCs w:val="32"/>
          <w:highlight w:val="none"/>
          <w:lang w:eastAsia="zh-CN"/>
        </w:rPr>
        <w:t>磨底</w:t>
      </w:r>
      <w:r>
        <w:rPr>
          <w:rFonts w:hint="eastAsia" w:ascii="仿宋_GB2312" w:hAnsi="仿宋_GB2312" w:eastAsia="仿宋_GB2312" w:cs="仿宋_GB2312"/>
          <w:sz w:val="32"/>
          <w:szCs w:val="32"/>
          <w:lang w:eastAsia="zh-CN"/>
        </w:rPr>
        <w:t>，投资项目3个，房地产投资0.21亿元，同比下降4.1%，增速居全市第</w:t>
      </w:r>
      <w:r>
        <w:rPr>
          <w:rFonts w:hint="eastAsia" w:ascii="仿宋_GB2312" w:hAnsi="仿宋_GB2312" w:eastAsia="仿宋_GB2312" w:cs="仿宋_GB2312"/>
          <w:sz w:val="32"/>
          <w:szCs w:val="32"/>
          <w:lang w:val="en-US" w:eastAsia="zh-CN"/>
        </w:rPr>
        <w:t>6位，高于全市平均水平（-14.9%）10.8个百分点</w:t>
      </w:r>
      <w:r>
        <w:rPr>
          <w:rFonts w:hint="eastAsia" w:ascii="仿宋_GB2312" w:hAnsi="仿宋_GB2312" w:eastAsia="仿宋_GB2312" w:cs="仿宋_GB2312"/>
          <w:sz w:val="32"/>
          <w:szCs w:val="32"/>
          <w:lang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w:t>
      </w:r>
      <w:r>
        <w:rPr>
          <w:rFonts w:hint="eastAsia" w:ascii="楷体_GB2312" w:hAnsi="楷体_GB2312" w:eastAsia="楷体_GB2312" w:cs="楷体_GB2312"/>
          <w:b/>
          <w:bCs/>
          <w:sz w:val="32"/>
          <w:szCs w:val="32"/>
          <w:lang w:eastAsia="zh-CN"/>
        </w:rPr>
        <w:t>消费市场渐趋活跃，消费需求明显提升</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-9月，社会消费品零售总额累计完成9.22亿元，同比增长3.5%，增速居全市第12位，四个主城区第3位。从销售单位所在地看，城镇消费品零售额7.45亿元，同比增长1.3%，乡村消费品零售额1.77亿元，同比增长13.4%，乡村增速明显高于城镇增速，城乡差异缩小。</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受一系列稳增长、促消费、调预期政策影响，9月社会消费品零售总额增速继续上涨，消费继续释放企稳信号，消费需求明显提升。</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643" w:firstLineChars="200"/>
        <w:jc w:val="left"/>
        <w:textAlignment w:val="auto"/>
        <w:rPr>
          <w:rFonts w:hint="eastAsia" w:ascii="黑体" w:hAnsi="黑体" w:eastAsia="黑体" w:cs="黑体"/>
          <w:b/>
          <w:bCs/>
          <w:sz w:val="32"/>
          <w:szCs w:val="32"/>
          <w:lang w:eastAsia="zh-CN"/>
        </w:rPr>
      </w:pPr>
      <w:r>
        <w:rPr>
          <w:rFonts w:hint="eastAsia" w:ascii="黑体" w:hAnsi="黑体" w:eastAsia="黑体" w:cs="黑体"/>
          <w:b/>
          <w:bCs/>
          <w:sz w:val="32"/>
          <w:szCs w:val="32"/>
          <w:lang w:eastAsia="zh-CN"/>
        </w:rPr>
        <w:t>二、区域经济协同发展，区位优势逐步显现</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宝西办事处：</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前三季度，实现地区生产总值</w:t>
      </w:r>
      <w:r>
        <w:rPr>
          <w:rFonts w:hint="eastAsia" w:ascii="仿宋_GB2312" w:hAnsi="仿宋_GB2312" w:eastAsia="仿宋_GB2312" w:cs="仿宋_GB2312"/>
          <w:sz w:val="32"/>
          <w:szCs w:val="32"/>
          <w:lang w:val="en-US" w:eastAsia="zh-CN"/>
        </w:rPr>
        <w:t>11.96</w:t>
      </w:r>
      <w:r>
        <w:rPr>
          <w:rFonts w:hint="eastAsia" w:ascii="仿宋_GB2312" w:hAnsi="仿宋_GB2312" w:eastAsia="仿宋_GB2312" w:cs="仿宋_GB2312"/>
          <w:sz w:val="32"/>
          <w:szCs w:val="32"/>
          <w:lang w:eastAsia="zh-CN"/>
        </w:rPr>
        <w:t>亿元，同比增长</w:t>
      </w:r>
      <w:r>
        <w:rPr>
          <w:rFonts w:hint="eastAsia" w:ascii="仿宋_GB2312" w:hAnsi="仿宋_GB2312" w:eastAsia="仿宋_GB2312" w:cs="仿宋_GB2312"/>
          <w:sz w:val="32"/>
          <w:szCs w:val="32"/>
          <w:lang w:val="en-US" w:eastAsia="zh-CN"/>
        </w:rPr>
        <w:t>13.4</w:t>
      </w:r>
      <w:r>
        <w:rPr>
          <w:rFonts w:hint="eastAsia" w:ascii="仿宋_GB2312" w:hAnsi="仿宋_GB2312" w:eastAsia="仿宋_GB2312" w:cs="仿宋_GB2312"/>
          <w:sz w:val="32"/>
          <w:szCs w:val="32"/>
          <w:lang w:eastAsia="zh-CN"/>
        </w:rPr>
        <w:t>%，高于全区平均水平</w:t>
      </w:r>
      <w:r>
        <w:rPr>
          <w:rFonts w:hint="eastAsia" w:ascii="仿宋_GB2312" w:hAnsi="仿宋_GB2312" w:eastAsia="仿宋_GB2312" w:cs="仿宋_GB2312"/>
          <w:sz w:val="32"/>
          <w:szCs w:val="32"/>
          <w:lang w:val="en-US" w:eastAsia="zh-CN"/>
        </w:rPr>
        <w:t>7.8</w:t>
      </w:r>
      <w:r>
        <w:rPr>
          <w:rFonts w:hint="eastAsia" w:ascii="仿宋_GB2312" w:hAnsi="仿宋_GB2312" w:eastAsia="仿宋_GB2312" w:cs="仿宋_GB2312"/>
          <w:sz w:val="32"/>
          <w:szCs w:val="32"/>
          <w:lang w:eastAsia="zh-CN"/>
        </w:rPr>
        <w:t>个百分点，增速居全区第</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位。分产业看，第二产业增加值</w:t>
      </w:r>
      <w:r>
        <w:rPr>
          <w:rFonts w:hint="eastAsia" w:ascii="仿宋_GB2312" w:hAnsi="仿宋_GB2312" w:eastAsia="仿宋_GB2312" w:cs="仿宋_GB2312"/>
          <w:sz w:val="32"/>
          <w:szCs w:val="32"/>
          <w:lang w:val="en-US" w:eastAsia="zh-CN"/>
        </w:rPr>
        <w:t>5.36</w:t>
      </w:r>
      <w:r>
        <w:rPr>
          <w:rFonts w:hint="eastAsia" w:ascii="仿宋_GB2312" w:hAnsi="仿宋_GB2312" w:eastAsia="仿宋_GB2312" w:cs="仿宋_GB2312"/>
          <w:sz w:val="32"/>
          <w:szCs w:val="32"/>
          <w:lang w:eastAsia="zh-CN"/>
        </w:rPr>
        <w:t>亿元，同比增长</w:t>
      </w:r>
      <w:r>
        <w:rPr>
          <w:rFonts w:hint="eastAsia" w:ascii="仿宋_GB2312" w:hAnsi="仿宋_GB2312" w:eastAsia="仿宋_GB2312" w:cs="仿宋_GB2312"/>
          <w:sz w:val="32"/>
          <w:szCs w:val="32"/>
          <w:lang w:val="en-US" w:eastAsia="zh-CN"/>
        </w:rPr>
        <w:t>27.6</w:t>
      </w:r>
      <w:r>
        <w:rPr>
          <w:rFonts w:hint="eastAsia" w:ascii="仿宋_GB2312" w:hAnsi="仿宋_GB2312" w:eastAsia="仿宋_GB2312" w:cs="仿宋_GB2312"/>
          <w:sz w:val="32"/>
          <w:szCs w:val="32"/>
          <w:lang w:eastAsia="zh-CN"/>
        </w:rPr>
        <w:t>%；第三产业增加值</w:t>
      </w:r>
      <w:r>
        <w:rPr>
          <w:rFonts w:hint="eastAsia" w:ascii="仿宋_GB2312" w:hAnsi="仿宋_GB2312" w:eastAsia="仿宋_GB2312" w:cs="仿宋_GB2312"/>
          <w:sz w:val="32"/>
          <w:szCs w:val="32"/>
          <w:lang w:val="en-US" w:eastAsia="zh-CN"/>
        </w:rPr>
        <w:t>7.58</w:t>
      </w:r>
      <w:r>
        <w:rPr>
          <w:rFonts w:hint="eastAsia" w:ascii="仿宋_GB2312" w:hAnsi="仿宋_GB2312" w:eastAsia="仿宋_GB2312" w:cs="仿宋_GB2312"/>
          <w:sz w:val="32"/>
          <w:szCs w:val="32"/>
          <w:lang w:eastAsia="zh-CN"/>
        </w:rPr>
        <w:t>亿元，同比增长4.9%。1-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eastAsia="zh-CN"/>
        </w:rPr>
        <w:t>月，规模以上工业增加值同比增长</w:t>
      </w:r>
      <w:r>
        <w:rPr>
          <w:rFonts w:hint="eastAsia" w:ascii="仿宋_GB2312" w:hAnsi="仿宋_GB2312" w:eastAsia="仿宋_GB2312" w:cs="仿宋_GB2312"/>
          <w:sz w:val="32"/>
          <w:szCs w:val="32"/>
          <w:lang w:val="en-US" w:eastAsia="zh-CN"/>
        </w:rPr>
        <w:t>14.2</w:t>
      </w:r>
      <w:r>
        <w:rPr>
          <w:rFonts w:hint="eastAsia" w:ascii="仿宋_GB2312" w:hAnsi="仿宋_GB2312" w:eastAsia="仿宋_GB2312" w:cs="仿宋_GB2312"/>
          <w:sz w:val="32"/>
          <w:szCs w:val="32"/>
          <w:lang w:eastAsia="zh-CN"/>
        </w:rPr>
        <w:t>%，高于全区平均水平</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lang w:eastAsia="zh-CN"/>
        </w:rPr>
        <w:t>.1个百分点，增速居全区第2位；固定资产投资同比下降</w:t>
      </w:r>
      <w:r>
        <w:rPr>
          <w:rFonts w:hint="eastAsia" w:ascii="仿宋_GB2312" w:hAnsi="仿宋_GB2312" w:eastAsia="仿宋_GB2312" w:cs="仿宋_GB2312"/>
          <w:sz w:val="32"/>
          <w:szCs w:val="32"/>
          <w:lang w:val="en-US" w:eastAsia="zh-CN"/>
        </w:rPr>
        <w:t>10.9</w:t>
      </w:r>
      <w:r>
        <w:rPr>
          <w:rFonts w:hint="eastAsia" w:ascii="仿宋_GB2312" w:hAnsi="仿宋_GB2312" w:eastAsia="仿宋_GB2312" w:cs="仿宋_GB2312"/>
          <w:sz w:val="32"/>
          <w:szCs w:val="32"/>
          <w:lang w:eastAsia="zh-CN"/>
        </w:rPr>
        <w:t>%，低于全区平均水平</w:t>
      </w:r>
      <w:r>
        <w:rPr>
          <w:rFonts w:hint="eastAsia" w:ascii="仿宋_GB2312" w:hAnsi="仿宋_GB2312" w:eastAsia="仿宋_GB2312" w:cs="仿宋_GB2312"/>
          <w:sz w:val="32"/>
          <w:szCs w:val="32"/>
          <w:lang w:val="en-US" w:eastAsia="zh-CN"/>
        </w:rPr>
        <w:t>5.7</w:t>
      </w:r>
      <w:r>
        <w:rPr>
          <w:rFonts w:hint="eastAsia" w:ascii="仿宋_GB2312" w:hAnsi="仿宋_GB2312" w:eastAsia="仿宋_GB2312" w:cs="仿宋_GB2312"/>
          <w:sz w:val="32"/>
          <w:szCs w:val="32"/>
          <w:lang w:eastAsia="zh-CN"/>
        </w:rPr>
        <w:t>个百分点，增速居全区第</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位；投资库在库项目10个，本年新入库3个，结转项目7个；限上企业消费品零售额累计完成0.</w:t>
      </w:r>
      <w:r>
        <w:rPr>
          <w:rFonts w:hint="eastAsia" w:ascii="仿宋_GB2312" w:hAnsi="仿宋_GB2312" w:eastAsia="仿宋_GB2312" w:cs="仿宋_GB2312"/>
          <w:sz w:val="32"/>
          <w:szCs w:val="32"/>
          <w:lang w:val="en-US" w:eastAsia="zh-CN"/>
        </w:rPr>
        <w:t>46</w:t>
      </w:r>
      <w:r>
        <w:rPr>
          <w:rFonts w:hint="eastAsia" w:ascii="仿宋_GB2312" w:hAnsi="仿宋_GB2312" w:eastAsia="仿宋_GB2312" w:cs="仿宋_GB2312"/>
          <w:sz w:val="32"/>
          <w:szCs w:val="32"/>
          <w:lang w:eastAsia="zh-CN"/>
        </w:rPr>
        <w:t>亿元，同比增长</w:t>
      </w:r>
      <w:r>
        <w:rPr>
          <w:rFonts w:hint="eastAsia" w:ascii="仿宋_GB2312" w:hAnsi="仿宋_GB2312" w:eastAsia="仿宋_GB2312" w:cs="仿宋_GB2312"/>
          <w:sz w:val="32"/>
          <w:szCs w:val="32"/>
          <w:lang w:val="en-US" w:eastAsia="zh-CN"/>
        </w:rPr>
        <w:t>68.7</w:t>
      </w:r>
      <w:r>
        <w:rPr>
          <w:rFonts w:hint="eastAsia" w:ascii="仿宋_GB2312" w:hAnsi="仿宋_GB2312" w:eastAsia="仿宋_GB2312" w:cs="仿宋_GB2312"/>
          <w:sz w:val="32"/>
          <w:szCs w:val="32"/>
          <w:lang w:eastAsia="zh-CN"/>
        </w:rPr>
        <w:t>%，高于全区平均水平</w:t>
      </w:r>
      <w:r>
        <w:rPr>
          <w:rFonts w:hint="eastAsia" w:ascii="仿宋_GB2312" w:hAnsi="仿宋_GB2312" w:eastAsia="仿宋_GB2312" w:cs="仿宋_GB2312"/>
          <w:sz w:val="32"/>
          <w:szCs w:val="32"/>
          <w:lang w:val="en-US" w:eastAsia="zh-CN"/>
        </w:rPr>
        <w:t>83.3</w:t>
      </w:r>
      <w:r>
        <w:rPr>
          <w:rFonts w:hint="eastAsia" w:ascii="仿宋_GB2312" w:hAnsi="仿宋_GB2312" w:eastAsia="仿宋_GB2312" w:cs="仿宋_GB2312"/>
          <w:sz w:val="32"/>
          <w:szCs w:val="32"/>
          <w:lang w:eastAsia="zh-CN"/>
        </w:rPr>
        <w:t>个百分点，增速居全区第1位；“四上”企业入库</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家，</w:t>
      </w:r>
      <w:r>
        <w:rPr>
          <w:rFonts w:hint="eastAsia" w:ascii="仿宋_GB2312" w:hAnsi="仿宋_GB2312" w:eastAsia="仿宋_GB2312" w:cs="仿宋_GB2312"/>
          <w:sz w:val="32"/>
          <w:szCs w:val="32"/>
          <w:lang w:val="en-US" w:eastAsia="zh-CN"/>
        </w:rPr>
        <w:t>5月份</w:t>
      </w:r>
      <w:r>
        <w:rPr>
          <w:rFonts w:hint="eastAsia" w:ascii="仿宋_GB2312" w:hAnsi="仿宋_GB2312" w:eastAsia="仿宋_GB2312" w:cs="仿宋_GB2312"/>
          <w:sz w:val="32"/>
          <w:szCs w:val="32"/>
          <w:lang w:eastAsia="zh-CN"/>
        </w:rPr>
        <w:t>已退库</w:t>
      </w:r>
      <w:r>
        <w:rPr>
          <w:rFonts w:hint="eastAsia" w:ascii="仿宋_GB2312" w:hAnsi="仿宋_GB2312" w:eastAsia="仿宋_GB2312" w:cs="仿宋_GB2312"/>
          <w:sz w:val="32"/>
          <w:szCs w:val="32"/>
          <w:lang w:val="en-US" w:eastAsia="zh-CN"/>
        </w:rPr>
        <w:t>1家，</w:t>
      </w:r>
      <w:r>
        <w:rPr>
          <w:rFonts w:hint="eastAsia" w:ascii="仿宋_GB2312" w:hAnsi="仿宋_GB2312" w:eastAsia="仿宋_GB2312" w:cs="仿宋_GB2312"/>
          <w:sz w:val="32"/>
          <w:szCs w:val="32"/>
          <w:lang w:eastAsia="zh-CN"/>
        </w:rPr>
        <w:t>与年度目标差距</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家。</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宝东办事处：</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前三季度，实现地区生产总值</w:t>
      </w:r>
      <w:r>
        <w:rPr>
          <w:rFonts w:hint="eastAsia" w:ascii="仿宋_GB2312" w:hAnsi="仿宋_GB2312" w:eastAsia="仿宋_GB2312" w:cs="仿宋_GB2312"/>
          <w:sz w:val="32"/>
          <w:szCs w:val="32"/>
          <w:lang w:val="en-US" w:eastAsia="zh-CN"/>
        </w:rPr>
        <w:t>12.54</w:t>
      </w:r>
      <w:r>
        <w:rPr>
          <w:rFonts w:hint="eastAsia" w:ascii="仿宋_GB2312" w:hAnsi="仿宋_GB2312" w:eastAsia="仿宋_GB2312" w:cs="仿宋_GB2312"/>
          <w:sz w:val="32"/>
          <w:szCs w:val="32"/>
          <w:lang w:eastAsia="zh-CN"/>
        </w:rPr>
        <w:t>亿元，同比增长</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lang w:eastAsia="zh-CN"/>
        </w:rPr>
        <w:t>%，低于全区平均水平</w:t>
      </w:r>
      <w:r>
        <w:rPr>
          <w:rFonts w:hint="eastAsia" w:ascii="仿宋_GB2312" w:hAnsi="仿宋_GB2312" w:eastAsia="仿宋_GB2312" w:cs="仿宋_GB2312"/>
          <w:sz w:val="32"/>
          <w:szCs w:val="32"/>
          <w:lang w:val="en-US" w:eastAsia="zh-CN"/>
        </w:rPr>
        <w:t>3.9</w:t>
      </w:r>
      <w:r>
        <w:rPr>
          <w:rFonts w:hint="eastAsia" w:ascii="仿宋_GB2312" w:hAnsi="仿宋_GB2312" w:eastAsia="仿宋_GB2312" w:cs="仿宋_GB2312"/>
          <w:sz w:val="32"/>
          <w:szCs w:val="32"/>
          <w:lang w:eastAsia="zh-CN"/>
        </w:rPr>
        <w:t>个百分点，增速居全区第</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位。分产业看，第二产业增加值</w:t>
      </w:r>
      <w:r>
        <w:rPr>
          <w:rFonts w:hint="eastAsia" w:ascii="仿宋_GB2312" w:hAnsi="仿宋_GB2312" w:eastAsia="仿宋_GB2312" w:cs="仿宋_GB2312"/>
          <w:sz w:val="32"/>
          <w:szCs w:val="32"/>
          <w:lang w:val="en-US" w:eastAsia="zh-CN"/>
        </w:rPr>
        <w:t>5.32</w:t>
      </w:r>
      <w:r>
        <w:rPr>
          <w:rFonts w:hint="eastAsia" w:ascii="仿宋_GB2312" w:hAnsi="仿宋_GB2312" w:eastAsia="仿宋_GB2312" w:cs="仿宋_GB2312"/>
          <w:sz w:val="32"/>
          <w:szCs w:val="32"/>
          <w:lang w:eastAsia="zh-CN"/>
        </w:rPr>
        <w:t>亿元，同比增长</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%；第三产业增加值</w:t>
      </w:r>
      <w:r>
        <w:rPr>
          <w:rFonts w:hint="eastAsia" w:ascii="仿宋_GB2312" w:hAnsi="仿宋_GB2312" w:eastAsia="仿宋_GB2312" w:cs="仿宋_GB2312"/>
          <w:sz w:val="32"/>
          <w:szCs w:val="32"/>
          <w:lang w:val="en-US" w:eastAsia="zh-CN"/>
        </w:rPr>
        <w:t>7.22</w:t>
      </w:r>
      <w:r>
        <w:rPr>
          <w:rFonts w:hint="eastAsia" w:ascii="仿宋_GB2312" w:hAnsi="仿宋_GB2312" w:eastAsia="仿宋_GB2312" w:cs="仿宋_GB2312"/>
          <w:sz w:val="32"/>
          <w:szCs w:val="32"/>
          <w:lang w:eastAsia="zh-CN"/>
        </w:rPr>
        <w:t>亿元，同比增长</w:t>
      </w:r>
      <w:r>
        <w:rPr>
          <w:rFonts w:hint="eastAsia" w:ascii="仿宋_GB2312" w:hAnsi="仿宋_GB2312" w:eastAsia="仿宋_GB2312" w:cs="仿宋_GB2312"/>
          <w:sz w:val="32"/>
          <w:szCs w:val="32"/>
          <w:lang w:val="en-US" w:eastAsia="zh-CN"/>
        </w:rPr>
        <w:t>3.1</w:t>
      </w: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eastAsia="zh-CN"/>
        </w:rPr>
        <w:t>月，规模以上工业增加值同比下降2.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%，低于全区平均水平1.</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个百分点，增速居全区第4位；固定资产投资同比下降</w:t>
      </w:r>
      <w:r>
        <w:rPr>
          <w:rFonts w:hint="eastAsia" w:ascii="仿宋_GB2312" w:hAnsi="仿宋_GB2312" w:eastAsia="仿宋_GB2312" w:cs="仿宋_GB2312"/>
          <w:sz w:val="32"/>
          <w:szCs w:val="32"/>
          <w:lang w:val="en-US" w:eastAsia="zh-CN"/>
        </w:rPr>
        <w:t>17.3</w:t>
      </w:r>
      <w:r>
        <w:rPr>
          <w:rFonts w:hint="eastAsia" w:ascii="仿宋_GB2312" w:hAnsi="仿宋_GB2312" w:eastAsia="仿宋_GB2312" w:cs="仿宋_GB2312"/>
          <w:sz w:val="32"/>
          <w:szCs w:val="32"/>
          <w:lang w:eastAsia="zh-CN"/>
        </w:rPr>
        <w:t>%，低于全区平均水平</w:t>
      </w:r>
      <w:r>
        <w:rPr>
          <w:rFonts w:hint="eastAsia" w:ascii="仿宋_GB2312" w:hAnsi="仿宋_GB2312" w:eastAsia="仿宋_GB2312" w:cs="仿宋_GB2312"/>
          <w:sz w:val="32"/>
          <w:szCs w:val="32"/>
          <w:lang w:val="en-US" w:eastAsia="zh-CN"/>
        </w:rPr>
        <w:t>12.1</w:t>
      </w:r>
      <w:r>
        <w:rPr>
          <w:rFonts w:hint="eastAsia" w:ascii="仿宋_GB2312" w:hAnsi="仿宋_GB2312" w:eastAsia="仿宋_GB2312" w:cs="仿宋_GB2312"/>
          <w:sz w:val="32"/>
          <w:szCs w:val="32"/>
          <w:lang w:eastAsia="zh-CN"/>
        </w:rPr>
        <w:t>个百分点，增速居全区</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位；投资库在库项目10个，本年新入库2个，结转项目8个；限上企业消费品零售额累计完成0.</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亿元，同比下降</w:t>
      </w:r>
      <w:r>
        <w:rPr>
          <w:rFonts w:hint="eastAsia" w:ascii="仿宋_GB2312" w:hAnsi="仿宋_GB2312" w:eastAsia="仿宋_GB2312" w:cs="仿宋_GB2312"/>
          <w:sz w:val="32"/>
          <w:szCs w:val="32"/>
          <w:lang w:val="en-US" w:eastAsia="zh-CN"/>
        </w:rPr>
        <w:t>47.8</w:t>
      </w:r>
      <w:r>
        <w:rPr>
          <w:rFonts w:hint="eastAsia" w:ascii="仿宋_GB2312" w:hAnsi="仿宋_GB2312" w:eastAsia="仿宋_GB2312" w:cs="仿宋_GB2312"/>
          <w:sz w:val="32"/>
          <w:szCs w:val="32"/>
          <w:lang w:eastAsia="zh-CN"/>
        </w:rPr>
        <w:t>%，低于全区平均水平</w:t>
      </w:r>
      <w:r>
        <w:rPr>
          <w:rFonts w:hint="eastAsia" w:ascii="仿宋_GB2312" w:hAnsi="仿宋_GB2312" w:eastAsia="仿宋_GB2312" w:cs="仿宋_GB2312"/>
          <w:sz w:val="32"/>
          <w:szCs w:val="32"/>
          <w:lang w:val="en-US" w:eastAsia="zh-CN"/>
        </w:rPr>
        <w:t>33.2</w:t>
      </w:r>
      <w:r>
        <w:rPr>
          <w:rFonts w:hint="eastAsia" w:ascii="仿宋_GB2312" w:hAnsi="仿宋_GB2312" w:eastAsia="仿宋_GB2312" w:cs="仿宋_GB2312"/>
          <w:sz w:val="32"/>
          <w:szCs w:val="32"/>
          <w:lang w:eastAsia="zh-CN"/>
        </w:rPr>
        <w:t>个百分点，增速居全区第4位；无“四上”企业入库，与年度目标差距4家，截至</w:t>
      </w:r>
      <w:r>
        <w:rPr>
          <w:rFonts w:hint="eastAsia" w:ascii="仿宋_GB2312" w:hAnsi="仿宋_GB2312" w:eastAsia="仿宋_GB2312" w:cs="仿宋_GB2312"/>
          <w:sz w:val="32"/>
          <w:szCs w:val="32"/>
          <w:lang w:val="en-US" w:eastAsia="zh-CN"/>
        </w:rPr>
        <w:t>10月31日提交入库材料1家</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大块镇：</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前三季度，实现地区生产总值</w:t>
      </w:r>
      <w:r>
        <w:rPr>
          <w:rFonts w:hint="eastAsia" w:ascii="仿宋_GB2312" w:hAnsi="仿宋_GB2312" w:eastAsia="仿宋_GB2312" w:cs="仿宋_GB2312"/>
          <w:sz w:val="32"/>
          <w:szCs w:val="32"/>
          <w:lang w:val="en-US" w:eastAsia="zh-CN"/>
        </w:rPr>
        <w:t>17.44</w:t>
      </w:r>
      <w:r>
        <w:rPr>
          <w:rFonts w:hint="eastAsia" w:ascii="仿宋_GB2312" w:hAnsi="仿宋_GB2312" w:eastAsia="仿宋_GB2312" w:cs="仿宋_GB2312"/>
          <w:sz w:val="32"/>
          <w:szCs w:val="32"/>
          <w:lang w:eastAsia="zh-CN"/>
        </w:rPr>
        <w:t>亿元，同比增长0.</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%，低于全区平均水平</w:t>
      </w:r>
      <w:r>
        <w:rPr>
          <w:rFonts w:hint="eastAsia" w:ascii="仿宋_GB2312" w:hAnsi="仿宋_GB2312" w:eastAsia="仿宋_GB2312" w:cs="仿宋_GB2312"/>
          <w:sz w:val="32"/>
          <w:szCs w:val="32"/>
          <w:lang w:val="en-US" w:eastAsia="zh-CN"/>
        </w:rPr>
        <w:t>5.1</w:t>
      </w:r>
      <w:r>
        <w:rPr>
          <w:rFonts w:hint="eastAsia" w:ascii="仿宋_GB2312" w:hAnsi="仿宋_GB2312" w:eastAsia="仿宋_GB2312" w:cs="仿宋_GB2312"/>
          <w:sz w:val="32"/>
          <w:szCs w:val="32"/>
          <w:lang w:eastAsia="zh-CN"/>
        </w:rPr>
        <w:t>个百分点，增速居全区第</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位。分产业看，第一产业增加值0.</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亿元，同比增长</w:t>
      </w:r>
      <w:r>
        <w:rPr>
          <w:rFonts w:hint="eastAsia" w:ascii="仿宋_GB2312" w:hAnsi="仿宋_GB2312" w:eastAsia="仿宋_GB2312" w:cs="仿宋_GB2312"/>
          <w:sz w:val="32"/>
          <w:szCs w:val="32"/>
          <w:lang w:val="en-US" w:eastAsia="zh-CN"/>
        </w:rPr>
        <w:t>0.8</w:t>
      </w:r>
      <w:r>
        <w:rPr>
          <w:rFonts w:hint="eastAsia" w:ascii="仿宋_GB2312" w:hAnsi="仿宋_GB2312" w:eastAsia="仿宋_GB2312" w:cs="仿宋_GB2312"/>
          <w:sz w:val="32"/>
          <w:szCs w:val="32"/>
          <w:lang w:eastAsia="zh-CN"/>
        </w:rPr>
        <w:t>%；第二产业增加值</w:t>
      </w:r>
      <w:r>
        <w:rPr>
          <w:rFonts w:hint="eastAsia" w:ascii="仿宋_GB2312" w:hAnsi="仿宋_GB2312" w:eastAsia="仿宋_GB2312" w:cs="仿宋_GB2312"/>
          <w:sz w:val="32"/>
          <w:szCs w:val="32"/>
          <w:lang w:val="en-US" w:eastAsia="zh-CN"/>
        </w:rPr>
        <w:t>9.1</w:t>
      </w:r>
      <w:r>
        <w:rPr>
          <w:rFonts w:hint="eastAsia" w:ascii="仿宋_GB2312" w:hAnsi="仿宋_GB2312" w:eastAsia="仿宋_GB2312" w:cs="仿宋_GB2312"/>
          <w:sz w:val="32"/>
          <w:szCs w:val="32"/>
          <w:lang w:eastAsia="zh-CN"/>
        </w:rPr>
        <w:t>亿元，同比下降</w:t>
      </w:r>
      <w:r>
        <w:rPr>
          <w:rFonts w:hint="eastAsia" w:ascii="仿宋_GB2312" w:hAnsi="仿宋_GB2312" w:eastAsia="仿宋_GB2312" w:cs="仿宋_GB2312"/>
          <w:sz w:val="32"/>
          <w:szCs w:val="32"/>
          <w:lang w:val="en-US" w:eastAsia="zh-CN"/>
        </w:rPr>
        <w:t>8.6</w:t>
      </w:r>
      <w:r>
        <w:rPr>
          <w:rFonts w:hint="eastAsia" w:ascii="仿宋_GB2312" w:hAnsi="仿宋_GB2312" w:eastAsia="仿宋_GB2312" w:cs="仿宋_GB2312"/>
          <w:sz w:val="32"/>
          <w:szCs w:val="32"/>
          <w:lang w:eastAsia="zh-CN"/>
        </w:rPr>
        <w:t>%；第三产业增加值</w:t>
      </w:r>
      <w:r>
        <w:rPr>
          <w:rFonts w:hint="eastAsia" w:ascii="仿宋_GB2312" w:hAnsi="仿宋_GB2312" w:eastAsia="仿宋_GB2312" w:cs="仿宋_GB2312"/>
          <w:sz w:val="32"/>
          <w:szCs w:val="32"/>
          <w:lang w:val="en-US" w:eastAsia="zh-CN"/>
        </w:rPr>
        <w:t>8.03</w:t>
      </w:r>
      <w:r>
        <w:rPr>
          <w:rFonts w:hint="eastAsia" w:ascii="仿宋_GB2312" w:hAnsi="仿宋_GB2312" w:eastAsia="仿宋_GB2312" w:cs="仿宋_GB2312"/>
          <w:sz w:val="32"/>
          <w:szCs w:val="32"/>
          <w:lang w:eastAsia="zh-CN"/>
        </w:rPr>
        <w:t>亿元，同比增长</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eastAsia="zh-CN"/>
        </w:rPr>
        <w:t>月，规模以上工业增加值同比下降</w:t>
      </w:r>
      <w:r>
        <w:rPr>
          <w:rFonts w:hint="eastAsia" w:ascii="仿宋_GB2312" w:hAnsi="仿宋_GB2312" w:eastAsia="仿宋_GB2312" w:cs="仿宋_GB2312"/>
          <w:sz w:val="32"/>
          <w:szCs w:val="32"/>
          <w:lang w:val="en-US" w:eastAsia="zh-CN"/>
        </w:rPr>
        <w:t>12.2</w:t>
      </w:r>
      <w:r>
        <w:rPr>
          <w:rFonts w:hint="eastAsia" w:ascii="仿宋_GB2312" w:hAnsi="仿宋_GB2312" w:eastAsia="仿宋_GB2312" w:cs="仿宋_GB2312"/>
          <w:sz w:val="32"/>
          <w:szCs w:val="32"/>
          <w:lang w:eastAsia="zh-CN"/>
        </w:rPr>
        <w:t>%，低于全区平均水平</w:t>
      </w:r>
      <w:r>
        <w:rPr>
          <w:rFonts w:hint="eastAsia" w:ascii="仿宋_GB2312" w:hAnsi="仿宋_GB2312" w:eastAsia="仿宋_GB2312" w:cs="仿宋_GB2312"/>
          <w:sz w:val="32"/>
          <w:szCs w:val="32"/>
          <w:lang w:val="en-US" w:eastAsia="zh-CN"/>
        </w:rPr>
        <w:t>11.3</w:t>
      </w:r>
      <w:r>
        <w:rPr>
          <w:rFonts w:hint="eastAsia" w:ascii="仿宋_GB2312" w:hAnsi="仿宋_GB2312" w:eastAsia="仿宋_GB2312" w:cs="仿宋_GB2312"/>
          <w:sz w:val="32"/>
          <w:szCs w:val="32"/>
          <w:lang w:eastAsia="zh-CN"/>
        </w:rPr>
        <w:t>个百分点，增速居全区第5位；固定资产投资同比增长2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.5%，高于全区平均水平30.</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个百分点，增速居全区1位；投资库在库项目21个，本年新入库11个，结转项目10个；限上企业消费品零售额累计完成0.</w:t>
      </w:r>
      <w:r>
        <w:rPr>
          <w:rFonts w:hint="eastAsia" w:ascii="仿宋_GB2312" w:hAnsi="仿宋_GB2312" w:eastAsia="仿宋_GB2312" w:cs="仿宋_GB2312"/>
          <w:sz w:val="32"/>
          <w:szCs w:val="32"/>
          <w:lang w:val="en-US" w:eastAsia="zh-CN"/>
        </w:rPr>
        <w:t>35</w:t>
      </w:r>
      <w:r>
        <w:rPr>
          <w:rFonts w:hint="eastAsia" w:ascii="仿宋_GB2312" w:hAnsi="仿宋_GB2312" w:eastAsia="仿宋_GB2312" w:cs="仿宋_GB2312"/>
          <w:sz w:val="32"/>
          <w:szCs w:val="32"/>
          <w:lang w:eastAsia="zh-CN"/>
        </w:rPr>
        <w:t>亿元，同比增长</w:t>
      </w:r>
      <w:r>
        <w:rPr>
          <w:rFonts w:hint="eastAsia" w:ascii="仿宋_GB2312" w:hAnsi="仿宋_GB2312" w:eastAsia="仿宋_GB2312" w:cs="仿宋_GB2312"/>
          <w:sz w:val="32"/>
          <w:szCs w:val="32"/>
          <w:lang w:val="en-US" w:eastAsia="zh-CN"/>
        </w:rPr>
        <w:t>7.6</w:t>
      </w:r>
      <w:r>
        <w:rPr>
          <w:rFonts w:hint="eastAsia" w:ascii="仿宋_GB2312" w:hAnsi="仿宋_GB2312" w:eastAsia="仿宋_GB2312" w:cs="仿宋_GB2312"/>
          <w:sz w:val="32"/>
          <w:szCs w:val="32"/>
          <w:lang w:eastAsia="zh-CN"/>
        </w:rPr>
        <w:t>%，高于全区平均水平</w:t>
      </w:r>
      <w:r>
        <w:rPr>
          <w:rFonts w:hint="eastAsia" w:ascii="仿宋_GB2312" w:hAnsi="仿宋_GB2312" w:eastAsia="仿宋_GB2312" w:cs="仿宋_GB2312"/>
          <w:sz w:val="32"/>
          <w:szCs w:val="32"/>
          <w:lang w:val="en-US" w:eastAsia="zh-CN"/>
        </w:rPr>
        <w:t>22.2</w:t>
      </w:r>
      <w:r>
        <w:rPr>
          <w:rFonts w:hint="eastAsia" w:ascii="仿宋_GB2312" w:hAnsi="仿宋_GB2312" w:eastAsia="仿宋_GB2312" w:cs="仿宋_GB2312"/>
          <w:sz w:val="32"/>
          <w:szCs w:val="32"/>
          <w:lang w:eastAsia="zh-CN"/>
        </w:rPr>
        <w:t>个百分点，增速居全区第2位；无“四上”企业入库，</w:t>
      </w:r>
      <w:r>
        <w:rPr>
          <w:rFonts w:hint="eastAsia" w:ascii="仿宋_GB2312" w:hAnsi="仿宋_GB2312" w:eastAsia="仿宋_GB2312" w:cs="仿宋_GB2312"/>
          <w:sz w:val="32"/>
          <w:szCs w:val="32"/>
          <w:lang w:val="en-US" w:eastAsia="zh-CN"/>
        </w:rPr>
        <w:t>3月份</w:t>
      </w:r>
      <w:r>
        <w:rPr>
          <w:rFonts w:hint="eastAsia" w:ascii="仿宋_GB2312" w:hAnsi="仿宋_GB2312" w:eastAsia="仿宋_GB2312" w:cs="仿宋_GB2312"/>
          <w:sz w:val="32"/>
          <w:szCs w:val="32"/>
          <w:lang w:eastAsia="zh-CN"/>
        </w:rPr>
        <w:t>已退库</w:t>
      </w:r>
      <w:r>
        <w:rPr>
          <w:rFonts w:hint="eastAsia" w:ascii="仿宋_GB2312" w:hAnsi="仿宋_GB2312" w:eastAsia="仿宋_GB2312" w:cs="仿宋_GB2312"/>
          <w:sz w:val="32"/>
          <w:szCs w:val="32"/>
          <w:lang w:val="en-US" w:eastAsia="zh-CN"/>
        </w:rPr>
        <w:t>1家，</w:t>
      </w:r>
      <w:r>
        <w:rPr>
          <w:rFonts w:hint="eastAsia" w:ascii="仿宋_GB2312" w:hAnsi="仿宋_GB2312" w:eastAsia="仿宋_GB2312" w:cs="仿宋_GB2312"/>
          <w:sz w:val="32"/>
          <w:szCs w:val="32"/>
          <w:lang w:eastAsia="zh-CN"/>
        </w:rPr>
        <w:t>与年度目标差距</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lang w:eastAsia="zh-CN"/>
        </w:rPr>
        <w:t>家，截至</w:t>
      </w:r>
      <w:r>
        <w:rPr>
          <w:rFonts w:hint="eastAsia" w:ascii="仿宋_GB2312" w:hAnsi="仿宋_GB2312" w:eastAsia="仿宋_GB2312" w:cs="仿宋_GB2312"/>
          <w:sz w:val="32"/>
          <w:szCs w:val="32"/>
          <w:lang w:val="en-US" w:eastAsia="zh-CN"/>
        </w:rPr>
        <w:t>10月31日提交入库材料1家。</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耿黄镇:</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前三季度，实现地区生产总值</w:t>
      </w:r>
      <w:r>
        <w:rPr>
          <w:rFonts w:hint="eastAsia" w:ascii="仿宋_GB2312" w:hAnsi="仿宋_GB2312" w:eastAsia="仿宋_GB2312" w:cs="仿宋_GB2312"/>
          <w:sz w:val="32"/>
          <w:szCs w:val="32"/>
          <w:lang w:val="en-US" w:eastAsia="zh-CN"/>
        </w:rPr>
        <w:t>13.8</w:t>
      </w:r>
      <w:r>
        <w:rPr>
          <w:rFonts w:hint="eastAsia" w:ascii="仿宋_GB2312" w:hAnsi="仿宋_GB2312" w:eastAsia="仿宋_GB2312" w:cs="仿宋_GB2312"/>
          <w:sz w:val="32"/>
          <w:szCs w:val="32"/>
          <w:lang w:eastAsia="zh-CN"/>
        </w:rPr>
        <w:t>亿元，同比增长10.</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%，高于全区平均水平</w:t>
      </w:r>
      <w:r>
        <w:rPr>
          <w:rFonts w:hint="eastAsia" w:ascii="仿宋_GB2312" w:hAnsi="仿宋_GB2312" w:eastAsia="仿宋_GB2312" w:cs="仿宋_GB2312"/>
          <w:sz w:val="32"/>
          <w:szCs w:val="32"/>
          <w:lang w:val="en-US" w:eastAsia="zh-CN"/>
        </w:rPr>
        <w:t>4.8</w:t>
      </w:r>
      <w:r>
        <w:rPr>
          <w:rFonts w:hint="eastAsia" w:ascii="仿宋_GB2312" w:hAnsi="仿宋_GB2312" w:eastAsia="仿宋_GB2312" w:cs="仿宋_GB2312"/>
          <w:sz w:val="32"/>
          <w:szCs w:val="32"/>
          <w:lang w:eastAsia="zh-CN"/>
        </w:rPr>
        <w:t>个百分点，增速居全区第</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位。分产业看，第一产业增加值0.</w:t>
      </w: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lang w:eastAsia="zh-CN"/>
        </w:rPr>
        <w:t>亿元，同比增长1.1%；第二产业增加值</w:t>
      </w:r>
      <w:r>
        <w:rPr>
          <w:rFonts w:hint="eastAsia" w:ascii="仿宋_GB2312" w:hAnsi="仿宋_GB2312" w:eastAsia="仿宋_GB2312" w:cs="仿宋_GB2312"/>
          <w:sz w:val="32"/>
          <w:szCs w:val="32"/>
          <w:lang w:val="en-US" w:eastAsia="zh-CN"/>
        </w:rPr>
        <w:t>5.84</w:t>
      </w:r>
      <w:r>
        <w:rPr>
          <w:rFonts w:hint="eastAsia" w:ascii="仿宋_GB2312" w:hAnsi="仿宋_GB2312" w:eastAsia="仿宋_GB2312" w:cs="仿宋_GB2312"/>
          <w:sz w:val="32"/>
          <w:szCs w:val="32"/>
          <w:lang w:eastAsia="zh-CN"/>
        </w:rPr>
        <w:t>亿元，同比增长</w:t>
      </w:r>
      <w:r>
        <w:rPr>
          <w:rFonts w:hint="eastAsia" w:ascii="仿宋_GB2312" w:hAnsi="仿宋_GB2312" w:eastAsia="仿宋_GB2312" w:cs="仿宋_GB2312"/>
          <w:sz w:val="32"/>
          <w:szCs w:val="32"/>
          <w:lang w:val="en-US" w:eastAsia="zh-CN"/>
        </w:rPr>
        <w:t>5.2</w:t>
      </w:r>
      <w:r>
        <w:rPr>
          <w:rFonts w:hint="eastAsia" w:ascii="仿宋_GB2312" w:hAnsi="仿宋_GB2312" w:eastAsia="仿宋_GB2312" w:cs="仿宋_GB2312"/>
          <w:sz w:val="32"/>
          <w:szCs w:val="32"/>
          <w:lang w:eastAsia="zh-CN"/>
        </w:rPr>
        <w:t>%；第三产业增加值</w:t>
      </w:r>
      <w:r>
        <w:rPr>
          <w:rFonts w:hint="eastAsia" w:ascii="仿宋_GB2312" w:hAnsi="仿宋_GB2312" w:eastAsia="仿宋_GB2312" w:cs="仿宋_GB2312"/>
          <w:sz w:val="32"/>
          <w:szCs w:val="32"/>
          <w:lang w:val="en-US" w:eastAsia="zh-CN"/>
        </w:rPr>
        <w:t>7.78</w:t>
      </w:r>
      <w:r>
        <w:rPr>
          <w:rFonts w:hint="eastAsia" w:ascii="仿宋_GB2312" w:hAnsi="仿宋_GB2312" w:eastAsia="仿宋_GB2312" w:cs="仿宋_GB2312"/>
          <w:sz w:val="32"/>
          <w:szCs w:val="32"/>
          <w:lang w:eastAsia="zh-CN"/>
        </w:rPr>
        <w:t>亿元，同比增长</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eastAsia="zh-CN"/>
        </w:rPr>
        <w:t>月，规模以上工业增加值同比增长</w:t>
      </w:r>
      <w:r>
        <w:rPr>
          <w:rFonts w:hint="eastAsia" w:ascii="仿宋_GB2312" w:hAnsi="仿宋_GB2312" w:eastAsia="仿宋_GB2312" w:cs="仿宋_GB2312"/>
          <w:sz w:val="32"/>
          <w:szCs w:val="32"/>
          <w:lang w:val="en-US" w:eastAsia="zh-CN"/>
        </w:rPr>
        <w:t>15.6</w:t>
      </w:r>
      <w:r>
        <w:rPr>
          <w:rFonts w:hint="eastAsia" w:ascii="仿宋_GB2312" w:hAnsi="仿宋_GB2312" w:eastAsia="仿宋_GB2312" w:cs="仿宋_GB2312"/>
          <w:sz w:val="32"/>
          <w:szCs w:val="32"/>
          <w:lang w:eastAsia="zh-CN"/>
        </w:rPr>
        <w:t>%，高于全区平均水平</w:t>
      </w:r>
      <w:r>
        <w:rPr>
          <w:rFonts w:hint="eastAsia" w:ascii="仿宋_GB2312" w:hAnsi="仿宋_GB2312" w:eastAsia="仿宋_GB2312" w:cs="仿宋_GB2312"/>
          <w:sz w:val="32"/>
          <w:szCs w:val="32"/>
          <w:lang w:val="en-US" w:eastAsia="zh-CN"/>
        </w:rPr>
        <w:t>16.5</w:t>
      </w:r>
      <w:r>
        <w:rPr>
          <w:rFonts w:hint="eastAsia" w:ascii="仿宋_GB2312" w:hAnsi="仿宋_GB2312" w:eastAsia="仿宋_GB2312" w:cs="仿宋_GB2312"/>
          <w:sz w:val="32"/>
          <w:szCs w:val="32"/>
          <w:lang w:eastAsia="zh-CN"/>
        </w:rPr>
        <w:t>个百分点，增速居全区第1位；固定资产投资同比增长</w:t>
      </w:r>
      <w:r>
        <w:rPr>
          <w:rFonts w:hint="eastAsia" w:ascii="仿宋_GB2312" w:hAnsi="仿宋_GB2312" w:eastAsia="仿宋_GB2312" w:cs="仿宋_GB2312"/>
          <w:sz w:val="32"/>
          <w:szCs w:val="32"/>
          <w:lang w:val="en-US" w:eastAsia="zh-CN"/>
        </w:rPr>
        <w:t>3.2</w:t>
      </w:r>
      <w:r>
        <w:rPr>
          <w:rFonts w:hint="eastAsia" w:ascii="仿宋_GB2312" w:hAnsi="仿宋_GB2312" w:eastAsia="仿宋_GB2312" w:cs="仿宋_GB2312"/>
          <w:sz w:val="32"/>
          <w:szCs w:val="32"/>
          <w:lang w:eastAsia="zh-CN"/>
        </w:rPr>
        <w:t>%，高于全区平均水平</w:t>
      </w:r>
      <w:r>
        <w:rPr>
          <w:rFonts w:hint="eastAsia" w:ascii="仿宋_GB2312" w:hAnsi="仿宋_GB2312" w:eastAsia="仿宋_GB2312" w:cs="仿宋_GB2312"/>
          <w:sz w:val="32"/>
          <w:szCs w:val="32"/>
          <w:lang w:val="en-US" w:eastAsia="zh-CN"/>
        </w:rPr>
        <w:t>8.4</w:t>
      </w:r>
      <w:r>
        <w:rPr>
          <w:rFonts w:hint="eastAsia" w:ascii="仿宋_GB2312" w:hAnsi="仿宋_GB2312" w:eastAsia="仿宋_GB2312" w:cs="仿宋_GB2312"/>
          <w:sz w:val="32"/>
          <w:szCs w:val="32"/>
          <w:lang w:eastAsia="zh-CN"/>
        </w:rPr>
        <w:t>个百分点，增速居全区</w:t>
      </w:r>
      <w:r>
        <w:rPr>
          <w:rFonts w:hint="eastAsia" w:ascii="仿宋_GB2312" w:hAnsi="仿宋_GB2312" w:eastAsia="仿宋_GB2312" w:cs="仿宋_GB2312"/>
          <w:sz w:val="32"/>
          <w:szCs w:val="32"/>
          <w:lang w:val="en-US" w:eastAsia="zh-CN"/>
        </w:rPr>
        <w:t>第</w:t>
      </w:r>
      <w:r>
        <w:rPr>
          <w:rFonts w:hint="eastAsia" w:ascii="仿宋_GB2312" w:hAnsi="仿宋_GB2312" w:eastAsia="仿宋_GB2312" w:cs="仿宋_GB2312"/>
          <w:sz w:val="32"/>
          <w:szCs w:val="32"/>
          <w:lang w:eastAsia="zh-CN"/>
        </w:rPr>
        <w:t>2位；投资库在库项目</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lang w:eastAsia="zh-CN"/>
        </w:rPr>
        <w:t>个，本年新入库</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个，结转项目11个；限上企业消费品零售额累计完成0.1</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亿元，同比下降</w:t>
      </w:r>
      <w:r>
        <w:rPr>
          <w:rFonts w:hint="eastAsia" w:ascii="仿宋_GB2312" w:hAnsi="仿宋_GB2312" w:eastAsia="仿宋_GB2312" w:cs="仿宋_GB2312"/>
          <w:sz w:val="32"/>
          <w:szCs w:val="32"/>
          <w:lang w:val="en-US" w:eastAsia="zh-CN"/>
        </w:rPr>
        <w:t>66</w:t>
      </w:r>
      <w:r>
        <w:rPr>
          <w:rFonts w:hint="eastAsia" w:ascii="仿宋_GB2312" w:hAnsi="仿宋_GB2312" w:eastAsia="仿宋_GB2312" w:cs="仿宋_GB2312"/>
          <w:sz w:val="32"/>
          <w:szCs w:val="32"/>
          <w:lang w:eastAsia="zh-CN"/>
        </w:rPr>
        <w:t>%，低于全区平均水平</w:t>
      </w:r>
      <w:r>
        <w:rPr>
          <w:rFonts w:hint="eastAsia" w:ascii="仿宋_GB2312" w:hAnsi="仿宋_GB2312" w:eastAsia="仿宋_GB2312" w:cs="仿宋_GB2312"/>
          <w:sz w:val="32"/>
          <w:szCs w:val="32"/>
          <w:lang w:val="en-US" w:eastAsia="zh-CN"/>
        </w:rPr>
        <w:t>51.4</w:t>
      </w:r>
      <w:r>
        <w:rPr>
          <w:rFonts w:hint="eastAsia" w:ascii="仿宋_GB2312" w:hAnsi="仿宋_GB2312" w:eastAsia="仿宋_GB2312" w:cs="仿宋_GB2312"/>
          <w:sz w:val="32"/>
          <w:szCs w:val="32"/>
          <w:lang w:eastAsia="zh-CN"/>
        </w:rPr>
        <w:t>个百分点，增速居全区第5位；“四上”企业入库1家，</w:t>
      </w:r>
      <w:r>
        <w:rPr>
          <w:rFonts w:hint="eastAsia" w:ascii="仿宋_GB2312" w:hAnsi="仿宋_GB2312" w:eastAsia="仿宋_GB2312" w:cs="仿宋_GB2312"/>
          <w:sz w:val="32"/>
          <w:szCs w:val="32"/>
          <w:lang w:val="en-US" w:eastAsia="zh-CN"/>
        </w:rPr>
        <w:t>7月份和8月份已退库3家，</w:t>
      </w:r>
      <w:r>
        <w:rPr>
          <w:rFonts w:hint="eastAsia" w:ascii="仿宋_GB2312" w:hAnsi="仿宋_GB2312" w:eastAsia="仿宋_GB2312" w:cs="仿宋_GB2312"/>
          <w:sz w:val="32"/>
          <w:szCs w:val="32"/>
          <w:lang w:eastAsia="zh-CN"/>
        </w:rPr>
        <w:t>与年度目标差距</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eastAsia="zh-CN"/>
        </w:rPr>
        <w:t>家，截至</w:t>
      </w:r>
      <w:r>
        <w:rPr>
          <w:rFonts w:hint="eastAsia" w:ascii="仿宋_GB2312" w:hAnsi="仿宋_GB2312" w:eastAsia="仿宋_GB2312" w:cs="仿宋_GB2312"/>
          <w:sz w:val="32"/>
          <w:szCs w:val="32"/>
          <w:lang w:val="en-US" w:eastAsia="zh-CN"/>
        </w:rPr>
        <w:t>10月31日提交入库材料1家</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潞王坟乡：</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前三季度，实现地区生产总值</w:t>
      </w:r>
      <w:r>
        <w:rPr>
          <w:rFonts w:hint="eastAsia" w:ascii="仿宋_GB2312" w:hAnsi="仿宋_GB2312" w:eastAsia="仿宋_GB2312" w:cs="仿宋_GB2312"/>
          <w:sz w:val="32"/>
          <w:szCs w:val="32"/>
          <w:lang w:val="en-US" w:eastAsia="zh-CN"/>
        </w:rPr>
        <w:t>12.41</w:t>
      </w:r>
      <w:r>
        <w:rPr>
          <w:rFonts w:hint="eastAsia" w:ascii="仿宋_GB2312" w:hAnsi="仿宋_GB2312" w:eastAsia="仿宋_GB2312" w:cs="仿宋_GB2312"/>
          <w:sz w:val="32"/>
          <w:szCs w:val="32"/>
          <w:lang w:eastAsia="zh-CN"/>
        </w:rPr>
        <w:t>亿元，同比增长</w:t>
      </w:r>
      <w:r>
        <w:rPr>
          <w:rFonts w:hint="eastAsia" w:ascii="仿宋_GB2312" w:hAnsi="仿宋_GB2312" w:eastAsia="仿宋_GB2312" w:cs="仿宋_GB2312"/>
          <w:sz w:val="32"/>
          <w:szCs w:val="32"/>
          <w:lang w:val="en-US" w:eastAsia="zh-CN"/>
        </w:rPr>
        <w:t>4.8</w:t>
      </w:r>
      <w:r>
        <w:rPr>
          <w:rFonts w:hint="eastAsia" w:ascii="仿宋_GB2312" w:hAnsi="仿宋_GB2312" w:eastAsia="仿宋_GB2312" w:cs="仿宋_GB2312"/>
          <w:sz w:val="32"/>
          <w:szCs w:val="32"/>
          <w:lang w:eastAsia="zh-CN"/>
        </w:rPr>
        <w:t>%，低于全区平均水平</w:t>
      </w:r>
      <w:r>
        <w:rPr>
          <w:rFonts w:hint="eastAsia" w:ascii="仿宋_GB2312" w:hAnsi="仿宋_GB2312" w:eastAsia="仿宋_GB2312" w:cs="仿宋_GB2312"/>
          <w:sz w:val="32"/>
          <w:szCs w:val="32"/>
          <w:lang w:val="en-US" w:eastAsia="zh-CN"/>
        </w:rPr>
        <w:t>0.8</w:t>
      </w:r>
      <w:r>
        <w:rPr>
          <w:rFonts w:hint="eastAsia" w:ascii="仿宋_GB2312" w:hAnsi="仿宋_GB2312" w:eastAsia="仿宋_GB2312" w:cs="仿宋_GB2312"/>
          <w:sz w:val="32"/>
          <w:szCs w:val="32"/>
          <w:lang w:eastAsia="zh-CN"/>
        </w:rPr>
        <w:t>个百分点，增速居全区第</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位。分产业看，第一产业增加值0.</w:t>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lang w:eastAsia="zh-CN"/>
        </w:rPr>
        <w:t>亿元，同比增长</w:t>
      </w:r>
      <w:r>
        <w:rPr>
          <w:rFonts w:hint="eastAsia" w:ascii="仿宋_GB2312" w:hAnsi="仿宋_GB2312" w:eastAsia="仿宋_GB2312" w:cs="仿宋_GB2312"/>
          <w:sz w:val="32"/>
          <w:szCs w:val="32"/>
          <w:lang w:val="en-US" w:eastAsia="zh-CN"/>
        </w:rPr>
        <w:t>0.9</w:t>
      </w:r>
      <w:r>
        <w:rPr>
          <w:rFonts w:hint="eastAsia" w:ascii="仿宋_GB2312" w:hAnsi="仿宋_GB2312" w:eastAsia="仿宋_GB2312" w:cs="仿宋_GB2312"/>
          <w:sz w:val="32"/>
          <w:szCs w:val="32"/>
          <w:lang w:eastAsia="zh-CN"/>
        </w:rPr>
        <w:t>%；第二产业增加值</w:t>
      </w:r>
      <w:r>
        <w:rPr>
          <w:rFonts w:hint="eastAsia" w:ascii="仿宋_GB2312" w:hAnsi="仿宋_GB2312" w:eastAsia="仿宋_GB2312" w:cs="仿宋_GB2312"/>
          <w:sz w:val="32"/>
          <w:szCs w:val="32"/>
          <w:lang w:val="en-US" w:eastAsia="zh-CN"/>
        </w:rPr>
        <w:t>5.63</w:t>
      </w:r>
      <w:r>
        <w:rPr>
          <w:rFonts w:hint="eastAsia" w:ascii="仿宋_GB2312" w:hAnsi="仿宋_GB2312" w:eastAsia="仿宋_GB2312" w:cs="仿宋_GB2312"/>
          <w:sz w:val="32"/>
          <w:szCs w:val="32"/>
          <w:lang w:eastAsia="zh-CN"/>
        </w:rPr>
        <w:t>亿元，同比下降</w:t>
      </w:r>
      <w:r>
        <w:rPr>
          <w:rFonts w:hint="eastAsia" w:ascii="仿宋_GB2312" w:hAnsi="仿宋_GB2312" w:eastAsia="仿宋_GB2312" w:cs="仿宋_GB2312"/>
          <w:sz w:val="32"/>
          <w:szCs w:val="32"/>
          <w:lang w:val="en-US" w:eastAsia="zh-CN"/>
        </w:rPr>
        <w:t>0.8</w:t>
      </w:r>
      <w:r>
        <w:rPr>
          <w:rFonts w:hint="eastAsia" w:ascii="仿宋_GB2312" w:hAnsi="仿宋_GB2312" w:eastAsia="仿宋_GB2312" w:cs="仿宋_GB2312"/>
          <w:sz w:val="32"/>
          <w:szCs w:val="32"/>
          <w:lang w:eastAsia="zh-CN"/>
        </w:rPr>
        <w:t>%；第三产业增加值</w:t>
      </w:r>
      <w:r>
        <w:rPr>
          <w:rFonts w:hint="eastAsia" w:ascii="仿宋_GB2312" w:hAnsi="仿宋_GB2312" w:eastAsia="仿宋_GB2312" w:cs="仿宋_GB2312"/>
          <w:sz w:val="32"/>
          <w:szCs w:val="32"/>
          <w:lang w:val="en-US" w:eastAsia="zh-CN"/>
        </w:rPr>
        <w:t>6.64</w:t>
      </w:r>
      <w:r>
        <w:rPr>
          <w:rFonts w:hint="eastAsia" w:ascii="仿宋_GB2312" w:hAnsi="仿宋_GB2312" w:eastAsia="仿宋_GB2312" w:cs="仿宋_GB2312"/>
          <w:sz w:val="32"/>
          <w:szCs w:val="32"/>
          <w:lang w:eastAsia="zh-CN"/>
        </w:rPr>
        <w:t>亿元，同比增长</w:t>
      </w:r>
      <w:r>
        <w:rPr>
          <w:rFonts w:hint="eastAsia" w:ascii="仿宋_GB2312" w:hAnsi="仿宋_GB2312" w:eastAsia="仿宋_GB2312" w:cs="仿宋_GB2312"/>
          <w:sz w:val="32"/>
          <w:szCs w:val="32"/>
          <w:lang w:val="en-US" w:eastAsia="zh-CN"/>
        </w:rPr>
        <w:t>10.8</w:t>
      </w: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eastAsia="zh-CN"/>
        </w:rPr>
        <w:t>月，规模以上工业增加值同比增长</w:t>
      </w:r>
      <w:r>
        <w:rPr>
          <w:rFonts w:hint="eastAsia" w:ascii="仿宋_GB2312" w:hAnsi="仿宋_GB2312" w:eastAsia="仿宋_GB2312" w:cs="仿宋_GB2312"/>
          <w:sz w:val="32"/>
          <w:szCs w:val="32"/>
          <w:lang w:val="en-US" w:eastAsia="zh-CN"/>
        </w:rPr>
        <w:t>5.8</w:t>
      </w:r>
      <w:r>
        <w:rPr>
          <w:rFonts w:hint="eastAsia" w:ascii="仿宋_GB2312" w:hAnsi="仿宋_GB2312" w:eastAsia="仿宋_GB2312" w:cs="仿宋_GB2312"/>
          <w:sz w:val="32"/>
          <w:szCs w:val="32"/>
          <w:lang w:eastAsia="zh-CN"/>
        </w:rPr>
        <w:t>%，高于全区平均水平</w:t>
      </w:r>
      <w:r>
        <w:rPr>
          <w:rFonts w:hint="eastAsia" w:ascii="仿宋_GB2312" w:hAnsi="仿宋_GB2312" w:eastAsia="仿宋_GB2312" w:cs="仿宋_GB2312"/>
          <w:sz w:val="32"/>
          <w:szCs w:val="32"/>
          <w:lang w:val="en-US" w:eastAsia="zh-CN"/>
        </w:rPr>
        <w:t>6.7</w:t>
      </w:r>
      <w:r>
        <w:rPr>
          <w:rFonts w:hint="eastAsia" w:ascii="仿宋_GB2312" w:hAnsi="仿宋_GB2312" w:eastAsia="仿宋_GB2312" w:cs="仿宋_GB2312"/>
          <w:sz w:val="32"/>
          <w:szCs w:val="32"/>
          <w:lang w:eastAsia="zh-CN"/>
        </w:rPr>
        <w:t>个百分点，增速居全区第3位；固定资产投资同比下降</w:t>
      </w:r>
      <w:r>
        <w:rPr>
          <w:rFonts w:hint="eastAsia" w:ascii="仿宋_GB2312" w:hAnsi="仿宋_GB2312" w:eastAsia="仿宋_GB2312" w:cs="仿宋_GB2312"/>
          <w:sz w:val="32"/>
          <w:szCs w:val="32"/>
          <w:lang w:val="en-US" w:eastAsia="zh-CN"/>
        </w:rPr>
        <w:t>29.3</w:t>
      </w:r>
      <w:r>
        <w:rPr>
          <w:rFonts w:hint="eastAsia" w:ascii="仿宋_GB2312" w:hAnsi="仿宋_GB2312" w:eastAsia="仿宋_GB2312" w:cs="仿宋_GB2312"/>
          <w:sz w:val="32"/>
          <w:szCs w:val="32"/>
          <w:lang w:eastAsia="zh-CN"/>
        </w:rPr>
        <w:t>%，低于全区平均水平</w:t>
      </w:r>
      <w:r>
        <w:rPr>
          <w:rFonts w:hint="eastAsia" w:ascii="仿宋_GB2312" w:hAnsi="仿宋_GB2312" w:eastAsia="仿宋_GB2312" w:cs="仿宋_GB2312"/>
          <w:sz w:val="32"/>
          <w:szCs w:val="32"/>
          <w:lang w:val="en-US" w:eastAsia="zh-CN"/>
        </w:rPr>
        <w:t>24.1</w:t>
      </w:r>
      <w:r>
        <w:rPr>
          <w:rFonts w:hint="eastAsia" w:ascii="仿宋_GB2312" w:hAnsi="仿宋_GB2312" w:eastAsia="仿宋_GB2312" w:cs="仿宋_GB2312"/>
          <w:sz w:val="32"/>
          <w:szCs w:val="32"/>
          <w:lang w:eastAsia="zh-CN"/>
        </w:rPr>
        <w:t>个百分点，增速居全区5位；投资库在库项目</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eastAsia="zh-CN"/>
        </w:rPr>
        <w:t>个，本年新入库</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个，结转项目4个；限上企业消费品零售额累计完成0.1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eastAsia="zh-CN"/>
        </w:rPr>
        <w:t>亿元，同比增长</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lang w:eastAsia="zh-CN"/>
        </w:rPr>
        <w:t>%，高于全区平均水平</w:t>
      </w:r>
      <w:r>
        <w:rPr>
          <w:rFonts w:hint="eastAsia" w:ascii="仿宋_GB2312" w:hAnsi="仿宋_GB2312" w:eastAsia="仿宋_GB2312" w:cs="仿宋_GB2312"/>
          <w:sz w:val="32"/>
          <w:szCs w:val="32"/>
          <w:lang w:val="en-US" w:eastAsia="zh-CN"/>
        </w:rPr>
        <w:t>16.5</w:t>
      </w:r>
      <w:r>
        <w:rPr>
          <w:rFonts w:hint="eastAsia" w:ascii="仿宋_GB2312" w:hAnsi="仿宋_GB2312" w:eastAsia="仿宋_GB2312" w:cs="仿宋_GB2312"/>
          <w:sz w:val="32"/>
          <w:szCs w:val="32"/>
          <w:lang w:eastAsia="zh-CN"/>
        </w:rPr>
        <w:t>个百分点，增速居全区第3位；无“四上”企业入库，</w:t>
      </w:r>
      <w:r>
        <w:rPr>
          <w:rFonts w:hint="eastAsia" w:ascii="仿宋_GB2312" w:hAnsi="仿宋_GB2312" w:eastAsia="仿宋_GB2312" w:cs="仿宋_GB2312"/>
          <w:sz w:val="32"/>
          <w:szCs w:val="32"/>
          <w:lang w:val="en-US" w:eastAsia="zh-CN"/>
        </w:rPr>
        <w:t>6月份已退库1家，</w:t>
      </w:r>
      <w:r>
        <w:rPr>
          <w:rFonts w:hint="eastAsia" w:ascii="仿宋_GB2312" w:hAnsi="仿宋_GB2312" w:eastAsia="仿宋_GB2312" w:cs="仿宋_GB2312"/>
          <w:sz w:val="32"/>
          <w:szCs w:val="32"/>
          <w:lang w:eastAsia="zh-CN"/>
        </w:rPr>
        <w:t>与年度目标差距</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家，截至</w:t>
      </w:r>
      <w:r>
        <w:rPr>
          <w:rFonts w:hint="eastAsia" w:ascii="仿宋_GB2312" w:hAnsi="仿宋_GB2312" w:eastAsia="仿宋_GB2312" w:cs="仿宋_GB2312"/>
          <w:sz w:val="32"/>
          <w:szCs w:val="32"/>
          <w:lang w:val="en-US" w:eastAsia="zh-CN"/>
        </w:rPr>
        <w:t>10月31日提交入库材料2家</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643" w:firstLineChars="200"/>
        <w:textAlignment w:val="auto"/>
        <w:rPr>
          <w:rFonts w:hint="eastAsia" w:ascii="黑体" w:hAnsi="黑体" w:eastAsia="黑体" w:cs="黑体"/>
          <w:b/>
          <w:bCs/>
          <w:sz w:val="32"/>
          <w:szCs w:val="32"/>
          <w:lang w:eastAsia="zh-CN"/>
        </w:rPr>
      </w:pPr>
      <w:r>
        <w:rPr>
          <w:rFonts w:hint="eastAsia" w:ascii="黑体" w:hAnsi="黑体" w:eastAsia="黑体" w:cs="黑体"/>
          <w:b/>
          <w:bCs/>
          <w:sz w:val="32"/>
          <w:szCs w:val="32"/>
          <w:lang w:eastAsia="zh-CN"/>
        </w:rPr>
        <w:t>三、紧盯经济运行短板与问题，筑牢高质量发展根基</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前三季度全区经济总体保持恢复向好态势，体现出较强的韧性和活力。但也要看到，外部环境更趋复杂严峻，市场需求仍显不足，经济回升向好基础仍需巩固。</w:t>
      </w:r>
    </w:p>
    <w:p>
      <w:pPr>
        <w:keepNext w:val="0"/>
        <w:keepLines w:val="0"/>
        <w:pageBreakBefore w:val="0"/>
        <w:widowControl w:val="0"/>
        <w:numPr>
          <w:ilvl w:val="0"/>
          <w:numId w:val="1"/>
        </w:numPr>
        <w:kinsoku/>
        <w:wordWrap/>
        <w:overflowPunct/>
        <w:topLinePunct w:val="0"/>
        <w:autoSpaceDE/>
        <w:autoSpaceDN/>
        <w:bidi w:val="0"/>
        <w:adjustRightInd/>
        <w:snapToGrid/>
        <w:spacing w:line="480" w:lineRule="auto"/>
        <w:ind w:firstLine="643" w:firstLineChars="2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GDP缺乏有效支撑</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长期支撑全区GDP总量和增速的第二产业和第三产业结构不合理，市场主体活跃度缺失。分产业看：第二产业，无大型企业和高资质建筑业支撑。全区规模以上工业企业91家均为中小型企业，规模以下样本企业14家，建筑业企业17家无一级资质的企业，其中工业增速-0.22%，建筑业增速22.3%，其中新入库企业河南托阳建筑工程有限公司总产值2.49亿元，直接拉升二产增加值增速2.1个百分点，二产增加值由负转正；第三产业，营利性服务业量少质差，营利性服务1家云乡源商贸前三季度增速-99.78%，其他营利性服务业3家增速-0.7%，4家企业合计下拉GDP增速0.5个百分点。</w:t>
      </w:r>
    </w:p>
    <w:p>
      <w:pPr>
        <w:keepNext w:val="0"/>
        <w:keepLines w:val="0"/>
        <w:pageBreakBefore w:val="0"/>
        <w:widowControl w:val="0"/>
        <w:numPr>
          <w:ilvl w:val="0"/>
          <w:numId w:val="1"/>
        </w:numPr>
        <w:kinsoku/>
        <w:wordWrap/>
        <w:overflowPunct/>
        <w:topLinePunct w:val="0"/>
        <w:autoSpaceDE/>
        <w:autoSpaceDN/>
        <w:bidi w:val="0"/>
        <w:adjustRightInd/>
        <w:snapToGrid/>
        <w:spacing w:line="480" w:lineRule="auto"/>
        <w:ind w:left="0" w:leftChars="0"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工业行业结构急需优化</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规模以上工业企业在库</w:t>
      </w:r>
      <w:r>
        <w:rPr>
          <w:rFonts w:hint="eastAsia" w:ascii="仿宋_GB2312" w:hAnsi="仿宋_GB2312" w:eastAsia="仿宋_GB2312" w:cs="仿宋_GB2312"/>
          <w:sz w:val="32"/>
          <w:szCs w:val="32"/>
          <w:lang w:val="en-US" w:eastAsia="zh-CN"/>
        </w:rPr>
        <w:t>9</w:t>
      </w:r>
      <w:r>
        <w:rPr>
          <w:rFonts w:hint="default" w:ascii="仿宋_GB2312" w:hAnsi="仿宋_GB2312" w:eastAsia="仿宋_GB2312" w:cs="仿宋_GB2312"/>
          <w:sz w:val="32"/>
          <w:szCs w:val="32"/>
          <w:lang w:val="en-US" w:eastAsia="zh-CN"/>
        </w:rPr>
        <w:t>1家，其中，中型企业4家，小型企业</w:t>
      </w:r>
      <w:r>
        <w:rPr>
          <w:rFonts w:hint="eastAsia" w:ascii="仿宋_GB2312" w:hAnsi="仿宋_GB2312" w:eastAsia="仿宋_GB2312" w:cs="仿宋_GB2312"/>
          <w:sz w:val="32"/>
          <w:szCs w:val="32"/>
          <w:lang w:val="en-US" w:eastAsia="zh-CN"/>
        </w:rPr>
        <w:t>71</w:t>
      </w:r>
      <w:r>
        <w:rPr>
          <w:rFonts w:hint="default" w:ascii="仿宋_GB2312" w:hAnsi="仿宋_GB2312" w:eastAsia="仿宋_GB2312" w:cs="仿宋_GB2312"/>
          <w:sz w:val="32"/>
          <w:szCs w:val="32"/>
          <w:lang w:val="en-US" w:eastAsia="zh-CN"/>
        </w:rPr>
        <w:t>家，微型企业</w:t>
      </w:r>
      <w:r>
        <w:rPr>
          <w:rFonts w:hint="eastAsia" w:ascii="仿宋_GB2312" w:hAnsi="仿宋_GB2312" w:eastAsia="仿宋_GB2312" w:cs="仿宋_GB2312"/>
          <w:sz w:val="32"/>
          <w:szCs w:val="32"/>
          <w:lang w:val="en-US" w:eastAsia="zh-CN"/>
        </w:rPr>
        <w:t>16</w:t>
      </w:r>
      <w:r>
        <w:rPr>
          <w:rFonts w:hint="default" w:ascii="仿宋_GB2312" w:hAnsi="仿宋_GB2312" w:eastAsia="仿宋_GB2312" w:cs="仿宋_GB2312"/>
          <w:sz w:val="32"/>
          <w:szCs w:val="32"/>
          <w:lang w:val="en-US" w:eastAsia="zh-CN"/>
        </w:rPr>
        <w:t>家</w:t>
      </w:r>
      <w:r>
        <w:rPr>
          <w:rFonts w:hint="eastAsia" w:ascii="仿宋_GB2312" w:hAnsi="仿宋_GB2312" w:eastAsia="仿宋_GB2312" w:cs="仿宋_GB2312"/>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一是</w:t>
      </w:r>
      <w:r>
        <w:rPr>
          <w:rFonts w:hint="default" w:ascii="仿宋_GB2312" w:hAnsi="仿宋_GB2312" w:eastAsia="仿宋_GB2312" w:cs="仿宋_GB2312"/>
          <w:sz w:val="32"/>
          <w:szCs w:val="32"/>
          <w:lang w:val="en-US" w:eastAsia="zh-CN"/>
        </w:rPr>
        <w:t>工业结构中无大型企业支撑、拉动，</w:t>
      </w:r>
      <w:r>
        <w:rPr>
          <w:rFonts w:hint="eastAsia" w:ascii="仿宋_GB2312" w:hAnsi="仿宋_GB2312" w:eastAsia="仿宋_GB2312" w:cs="仿宋_GB2312"/>
          <w:sz w:val="32"/>
          <w:szCs w:val="32"/>
          <w:lang w:val="en-US" w:eastAsia="zh-CN"/>
        </w:rPr>
        <w:t>小微</w:t>
      </w:r>
      <w:r>
        <w:rPr>
          <w:rFonts w:hint="default" w:ascii="仿宋_GB2312" w:hAnsi="仿宋_GB2312" w:eastAsia="仿宋_GB2312" w:cs="仿宋_GB2312"/>
          <w:sz w:val="32"/>
          <w:szCs w:val="32"/>
          <w:lang w:val="en-US" w:eastAsia="zh-CN"/>
        </w:rPr>
        <w:t>型企业主导全区</w:t>
      </w:r>
      <w:r>
        <w:rPr>
          <w:rFonts w:hint="eastAsia" w:ascii="仿宋_GB2312" w:hAnsi="仿宋_GB2312" w:eastAsia="仿宋_GB2312" w:cs="仿宋_GB2312"/>
          <w:sz w:val="32"/>
          <w:szCs w:val="32"/>
          <w:lang w:val="en-US" w:eastAsia="zh-CN"/>
        </w:rPr>
        <w:t>稳增长</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从数据看。</w:t>
      </w:r>
      <w:r>
        <w:rPr>
          <w:rFonts w:hint="default" w:ascii="仿宋_GB2312" w:hAnsi="仿宋_GB2312" w:eastAsia="仿宋_GB2312" w:cs="仿宋_GB2312"/>
          <w:sz w:val="32"/>
          <w:szCs w:val="32"/>
          <w:lang w:val="en-US" w:eastAsia="zh-CN"/>
        </w:rPr>
        <w:t>前三季度中型企业完成增加值</w:t>
      </w:r>
      <w:r>
        <w:rPr>
          <w:rFonts w:hint="eastAsia" w:ascii="仿宋_GB2312" w:hAnsi="仿宋_GB2312" w:eastAsia="仿宋_GB2312" w:cs="仿宋_GB2312"/>
          <w:sz w:val="32"/>
          <w:szCs w:val="32"/>
          <w:lang w:val="en-US" w:eastAsia="zh-CN"/>
        </w:rPr>
        <w:t>3.05亿元</w:t>
      </w:r>
      <w:r>
        <w:rPr>
          <w:rFonts w:hint="default" w:ascii="仿宋_GB2312" w:hAnsi="仿宋_GB2312" w:eastAsia="仿宋_GB2312" w:cs="仿宋_GB2312"/>
          <w:sz w:val="32"/>
          <w:szCs w:val="32"/>
          <w:lang w:val="en-US" w:eastAsia="zh-CN"/>
        </w:rPr>
        <w:t>，同比</w:t>
      </w:r>
      <w:r>
        <w:rPr>
          <w:rFonts w:hint="eastAsia" w:ascii="仿宋_GB2312" w:hAnsi="仿宋_GB2312" w:eastAsia="仿宋_GB2312" w:cs="仿宋_GB2312"/>
          <w:sz w:val="32"/>
          <w:szCs w:val="32"/>
          <w:lang w:val="en-US" w:eastAsia="zh-CN"/>
        </w:rPr>
        <w:t>增长5.5</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占</w:t>
      </w:r>
      <w:r>
        <w:rPr>
          <w:rFonts w:hint="default" w:ascii="仿宋_GB2312" w:hAnsi="仿宋_GB2312" w:eastAsia="仿宋_GB2312" w:cs="仿宋_GB2312"/>
          <w:sz w:val="32"/>
          <w:szCs w:val="32"/>
          <w:lang w:val="en-US" w:eastAsia="zh-CN"/>
        </w:rPr>
        <w:t>全区增加值</w:t>
      </w:r>
      <w:r>
        <w:rPr>
          <w:rFonts w:hint="eastAsia" w:ascii="仿宋_GB2312" w:hAnsi="仿宋_GB2312" w:eastAsia="仿宋_GB2312" w:cs="仿宋_GB2312"/>
          <w:sz w:val="32"/>
          <w:szCs w:val="32"/>
          <w:lang w:val="en-US" w:eastAsia="zh-CN"/>
        </w:rPr>
        <w:t>比重24.9</w:t>
      </w:r>
      <w:r>
        <w:rPr>
          <w:rFonts w:hint="default" w:ascii="仿宋_GB2312" w:hAnsi="仿宋_GB2312" w:eastAsia="仿宋_GB2312" w:cs="仿宋_GB2312"/>
          <w:sz w:val="32"/>
          <w:szCs w:val="32"/>
          <w:lang w:val="en-US" w:eastAsia="zh-CN"/>
        </w:rPr>
        <w:t>个百分点；小型企业完成增加值</w:t>
      </w:r>
      <w:r>
        <w:rPr>
          <w:rFonts w:hint="eastAsia" w:ascii="仿宋_GB2312" w:hAnsi="仿宋_GB2312" w:eastAsia="仿宋_GB2312" w:cs="仿宋_GB2312"/>
          <w:sz w:val="32"/>
          <w:szCs w:val="32"/>
          <w:lang w:val="en-US" w:eastAsia="zh-CN"/>
        </w:rPr>
        <w:t>8.69亿元</w:t>
      </w:r>
      <w:r>
        <w:rPr>
          <w:rFonts w:hint="default" w:ascii="仿宋_GB2312" w:hAnsi="仿宋_GB2312" w:eastAsia="仿宋_GB2312" w:cs="仿宋_GB2312"/>
          <w:sz w:val="32"/>
          <w:szCs w:val="32"/>
          <w:lang w:val="en-US" w:eastAsia="zh-CN"/>
        </w:rPr>
        <w:t>，同比增长</w:t>
      </w:r>
      <w:r>
        <w:rPr>
          <w:rFonts w:hint="eastAsia" w:ascii="仿宋_GB2312" w:hAnsi="仿宋_GB2312" w:eastAsia="仿宋_GB2312" w:cs="仿宋_GB2312"/>
          <w:sz w:val="32"/>
          <w:szCs w:val="32"/>
          <w:lang w:val="en-US" w:eastAsia="zh-CN"/>
        </w:rPr>
        <w:t>0.1</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占</w:t>
      </w:r>
      <w:r>
        <w:rPr>
          <w:rFonts w:hint="default" w:ascii="仿宋_GB2312" w:hAnsi="仿宋_GB2312" w:eastAsia="仿宋_GB2312" w:cs="仿宋_GB2312"/>
          <w:sz w:val="32"/>
          <w:szCs w:val="32"/>
          <w:lang w:val="en-US" w:eastAsia="zh-CN"/>
        </w:rPr>
        <w:t>全区增加值</w:t>
      </w:r>
      <w:r>
        <w:rPr>
          <w:rFonts w:hint="eastAsia" w:ascii="仿宋_GB2312" w:hAnsi="仿宋_GB2312" w:eastAsia="仿宋_GB2312" w:cs="仿宋_GB2312"/>
          <w:sz w:val="32"/>
          <w:szCs w:val="32"/>
          <w:lang w:val="en-US" w:eastAsia="zh-CN"/>
        </w:rPr>
        <w:t>比重70.9</w:t>
      </w:r>
      <w:r>
        <w:rPr>
          <w:rFonts w:hint="default" w:ascii="仿宋_GB2312" w:hAnsi="仿宋_GB2312" w:eastAsia="仿宋_GB2312" w:cs="仿宋_GB2312"/>
          <w:sz w:val="32"/>
          <w:szCs w:val="32"/>
          <w:lang w:val="en-US" w:eastAsia="zh-CN"/>
        </w:rPr>
        <w:t>个百分点；</w:t>
      </w:r>
      <w:r>
        <w:rPr>
          <w:rFonts w:hint="eastAsia" w:ascii="仿宋_GB2312" w:hAnsi="仿宋_GB2312" w:eastAsia="仿宋_GB2312" w:cs="仿宋_GB2312"/>
          <w:sz w:val="32"/>
          <w:szCs w:val="32"/>
          <w:lang w:val="en-US" w:eastAsia="zh-CN"/>
        </w:rPr>
        <w:t>微型企业完成增加值0.51亿元，同比下降35.5%，占</w:t>
      </w:r>
      <w:r>
        <w:rPr>
          <w:rFonts w:hint="default" w:ascii="仿宋_GB2312" w:hAnsi="仿宋_GB2312" w:eastAsia="仿宋_GB2312" w:cs="仿宋_GB2312"/>
          <w:sz w:val="32"/>
          <w:szCs w:val="32"/>
          <w:lang w:val="en-US" w:eastAsia="zh-CN"/>
        </w:rPr>
        <w:t>全区增加值</w:t>
      </w:r>
      <w:r>
        <w:rPr>
          <w:rFonts w:hint="eastAsia" w:ascii="仿宋_GB2312" w:hAnsi="仿宋_GB2312" w:eastAsia="仿宋_GB2312" w:cs="仿宋_GB2312"/>
          <w:sz w:val="32"/>
          <w:szCs w:val="32"/>
          <w:lang w:val="en-US" w:eastAsia="zh-CN"/>
        </w:rPr>
        <w:t>比重4.2%，</w:t>
      </w:r>
      <w:r>
        <w:rPr>
          <w:rFonts w:hint="default" w:ascii="仿宋_GB2312" w:hAnsi="仿宋_GB2312" w:eastAsia="仿宋_GB2312" w:cs="仿宋_GB2312"/>
          <w:sz w:val="32"/>
          <w:szCs w:val="32"/>
          <w:lang w:val="en-US" w:eastAsia="zh-CN"/>
        </w:rPr>
        <w:t>小型企业数据的高低直接影响全区增速的走向</w:t>
      </w:r>
      <w:r>
        <w:rPr>
          <w:rFonts w:hint="eastAsia" w:ascii="仿宋_GB2312" w:hAnsi="仿宋_GB2312" w:eastAsia="仿宋_GB2312" w:cs="仿宋_GB2312"/>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二是</w:t>
      </w:r>
      <w:r>
        <w:rPr>
          <w:rFonts w:hint="default" w:ascii="仿宋_GB2312" w:hAnsi="仿宋_GB2312" w:eastAsia="仿宋_GB2312" w:cs="仿宋_GB2312"/>
          <w:sz w:val="32"/>
          <w:szCs w:val="32"/>
          <w:lang w:val="en-US" w:eastAsia="zh-CN"/>
        </w:rPr>
        <w:t>全区工业企业大多为传统加工制造业</w:t>
      </w:r>
      <w:r>
        <w:rPr>
          <w:rFonts w:hint="eastAsia" w:ascii="仿宋_GB2312" w:hAnsi="仿宋_GB2312" w:eastAsia="仿宋_GB2312" w:cs="仿宋_GB2312"/>
          <w:sz w:val="32"/>
          <w:szCs w:val="32"/>
          <w:lang w:val="en-US" w:eastAsia="zh-CN"/>
        </w:rPr>
        <w:t>，如水泥及水泥制品制造业（18家），铜加工业（8家）</w:t>
      </w:r>
      <w:r>
        <w:rPr>
          <w:rFonts w:hint="default" w:ascii="仿宋_GB2312" w:hAnsi="仿宋_GB2312" w:eastAsia="仿宋_GB2312" w:cs="仿宋_GB2312"/>
          <w:sz w:val="32"/>
          <w:szCs w:val="32"/>
          <w:lang w:val="en-US" w:eastAsia="zh-CN"/>
        </w:rPr>
        <w:t>，且多数处于劳动密集型的加工配套初级环节，产品附加值较低、产业链条短、利润小，缺乏市场竞争力</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生存空间被挤压。</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（三）固定资产投资增长不确定性增加</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一是</w:t>
      </w:r>
      <w:r>
        <w:rPr>
          <w:rFonts w:hint="default" w:ascii="仿宋_GB2312" w:hAnsi="仿宋_GB2312" w:eastAsia="仿宋_GB2312" w:cs="仿宋_GB2312"/>
          <w:sz w:val="32"/>
          <w:szCs w:val="32"/>
          <w:lang w:val="en-US" w:eastAsia="zh-CN"/>
        </w:rPr>
        <w:t>项目入库难，新开项目少。随着统计造假屡禁难绝专项行动的不断深入，项目入库资料的审核把关越来越严格，导致项目入库数量不多。加上目前</w:t>
      </w:r>
      <w:r>
        <w:rPr>
          <w:rFonts w:hint="eastAsia" w:ascii="仿宋_GB2312" w:hAnsi="仿宋_GB2312" w:eastAsia="仿宋_GB2312" w:cs="仿宋_GB2312"/>
          <w:sz w:val="32"/>
          <w:szCs w:val="32"/>
          <w:lang w:val="en-US" w:eastAsia="zh-CN"/>
        </w:rPr>
        <w:t>全</w:t>
      </w:r>
      <w:r>
        <w:rPr>
          <w:rFonts w:hint="default" w:ascii="仿宋_GB2312" w:hAnsi="仿宋_GB2312" w:eastAsia="仿宋_GB2312" w:cs="仿宋_GB2312"/>
          <w:sz w:val="32"/>
          <w:szCs w:val="32"/>
          <w:lang w:val="en-US" w:eastAsia="zh-CN"/>
        </w:rPr>
        <w:t>区较大项目尚未开工、入库，数据上报没有支撑。</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二是</w:t>
      </w:r>
      <w:r>
        <w:rPr>
          <w:rFonts w:hint="default" w:ascii="仿宋_GB2312" w:hAnsi="仿宋_GB2312" w:eastAsia="仿宋_GB2312" w:cs="仿宋_GB2312"/>
          <w:sz w:val="32"/>
          <w:szCs w:val="32"/>
          <w:lang w:val="en-US" w:eastAsia="zh-CN"/>
        </w:rPr>
        <w:t>投资数据上报审核要求越发严格。随着专项行动的不断深入，投资数据上报凭证要求越来越高，在项目入库时需要提供的材料更具体更详细；尤其对总量较大、增速较高和项目计划总投资增速异常的地方投资项目加大了核查力度。国家、省的一系列动作要求，增加了数据认定难度，对后续投资数据上报、认定带来了较大的不确定性。</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（四）零售行业支撑力薄弱</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一是</w:t>
      </w:r>
      <w:r>
        <w:rPr>
          <w:rFonts w:hint="default" w:ascii="仿宋_GB2312" w:hAnsi="仿宋_GB2312" w:eastAsia="仿宋_GB2312" w:cs="仿宋_GB2312"/>
          <w:sz w:val="32"/>
          <w:szCs w:val="32"/>
          <w:lang w:val="en-US" w:eastAsia="zh-CN"/>
        </w:rPr>
        <w:t>零售在库企业少。全区限上零售企业7家，参与零售额核算的大个体有10家，这17家企业（个体）基本全是超市、家电销售，行业单一、门类缺失；同时，这17家企业（个体）基本无大体量企业，不能有效拉动社会消费品零售总额增速。</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二是</w:t>
      </w:r>
      <w:r>
        <w:rPr>
          <w:rFonts w:hint="default" w:ascii="仿宋_GB2312" w:hAnsi="仿宋_GB2312" w:eastAsia="仿宋_GB2312" w:cs="仿宋_GB2312"/>
          <w:sz w:val="32"/>
          <w:szCs w:val="32"/>
          <w:lang w:val="en-US" w:eastAsia="zh-CN"/>
        </w:rPr>
        <w:t>地理位置限制商业发展。距离市主城区比较发达的红旗区、牧野区较近，居民衣食住行各方面消费倾向于去上述地区的大商场</w:t>
      </w:r>
      <w:r>
        <w:rPr>
          <w:rFonts w:hint="eastAsia" w:ascii="仿宋_GB2312" w:hAnsi="仿宋_GB2312" w:eastAsia="仿宋_GB2312" w:cs="仿宋_GB2312"/>
          <w:sz w:val="32"/>
          <w:szCs w:val="32"/>
          <w:lang w:val="en-US" w:eastAsia="zh-CN"/>
        </w:rPr>
        <w:t>消费</w:t>
      </w:r>
      <w:r>
        <w:rPr>
          <w:rFonts w:hint="default" w:ascii="仿宋_GB2312" w:hAnsi="仿宋_GB2312" w:eastAsia="仿宋_GB2312" w:cs="仿宋_GB2312"/>
          <w:sz w:val="32"/>
          <w:szCs w:val="32"/>
          <w:lang w:val="en-US" w:eastAsia="zh-CN"/>
        </w:rPr>
        <w:t>，导致</w:t>
      </w:r>
      <w:r>
        <w:rPr>
          <w:rFonts w:hint="eastAsia" w:ascii="仿宋_GB2312" w:hAnsi="仿宋_GB2312" w:eastAsia="仿宋_GB2312" w:cs="仿宋_GB2312"/>
          <w:sz w:val="32"/>
          <w:szCs w:val="32"/>
          <w:lang w:val="en-US" w:eastAsia="zh-CN"/>
        </w:rPr>
        <w:t>全</w:t>
      </w:r>
      <w:r>
        <w:rPr>
          <w:rFonts w:hint="default" w:ascii="仿宋_GB2312" w:hAnsi="仿宋_GB2312" w:eastAsia="仿宋_GB2312" w:cs="仿宋_GB2312"/>
          <w:sz w:val="32"/>
          <w:szCs w:val="32"/>
          <w:lang w:val="en-US" w:eastAsia="zh-CN"/>
        </w:rPr>
        <w:t>区零售行业主要以超市为主，基本没有大的商业综合体。</w:t>
      </w:r>
    </w:p>
    <w:p>
      <w:pPr>
        <w:keepNext w:val="0"/>
        <w:keepLines w:val="0"/>
        <w:pageBreakBefore w:val="0"/>
        <w:widowControl w:val="0"/>
        <w:numPr>
          <w:ilvl w:val="0"/>
          <w:numId w:val="2"/>
        </w:numPr>
        <w:kinsoku/>
        <w:wordWrap/>
        <w:overflowPunct/>
        <w:topLinePunct w:val="0"/>
        <w:autoSpaceDE/>
        <w:autoSpaceDN/>
        <w:bidi w:val="0"/>
        <w:adjustRightInd/>
        <w:snapToGrid/>
        <w:spacing w:line="480" w:lineRule="auto"/>
        <w:ind w:firstLine="643" w:firstLineChars="200"/>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下步举措</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四季度</w:t>
      </w:r>
      <w:r>
        <w:rPr>
          <w:rFonts w:hint="default" w:ascii="仿宋_GB2312" w:hAnsi="仿宋_GB2312" w:eastAsia="仿宋_GB2312" w:cs="仿宋_GB2312"/>
          <w:sz w:val="32"/>
          <w:szCs w:val="32"/>
          <w:lang w:val="en-US" w:eastAsia="zh-CN"/>
        </w:rPr>
        <w:t>，坚持稳中求进工作总基调，围绕高质量发展这个首要任务，正视压力、坚定信心</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迎难而上，确保完成全年目标，努力争取最好结果，扎实推动高质量发展。</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643" w:firstLineChars="200"/>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一是提高政治站位，统一思想、加强认识。</w:t>
      </w:r>
      <w:r>
        <w:rPr>
          <w:rFonts w:hint="default" w:ascii="仿宋_GB2312" w:hAnsi="仿宋_GB2312" w:eastAsia="仿宋_GB2312" w:cs="仿宋_GB2312"/>
          <w:sz w:val="32"/>
          <w:szCs w:val="32"/>
          <w:lang w:val="en-US" w:eastAsia="zh-CN"/>
        </w:rPr>
        <w:t>全区树立防范统计造假不是躺平的观念，做实做细做懂统计工作，防止虚报的同时，更要防止瞒报、漏报。</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二是把控时间节点，确保企业应入尽入。</w:t>
      </w:r>
      <w:r>
        <w:rPr>
          <w:rFonts w:hint="eastAsia" w:ascii="仿宋_GB2312" w:hAnsi="仿宋_GB2312" w:eastAsia="仿宋_GB2312" w:cs="仿宋_GB2312"/>
          <w:sz w:val="32"/>
          <w:szCs w:val="32"/>
          <w:lang w:val="en-US" w:eastAsia="zh-CN"/>
        </w:rPr>
        <w:t>11月份是“四上”企业入库的窗口期，应高度重视“四上”企业入库工作，要真正认识到只有“四上”企业数量多、规模大，质量高，储备完善，区域经济可持续发展才有支撑点，落脚点。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三是紧盯短板行业发展，促进全区经济平稳较好发展。</w:t>
      </w:r>
      <w:r>
        <w:rPr>
          <w:rFonts w:hint="eastAsia" w:ascii="仿宋_GB2312" w:hAnsi="仿宋_GB2312" w:eastAsia="仿宋_GB2312" w:cs="仿宋_GB2312"/>
          <w:sz w:val="32"/>
          <w:szCs w:val="32"/>
          <w:lang w:val="en-US" w:eastAsia="zh-CN"/>
        </w:rPr>
        <w:t>通过万人助万企、招商引资等抓手，深入工业、商业企业调研，梳理共性问题、关注个性困难。着重对三新企业的招引，逐步优化改善行业结构，填补目前的行业空白，综合带动全区经济发展。</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643" w:firstLineChars="200"/>
        <w:textAlignment w:val="auto"/>
        <w:rPr>
          <w:rFonts w:hint="default" w:ascii="仿宋_GB2312" w:hAnsi="仿宋_GB2312" w:eastAsia="仿宋_GB2312" w:cs="仿宋_GB2312"/>
          <w:sz w:val="32"/>
          <w:szCs w:val="32"/>
          <w:lang w:val="en-US" w:eastAsia="zh-CN"/>
        </w:rPr>
      </w:pPr>
      <w:bookmarkStart w:id="0" w:name="_GoBack"/>
      <w:r>
        <w:rPr>
          <w:rFonts w:hint="eastAsia" w:ascii="楷体_GB2312" w:hAnsi="楷体_GB2312" w:eastAsia="楷体_GB2312" w:cs="楷体_GB2312"/>
          <w:b/>
          <w:bCs/>
          <w:sz w:val="32"/>
          <w:szCs w:val="32"/>
          <w:lang w:val="en-US" w:eastAsia="zh-CN"/>
        </w:rPr>
        <w:t>四是加强部门联动，厚植高质量发展的经济基础。</w:t>
      </w:r>
      <w:bookmarkEnd w:id="0"/>
      <w:r>
        <w:rPr>
          <w:rFonts w:hint="eastAsia" w:ascii="仿宋_GB2312" w:hAnsi="仿宋_GB2312" w:eastAsia="仿宋_GB2312" w:cs="仿宋_GB2312"/>
          <w:sz w:val="32"/>
          <w:szCs w:val="32"/>
          <w:lang w:val="en-US" w:eastAsia="zh-CN"/>
        </w:rPr>
        <w:t>统计部门是各项经济指标的预测、汇总、上报、分析的责任单位，和其他相关经济部门需团结协作，相辅相成，荣辱与共。只有全区各个相关部门，切实负起责任，勇担义务，齐抓共管，才能形成良好的干事创业氛围，厚植高质量发展的经济基础。</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auto"/>
    <w:pitch w:val="default"/>
    <w:sig w:usb0="A00002EF" w:usb1="4000207B" w:usb2="00000000" w:usb3="00000000" w:csb0="2000019F" w:csb1="00000000"/>
  </w:font>
  <w:font w:name="+中文标题">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9679C0"/>
    <w:multiLevelType w:val="singleLevel"/>
    <w:tmpl w:val="FD9679C0"/>
    <w:lvl w:ilvl="0" w:tentative="0">
      <w:start w:val="4"/>
      <w:numFmt w:val="chineseCounting"/>
      <w:suff w:val="nothing"/>
      <w:lvlText w:val="%1、"/>
      <w:lvlJc w:val="left"/>
      <w:rPr>
        <w:rFonts w:hint="eastAsia"/>
      </w:rPr>
    </w:lvl>
  </w:abstractNum>
  <w:abstractNum w:abstractNumId="1">
    <w:nsid w:val="2A1AAA26"/>
    <w:multiLevelType w:val="singleLevel"/>
    <w:tmpl w:val="2A1AAA26"/>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1ZWUwZDczMWZiNGEyOTVlNjViMzMyNDJlMGI5MmUifQ=="/>
  </w:docVars>
  <w:rsids>
    <w:rsidRoot w:val="6CE33C9D"/>
    <w:rsid w:val="021A09FD"/>
    <w:rsid w:val="023C25AE"/>
    <w:rsid w:val="1B6D7998"/>
    <w:rsid w:val="202E6440"/>
    <w:rsid w:val="22D95913"/>
    <w:rsid w:val="232B0864"/>
    <w:rsid w:val="28E61822"/>
    <w:rsid w:val="30DB6CFA"/>
    <w:rsid w:val="32E77BD8"/>
    <w:rsid w:val="3491636D"/>
    <w:rsid w:val="3FB5178A"/>
    <w:rsid w:val="41744D2D"/>
    <w:rsid w:val="496B7101"/>
    <w:rsid w:val="50B22B41"/>
    <w:rsid w:val="583C7693"/>
    <w:rsid w:val="60824919"/>
    <w:rsid w:val="624F64A4"/>
    <w:rsid w:val="6CE33C9D"/>
    <w:rsid w:val="71257C6E"/>
    <w:rsid w:val="735018BD"/>
    <w:rsid w:val="75AF3FAA"/>
    <w:rsid w:val="793F1D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4" Type="http://schemas.microsoft.com/office/2011/relationships/chartColorStyle" Target="colors1.xml"/><Relationship Id="rId3" Type="http://schemas.microsoft.com/office/2011/relationships/chartStyle" Target="style1.xml"/><Relationship Id="rId2" Type="http://schemas.openxmlformats.org/officeDocument/2006/relationships/themeOverride" Target="../theme/themeOverride1.xml"/><Relationship Id="rId1" Type="http://schemas.openxmlformats.org/officeDocument/2006/relationships/oleObject" Target="file:///C:\Users\Administrator\Desktop\&#22270;&#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a:defRPr lang="zh-CN" sz="1200" b="0" i="0" u="none" strike="noStrike" kern="1200" cap="none" spc="0" normalizeH="0" baseline="0">
                <a:solidFill>
                  <a:schemeClr val="tx1"/>
                </a:solidFill>
                <a:uFill>
                  <a:solidFill>
                    <a:schemeClr val="tx1"/>
                  </a:solidFill>
                </a:uFill>
                <a:latin typeface="宋体" panose="02010600030101010101" charset="-122"/>
                <a:ea typeface="微软雅黑" panose="020B0503020204020204" pitchFamily="34" charset="-122"/>
                <a:cs typeface="+mj-lt"/>
                <a:sym typeface="+mj-lt"/>
              </a:defRPr>
            </a:pPr>
            <a:r>
              <a:rPr lang="en-US" altLang="zh-CN" sz="1200" b="1" u="none" strike="noStrike" cap="none" normalizeH="0">
                <a:solidFill>
                  <a:schemeClr val="tx1"/>
                </a:solidFill>
                <a:uFill>
                  <a:solidFill>
                    <a:schemeClr val="tx1"/>
                  </a:solidFill>
                </a:uFill>
                <a:latin typeface="方正小标宋简体" panose="02000000000000000000" charset="-122"/>
                <a:ea typeface="方正小标宋简体" panose="02000000000000000000" charset="-122"/>
                <a:cs typeface="方正小标宋简体" panose="02000000000000000000" charset="-122"/>
              </a:rPr>
              <a:t>2023</a:t>
            </a:r>
            <a:r>
              <a:rPr altLang="en-US" sz="1200" b="1" u="none" strike="noStrike" cap="none" normalizeH="0">
                <a:solidFill>
                  <a:schemeClr val="tx1"/>
                </a:solidFill>
                <a:uFill>
                  <a:solidFill>
                    <a:schemeClr val="tx1"/>
                  </a:solidFill>
                </a:uFill>
                <a:latin typeface="方正小标宋简体" panose="02000000000000000000" charset="-122"/>
                <a:ea typeface="方正小标宋简体" panose="02000000000000000000" charset="-122"/>
                <a:cs typeface="方正小标宋简体" panose="02000000000000000000" charset="-122"/>
              </a:rPr>
              <a:t>年</a:t>
            </a:r>
            <a:r>
              <a:rPr lang="en-US" altLang="zh-CN" sz="1200" b="1" u="none" strike="noStrike" cap="none" normalizeH="0">
                <a:solidFill>
                  <a:schemeClr val="tx1"/>
                </a:solidFill>
                <a:uFill>
                  <a:solidFill>
                    <a:schemeClr val="tx1"/>
                  </a:solidFill>
                </a:uFill>
                <a:latin typeface="方正小标宋简体" panose="02000000000000000000" charset="-122"/>
                <a:ea typeface="方正小标宋简体" panose="02000000000000000000" charset="-122"/>
                <a:cs typeface="方正小标宋简体" panose="02000000000000000000" charset="-122"/>
              </a:rPr>
              <a:t>GDP</a:t>
            </a:r>
            <a:r>
              <a:rPr altLang="en-US" sz="1200" b="1" u="none" strike="noStrike" cap="none" normalizeH="0">
                <a:solidFill>
                  <a:schemeClr val="tx1"/>
                </a:solidFill>
                <a:uFill>
                  <a:solidFill>
                    <a:schemeClr val="tx1"/>
                  </a:solidFill>
                </a:uFill>
                <a:latin typeface="方正小标宋简体" panose="02000000000000000000" charset="-122"/>
                <a:ea typeface="方正小标宋简体" panose="02000000000000000000" charset="-122"/>
                <a:cs typeface="方正小标宋简体" panose="02000000000000000000" charset="-122"/>
              </a:rPr>
              <a:t>增速趋势</a:t>
            </a:r>
            <a:r>
              <a:rPr altLang="en-US" sz="1200" u="none" strike="noStrike" cap="none" normalizeH="0">
                <a:solidFill>
                  <a:schemeClr val="tx1"/>
                </a:solidFill>
                <a:uFill>
                  <a:solidFill>
                    <a:schemeClr val="tx1"/>
                  </a:solidFill>
                </a:uFill>
                <a:latin typeface="方正小标宋简体" panose="02000000000000000000" charset="-122"/>
                <a:ea typeface="方正小标宋简体" panose="02000000000000000000" charset="-122"/>
                <a:cs typeface="方正小标宋简体" panose="02000000000000000000" charset="-122"/>
              </a:rPr>
              <a:t>图</a:t>
            </a:r>
            <a:endParaRPr altLang="en-US" sz="1200" u="none" strike="noStrike" cap="none" normalizeH="0">
              <a:solidFill>
                <a:schemeClr val="tx1"/>
              </a:solidFill>
              <a:uFill>
                <a:solidFill>
                  <a:schemeClr val="tx1"/>
                </a:solidFill>
              </a:uFill>
              <a:latin typeface="方正小标宋简体" panose="02000000000000000000" charset="-122"/>
              <a:ea typeface="方正小标宋简体" panose="02000000000000000000" charset="-122"/>
              <a:cs typeface="方正小标宋简体" panose="02000000000000000000" charset="-122"/>
            </a:endParaRPr>
          </a:p>
        </c:rich>
      </c:tx>
      <c:layout>
        <c:manualLayout>
          <c:xMode val="edge"/>
          <c:yMode val="edge"/>
          <c:x val="0.303030529122818"/>
          <c:y val="0.0296350428996745"/>
        </c:manualLayout>
      </c:layout>
      <c:overlay val="0"/>
      <c:spPr>
        <a:gradFill>
          <a:gsLst>
            <a:gs pos="0">
              <a:srgbClr val="C1D0C9"/>
            </a:gs>
            <a:gs pos="100000">
              <a:srgbClr val="878D69"/>
            </a:gs>
          </a:gsLst>
          <a:lin ang="5400000" scaled="1"/>
        </a:gradFill>
        <a:ln>
          <a:noFill/>
        </a:ln>
        <a:effectLst/>
      </c:spPr>
    </c:title>
    <c:autoTitleDeleted val="0"/>
    <c:plotArea>
      <c:layout/>
      <c:lineChart>
        <c:grouping val="standard"/>
        <c:varyColors val="0"/>
        <c:ser>
          <c:idx val="0"/>
          <c:order val="0"/>
          <c:spPr>
            <a:ln w="28575" cap="rnd" cmpd="sng">
              <a:solidFill>
                <a:schemeClr val="accent1"/>
              </a:solidFill>
              <a:prstDash val="solid"/>
              <a:round/>
            </a:ln>
            <a:effectLst/>
          </c:spPr>
          <c:marker>
            <c:symbol val="none"/>
          </c:marker>
          <c:dLbls>
            <c:spPr>
              <a:noFill/>
              <a:ln>
                <a:noFill/>
              </a:ln>
              <a:effectLst/>
            </c:spPr>
            <c:txPr>
              <a:bodyPr rot="0" spcFirstLastPara="0" vertOverflow="ellipsis" vert="horz" wrap="square" lIns="38100" tIns="19050" rIns="38100" bIns="19050" anchor="ctr" anchorCtr="1"/>
              <a:lstStyle/>
              <a:p>
                <a:pPr>
                  <a:defRPr lang="zh-CN" sz="1000" b="0" i="0" u="none" strike="noStrike" kern="1200" cap="none" spc="0" normalizeH="0" baseline="0">
                    <a:solidFill>
                      <a:schemeClr val="tx1"/>
                    </a:solidFill>
                    <a:uFill>
                      <a:solidFill>
                        <a:schemeClr val="tx1"/>
                      </a:solidFill>
                    </a:uFill>
                    <a:latin typeface="+中文标题" charset="0"/>
                    <a:ea typeface="仿宋" panose="02010609060101010101" charset="-122"/>
                    <a:cs typeface="+mj-lt"/>
                    <a:sym typeface="+mj-lt"/>
                  </a:defRPr>
                </a:pP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1"/>
                </a:solidFill>
                <a:prstDash val="sysDot"/>
              </a:ln>
              <a:effectLst/>
            </c:spPr>
            <c:trendlineType val="linear"/>
            <c:dispRSqr val="0"/>
            <c:dispEq val="0"/>
          </c:trendline>
          <c:cat>
            <c:strRef>
              <c:f>[图表.xlsx]Sheet1!$T$67:$T$71</c:f>
              <c:strCache>
                <c:ptCount val="5"/>
                <c:pt idx="0">
                  <c:v>一季度</c:v>
                </c:pt>
                <c:pt idx="1">
                  <c:v>二季度</c:v>
                </c:pt>
                <c:pt idx="2">
                  <c:v>上半年</c:v>
                </c:pt>
                <c:pt idx="3">
                  <c:v>三季度</c:v>
                </c:pt>
                <c:pt idx="4">
                  <c:v>前三季度</c:v>
                </c:pt>
              </c:strCache>
            </c:strRef>
          </c:cat>
          <c:val>
            <c:numRef>
              <c:f>[图表.xlsx]Sheet1!$U$67:$U$71</c:f>
              <c:numCache>
                <c:formatCode>General</c:formatCode>
                <c:ptCount val="5"/>
                <c:pt idx="0">
                  <c:v>4.7</c:v>
                </c:pt>
                <c:pt idx="1">
                  <c:v>-2.1</c:v>
                </c:pt>
                <c:pt idx="2">
                  <c:v>2.6</c:v>
                </c:pt>
                <c:pt idx="3">
                  <c:v>12.2</c:v>
                </c:pt>
                <c:pt idx="4">
                  <c:v>5.6</c:v>
                </c:pt>
              </c:numCache>
            </c:numRef>
          </c:val>
          <c:smooth val="1"/>
        </c:ser>
        <c:dLbls>
          <c:showLegendKey val="0"/>
          <c:showVal val="1"/>
          <c:showCatName val="0"/>
          <c:showSerName val="0"/>
          <c:showPercent val="0"/>
          <c:showBubbleSize val="0"/>
        </c:dLbls>
        <c:dropLines>
          <c:spPr>
            <a:ln w="12700" cap="flat" cmpd="sng" algn="ctr">
              <a:noFill/>
              <a:prstDash val="sysDash"/>
              <a:round/>
            </a:ln>
            <a:effectLst/>
          </c:spPr>
        </c:dropLines>
        <c:marker val="0"/>
        <c:smooth val="1"/>
        <c:axId val="526574751"/>
        <c:axId val="425494342"/>
      </c:lineChart>
      <c:catAx>
        <c:axId val="526574751"/>
        <c:scaling>
          <c:orientation val="minMax"/>
        </c:scaling>
        <c:delete val="0"/>
        <c:axPos val="b"/>
        <c:numFmt formatCode="General" sourceLinked="1"/>
        <c:majorTickMark val="out"/>
        <c:minorTickMark val="none"/>
        <c:tickLblPos val="nextTo"/>
        <c:spPr>
          <a:noFill/>
          <a:ln w="9525" cap="flat" cmpd="sng" algn="ctr">
            <a:solidFill>
              <a:schemeClr val="accent1"/>
            </a:solidFill>
            <a:round/>
          </a:ln>
          <a:effectLst/>
        </c:spPr>
        <c:txPr>
          <a:bodyPr rot="-60000000" spcFirstLastPara="0" vertOverflow="ellipsis" vert="horz" wrap="square" anchor="ctr" anchorCtr="1" forceAA="0"/>
          <a:lstStyle/>
          <a:p>
            <a:pPr>
              <a:defRPr lang="zh-CN" sz="1000" b="0" i="0" u="none" strike="noStrike" kern="1200" cap="none" spc="0" normalizeH="0" baseline="0">
                <a:solidFill>
                  <a:schemeClr val="tx1"/>
                </a:solidFill>
                <a:uFill>
                  <a:solidFill>
                    <a:schemeClr val="tx1"/>
                  </a:solidFill>
                </a:uFill>
                <a:latin typeface="+中文标题" charset="0"/>
                <a:ea typeface="微软雅黑" panose="020B0503020204020204" pitchFamily="34" charset="-122"/>
                <a:cs typeface="+mj-lt"/>
                <a:sym typeface="+mj-lt"/>
              </a:defRPr>
            </a:pPr>
          </a:p>
        </c:txPr>
        <c:crossAx val="425494342"/>
        <c:crosses val="autoZero"/>
        <c:auto val="1"/>
        <c:lblAlgn val="ctr"/>
        <c:lblOffset val="100"/>
        <c:noMultiLvlLbl val="0"/>
      </c:catAx>
      <c:valAx>
        <c:axId val="425494342"/>
        <c:scaling>
          <c:orientation val="minMax"/>
        </c:scaling>
        <c:delete val="0"/>
        <c:axPos val="l"/>
        <c:majorGridlines>
          <c:spPr>
            <a:ln w="12700" cap="flat" cmpd="sng" algn="ctr">
              <a:solidFill>
                <a:schemeClr val="bg1">
                  <a:lumMod val="95000"/>
                </a:schemeClr>
              </a:solidFill>
              <a:prstDash val="solid"/>
              <a:round/>
            </a:ln>
            <a:effectLst/>
          </c:spPr>
        </c:majorGridlines>
        <c:numFmt formatCode="General" sourceLinked="1"/>
        <c:majorTickMark val="out"/>
        <c:minorTickMark val="none"/>
        <c:tickLblPos val="nextTo"/>
        <c:spPr>
          <a:noFill/>
          <a:ln w="9525" cap="flat" cmpd="sng" algn="ctr">
            <a:noFill/>
            <a:round/>
          </a:ln>
          <a:effectLst/>
        </c:spPr>
        <c:txPr>
          <a:bodyPr rot="-60000000" spcFirstLastPara="0" vertOverflow="ellipsis" vert="horz" wrap="square" anchor="ctr" anchorCtr="1" forceAA="0"/>
          <a:lstStyle/>
          <a:p>
            <a:pPr>
              <a:defRPr lang="zh-CN" sz="1000" b="0" i="0" u="none" strike="noStrike" kern="1200" cap="none" spc="0" normalizeH="0" baseline="0">
                <a:solidFill>
                  <a:schemeClr val="tx1"/>
                </a:solidFill>
                <a:uFill>
                  <a:solidFill>
                    <a:schemeClr val="tx1"/>
                  </a:solidFill>
                </a:uFill>
                <a:latin typeface="+中文标题" charset="0"/>
                <a:ea typeface="微软雅黑" panose="020B0503020204020204" pitchFamily="34" charset="-122"/>
                <a:cs typeface="+mj-lt"/>
                <a:sym typeface="+mj-lt"/>
              </a:defRPr>
            </a:pPr>
          </a:p>
        </c:txPr>
        <c:crossAx val="526574751"/>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0" vertOverflow="ellipsis" vert="horz" wrap="square" anchor="ctr" anchorCtr="1"/>
          <a:lstStyle/>
          <a:p>
            <a:pPr>
              <a:defRPr lang="zh-CN" sz="1000" b="0" i="0" u="none" strike="noStrike" kern="1200" cap="none" spc="0" normalizeH="0" baseline="0">
                <a:solidFill>
                  <a:schemeClr val="tx1"/>
                </a:solidFill>
                <a:uFill>
                  <a:solidFill>
                    <a:schemeClr val="tx1"/>
                  </a:solidFill>
                </a:uFill>
                <a:latin typeface="+中文标题" charset="0"/>
                <a:ea typeface="微软雅黑" panose="020B0503020204020204" pitchFamily="34" charset="-122"/>
                <a:cs typeface="+mj-lt"/>
                <a:sym typeface="+mj-lt"/>
              </a:defRPr>
            </a:pPr>
          </a:p>
        </c:txPr>
      </c:dTable>
      <c:spPr>
        <a:noFill/>
        <a:ln>
          <a:noFill/>
        </a:ln>
        <a:effectLst/>
      </c:spPr>
    </c:plotArea>
    <c:legend>
      <c:legendPos val="t"/>
      <c:legendEntry>
        <c:idx val="0"/>
        <c:txPr>
          <a:bodyPr rot="0" spcFirstLastPara="0" vertOverflow="ellipsis" vert="horz" wrap="square" anchor="ctr" anchorCtr="1"/>
          <a:lstStyle/>
          <a:p>
            <a:pPr>
              <a:defRPr lang="zh-CN" sz="1000" b="0" i="0" u="none" strike="noStrike" kern="1200" cap="none" spc="0" normalizeH="0" baseline="0">
                <a:solidFill>
                  <a:schemeClr val="tx1"/>
                </a:solidFill>
                <a:uFill>
                  <a:solidFill>
                    <a:schemeClr val="tx1"/>
                  </a:solidFill>
                </a:uFill>
                <a:latin typeface="+中文标题" charset="0"/>
                <a:ea typeface="微软雅黑" panose="020B0503020204020204" pitchFamily="34" charset="-122"/>
                <a:cs typeface="+mj-lt"/>
                <a:sym typeface="+mj-lt"/>
              </a:defRPr>
            </a:pPr>
          </a:p>
        </c:txPr>
      </c:legendEntry>
      <c:legendEntry>
        <c:idx val="1"/>
        <c:txPr>
          <a:bodyPr rot="0" spcFirstLastPara="0" vertOverflow="ellipsis" vert="horz" wrap="square" anchor="ctr" anchorCtr="1"/>
          <a:lstStyle/>
          <a:p>
            <a:pPr>
              <a:defRPr lang="zh-CN" sz="1000" b="0" i="0" u="none" strike="noStrike" kern="1200" cap="none" spc="0" normalizeH="0" baseline="0">
                <a:solidFill>
                  <a:schemeClr val="tx1"/>
                </a:solidFill>
                <a:uFill>
                  <a:solidFill>
                    <a:schemeClr val="tx1"/>
                  </a:solidFill>
                </a:uFill>
                <a:latin typeface="+中文标题" charset="0"/>
                <a:ea typeface="微软雅黑" panose="020B0503020204020204" pitchFamily="34" charset="-122"/>
                <a:cs typeface="+mj-lt"/>
                <a:sym typeface="+mj-lt"/>
              </a:defRPr>
            </a:pPr>
          </a:p>
        </c:txPr>
      </c:legendEntry>
      <c:layout/>
      <c:overlay val="0"/>
      <c:spPr>
        <a:noFill/>
        <a:ln>
          <a:noFill/>
        </a:ln>
        <a:effectLst/>
      </c:spPr>
      <c:txPr>
        <a:bodyPr rot="0" spcFirstLastPara="0" vertOverflow="ellipsis" vert="horz" wrap="square" anchor="ctr" anchorCtr="1" forceAA="0"/>
        <a:lstStyle/>
        <a:p>
          <a:pPr>
            <a:defRPr lang="zh-CN" sz="1000" b="0" i="0" u="none" strike="noStrike" kern="1200" cap="none" spc="0" normalizeH="0" baseline="0">
              <a:solidFill>
                <a:schemeClr val="tx1"/>
              </a:solidFill>
              <a:uFill>
                <a:solidFill>
                  <a:schemeClr val="tx1"/>
                </a:solidFill>
              </a:uFill>
              <a:latin typeface="+中文标题" charset="0"/>
              <a:ea typeface="微软雅黑" panose="020B0503020204020204" pitchFamily="34" charset="-122"/>
              <a:cs typeface="+mj-lt"/>
              <a:sym typeface="+mj-lt"/>
            </a:defRPr>
          </a:pPr>
        </a:p>
      </c:txPr>
    </c:legend>
    <c:plotVisOnly val="1"/>
    <c:dispBlanksAs val="gap"/>
    <c:showDLblsOverMax val="0"/>
  </c:chart>
  <c:spPr>
    <a:gradFill flip="none">
      <a:gsLst>
        <a:gs pos="0">
          <a:srgbClr val="C1D0C9"/>
        </a:gs>
        <a:gs pos="100000">
          <a:srgbClr val="878D69"/>
        </a:gs>
      </a:gsLst>
      <a:lin ang="5400000" scaled="1"/>
    </a:gradFill>
    <a:ln w="9525" cap="rnd" cmpd="sng" algn="ctr">
      <a:solidFill>
        <a:schemeClr val="bg1">
          <a:lumMod val="85000"/>
        </a:schemeClr>
      </a:solidFill>
      <a:prstDash val="solid"/>
      <a:round/>
    </a:ln>
    <a:effectLst>
      <a:outerShdw blurRad="63500" dist="37357" dir="2700000" sx="0" sy="0" rotWithShape="0">
        <a:scrgbClr r="0" g="0" b="0"/>
      </a:outerShdw>
    </a:effectLst>
  </c:spPr>
  <c:txPr>
    <a:bodyPr anchor="ctr"/>
    <a:lstStyle/>
    <a:p>
      <a:pPr>
        <a:defRPr lang="zh-CN" sz="1000" u="none" strike="noStrike" kern="1200" cap="none" spc="0" normalizeH="0">
          <a:solidFill>
            <a:schemeClr val="tx1"/>
          </a:solidFill>
          <a:uFill>
            <a:solidFill>
              <a:schemeClr val="tx1"/>
            </a:solidFill>
          </a:uFill>
          <a:latin typeface="+中文标题" charset="0"/>
          <a:ea typeface="微软雅黑" panose="020B0503020204020204" pitchFamily="34" charset="-122"/>
          <a:cs typeface="+mj-lt"/>
          <a:sym typeface="+mj-lt"/>
        </a:defRPr>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自定义 113">
    <a:dk1>
      <a:srgbClr val="000000"/>
    </a:dk1>
    <a:lt1>
      <a:srgbClr val="FFFFFF"/>
    </a:lt1>
    <a:dk2>
      <a:srgbClr val="0C0E1F"/>
    </a:dk2>
    <a:lt2>
      <a:srgbClr val="FEFFFF"/>
    </a:lt2>
    <a:accent1>
      <a:srgbClr val="923D67"/>
    </a:accent1>
    <a:accent2>
      <a:srgbClr val="EE557A"/>
    </a:accent2>
    <a:accent3>
      <a:srgbClr val="F6D6AF"/>
    </a:accent3>
    <a:accent4>
      <a:srgbClr val="FFD24B"/>
    </a:accent4>
    <a:accent5>
      <a:srgbClr val="FF904E"/>
    </a:accent5>
    <a:accent6>
      <a:srgbClr val="D75000"/>
    </a:accent6>
    <a:hlink>
      <a:srgbClr val="304FFE"/>
    </a:hlink>
    <a:folHlink>
      <a:srgbClr val="492067"/>
    </a:folHlink>
  </a:clrScheme>
  <a:fontScheme name="自定义 2">
    <a:majorFont>
      <a:latin typeface="微软雅黑"/>
      <a:ea typeface="微软雅黑"/>
      <a:cs typeface=""/>
    </a:majorFont>
    <a:minorFont>
      <a:latin typeface="微软雅黑"/>
      <a:ea typeface="微软雅黑"/>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2023-10-31T01:09:00Z</dcterms:created>
  <dc:creator>崔蔚</dc:creator>
  <cp:lastModifiedBy>崔蔚</cp:lastModifiedBy>
  <dcterms:modified xsi:type="dcterms:W3CDTF">2023-11-06T02:24:20Z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955E52DFC5734721832AD6D2CE444E3F_11</vt:lpwstr>
  </property>
</Properties>
</file>