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2023年主要经济指标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初步核算</w:t>
      </w:r>
      <w:r>
        <w:rPr>
          <w:rFonts w:hint="eastAsia" w:ascii="仿宋_GB2312" w:hAnsi="仿宋_GB2312" w:eastAsia="仿宋_GB2312" w:cs="仿宋_GB2312"/>
          <w:sz w:val="32"/>
          <w:szCs w:val="32"/>
        </w:rPr>
        <w:t>GDP完成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85.97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规模以上工业增加值同比增长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</w:rPr>
        <w:t>%，居全市第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位；固定资产投资同比增长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%，居全市第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位；社会消费品零售总额同比增长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</w:rPr>
        <w:t>%，居全市第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凤泉区统计局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2024年1月29日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00000000"/>
    <w:rsid w:val="27910713"/>
    <w:rsid w:val="31C04FAC"/>
    <w:rsid w:val="7A3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2024-01-16T07:22:00Z</dcterms:created>
  <dc:creator>13558</dc:creator>
  <cp:lastModifiedBy>旅人</cp:lastModifiedBy>
  <cp:lastPrinted>2024-01-29T03:48:20Z</cp:lastPrinted>
  <dcterms:modified xsi:type="dcterms:W3CDTF">2024-01-29T03:52:05Z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50A9213DF4DA40B18D92B76D213DF59D_13</vt:lpwstr>
  </property>
</Properties>
</file>