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eastAsia" w:ascii="Times New Roman" w:hAnsi="Times New Roman" w:eastAsia="黑体" w:cs="Times New Roman"/>
          <w:snapToGrid w:val="0"/>
          <w:color w:val="auto"/>
          <w:sz w:val="30"/>
          <w:szCs w:val="30"/>
          <w:highlight w:val="none"/>
          <w:lang w:eastAsia="zh-CN"/>
        </w:rPr>
        <w:sectPr>
          <w:headerReference r:id="rId5" w:type="default"/>
          <w:footerReference r:id="rId6" w:type="default"/>
          <w:pgSz w:w="11906" w:h="16838"/>
          <w:pgMar w:top="1803" w:right="1440" w:bottom="1803" w:left="1440"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Times New Roman" w:hAnsi="Times New Roman" w:eastAsia="黑体" w:cs="Times New Roman"/>
          <w:snapToGrid w:val="0"/>
          <w:color w:val="auto"/>
          <w:sz w:val="30"/>
          <w:szCs w:val="30"/>
          <w:highlight w:val="none"/>
          <w:lang w:eastAsia="zh-CN"/>
        </w:rPr>
        <w:drawing>
          <wp:anchor distT="0" distB="0" distL="114300" distR="114300" simplePos="0" relativeHeight="251682816" behindDoc="0" locked="0" layoutInCell="1" allowOverlap="1">
            <wp:simplePos x="0" y="0"/>
            <wp:positionH relativeFrom="column">
              <wp:posOffset>-760095</wp:posOffset>
            </wp:positionH>
            <wp:positionV relativeFrom="paragraph">
              <wp:posOffset>-912495</wp:posOffset>
            </wp:positionV>
            <wp:extent cx="7389495" cy="10024745"/>
            <wp:effectExtent l="0" t="0" r="1905" b="14605"/>
            <wp:wrapSquare wrapText="bothSides"/>
            <wp:docPr id="46" name="图片 46" descr="1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10001"/>
                    <pic:cNvPicPr>
                      <a:picLocks noChangeAspect="1"/>
                    </pic:cNvPicPr>
                  </pic:nvPicPr>
                  <pic:blipFill>
                    <a:blip r:embed="rId10"/>
                    <a:srcRect/>
                    <a:stretch>
                      <a:fillRect/>
                    </a:stretch>
                  </pic:blipFill>
                  <pic:spPr>
                    <a:xfrm>
                      <a:off x="0" y="0"/>
                      <a:ext cx="7389495" cy="10024745"/>
                    </a:xfrm>
                    <a:prstGeom prst="rect">
                      <a:avLst/>
                    </a:prstGeom>
                  </pic:spPr>
                </pic:pic>
              </a:graphicData>
            </a:graphic>
          </wp:anchor>
        </w:drawing>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eastAsia" w:ascii="Times New Roman" w:hAnsi="Times New Roman" w:eastAsia="黑体" w:cs="Times New Roman"/>
          <w:snapToGrid w:val="0"/>
          <w:color w:val="auto"/>
          <w:sz w:val="30"/>
          <w:szCs w:val="30"/>
          <w:highlight w:val="none"/>
          <w:lang w:eastAsia="zh-CN"/>
        </w:rPr>
        <w:sectPr>
          <w:pgSz w:w="11906" w:h="16838"/>
          <w:pgMar w:top="1803" w:right="1440" w:bottom="1803" w:left="1440"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Times New Roman" w:hAnsi="Times New Roman" w:eastAsia="黑体" w:cs="Times New Roman"/>
          <w:snapToGrid w:val="0"/>
          <w:color w:val="auto"/>
          <w:sz w:val="30"/>
          <w:szCs w:val="30"/>
          <w:highlight w:val="none"/>
          <w:lang w:eastAsia="zh-CN"/>
        </w:rPr>
        <w:drawing>
          <wp:anchor distT="0" distB="0" distL="114300" distR="114300" simplePos="0" relativeHeight="251683840" behindDoc="0" locked="0" layoutInCell="1" allowOverlap="1">
            <wp:simplePos x="0" y="0"/>
            <wp:positionH relativeFrom="column">
              <wp:posOffset>-749300</wp:posOffset>
            </wp:positionH>
            <wp:positionV relativeFrom="paragraph">
              <wp:posOffset>-1112520</wp:posOffset>
            </wp:positionV>
            <wp:extent cx="7367905" cy="10129520"/>
            <wp:effectExtent l="0" t="0" r="4445" b="5080"/>
            <wp:wrapSquare wrapText="bothSides"/>
            <wp:docPr id="47" name="图片 47" descr="1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10002"/>
                    <pic:cNvPicPr>
                      <a:picLocks noChangeAspect="1"/>
                    </pic:cNvPicPr>
                  </pic:nvPicPr>
                  <pic:blipFill>
                    <a:blip r:embed="rId11"/>
                    <a:stretch>
                      <a:fillRect/>
                    </a:stretch>
                  </pic:blipFill>
                  <pic:spPr>
                    <a:xfrm>
                      <a:off x="0" y="0"/>
                      <a:ext cx="7367905" cy="10129520"/>
                    </a:xfrm>
                    <a:prstGeom prst="rect">
                      <a:avLst/>
                    </a:prstGeom>
                  </pic:spPr>
                </pic:pic>
              </a:graphicData>
            </a:graphic>
          </wp:anchor>
        </w:drawing>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eastAsia" w:ascii="Times New Roman" w:hAnsi="Times New Roman" w:eastAsia="黑体" w:cs="Times New Roman"/>
          <w:snapToGrid w:val="0"/>
          <w:color w:val="auto"/>
          <w:sz w:val="30"/>
          <w:szCs w:val="30"/>
          <w:highlight w:val="none"/>
          <w:lang w:eastAsia="zh-CN"/>
        </w:rPr>
        <w:sectPr>
          <w:pgSz w:w="11906" w:h="16838"/>
          <w:pgMar w:top="1803" w:right="1440" w:bottom="1803" w:left="1440"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Times New Roman" w:hAnsi="Times New Roman" w:eastAsia="黑体" w:cs="Times New Roman"/>
          <w:snapToGrid w:val="0"/>
          <w:color w:val="auto"/>
          <w:sz w:val="30"/>
          <w:szCs w:val="30"/>
          <w:highlight w:val="none"/>
          <w:lang w:eastAsia="zh-CN"/>
        </w:rPr>
        <w:drawing>
          <wp:anchor distT="0" distB="0" distL="114300" distR="114300" simplePos="0" relativeHeight="251684864" behindDoc="0" locked="0" layoutInCell="1" allowOverlap="1">
            <wp:simplePos x="0" y="0"/>
            <wp:positionH relativeFrom="column">
              <wp:posOffset>-835025</wp:posOffset>
            </wp:positionH>
            <wp:positionV relativeFrom="paragraph">
              <wp:posOffset>-1132840</wp:posOffset>
            </wp:positionV>
            <wp:extent cx="7451725" cy="10245090"/>
            <wp:effectExtent l="0" t="0" r="15875" b="3810"/>
            <wp:wrapSquare wrapText="bothSides"/>
            <wp:docPr id="48" name="图片 48" descr="1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10003"/>
                    <pic:cNvPicPr>
                      <a:picLocks noChangeAspect="1"/>
                    </pic:cNvPicPr>
                  </pic:nvPicPr>
                  <pic:blipFill>
                    <a:blip r:embed="rId12"/>
                    <a:stretch>
                      <a:fillRect/>
                    </a:stretch>
                  </pic:blipFill>
                  <pic:spPr>
                    <a:xfrm>
                      <a:off x="0" y="0"/>
                      <a:ext cx="7451725" cy="10245090"/>
                    </a:xfrm>
                    <a:prstGeom prst="rect">
                      <a:avLst/>
                    </a:prstGeom>
                  </pic:spPr>
                </pic:pic>
              </a:graphicData>
            </a:graphic>
          </wp:anchor>
        </w:drawing>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eastAsia" w:ascii="Times New Roman" w:hAnsi="Times New Roman" w:eastAsia="黑体" w:cs="Times New Roman"/>
          <w:snapToGrid w:val="0"/>
          <w:color w:val="auto"/>
          <w:sz w:val="30"/>
          <w:szCs w:val="30"/>
          <w:highlight w:val="none"/>
          <w:lang w:eastAsia="zh-CN"/>
        </w:rPr>
        <w:sectPr>
          <w:pgSz w:w="11906" w:h="16838"/>
          <w:pgMar w:top="1803" w:right="1440" w:bottom="1803" w:left="1440"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Times New Roman" w:hAnsi="Times New Roman" w:eastAsia="黑体" w:cs="Times New Roman"/>
          <w:snapToGrid w:val="0"/>
          <w:color w:val="auto"/>
          <w:sz w:val="30"/>
          <w:szCs w:val="30"/>
          <w:highlight w:val="none"/>
          <w:lang w:eastAsia="zh-CN"/>
        </w:rPr>
        <w:drawing>
          <wp:anchor distT="0" distB="0" distL="114300" distR="114300" simplePos="0" relativeHeight="251679744" behindDoc="0" locked="0" layoutInCell="1" allowOverlap="1">
            <wp:simplePos x="0" y="0"/>
            <wp:positionH relativeFrom="column">
              <wp:posOffset>-872490</wp:posOffset>
            </wp:positionH>
            <wp:positionV relativeFrom="paragraph">
              <wp:posOffset>-1109345</wp:posOffset>
            </wp:positionV>
            <wp:extent cx="7405370" cy="10299065"/>
            <wp:effectExtent l="0" t="0" r="5080" b="6985"/>
            <wp:wrapSquare wrapText="bothSides"/>
            <wp:docPr id="40" name="图片 40" descr="东恒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东恒0003"/>
                    <pic:cNvPicPr>
                      <a:picLocks noChangeAspect="1"/>
                    </pic:cNvPicPr>
                  </pic:nvPicPr>
                  <pic:blipFill>
                    <a:blip r:embed="rId13"/>
                    <a:srcRect/>
                    <a:stretch>
                      <a:fillRect/>
                    </a:stretch>
                  </pic:blipFill>
                  <pic:spPr>
                    <a:xfrm>
                      <a:off x="0" y="0"/>
                      <a:ext cx="7405370" cy="10299065"/>
                    </a:xfrm>
                    <a:prstGeom prst="rect">
                      <a:avLst/>
                    </a:prstGeom>
                  </pic:spPr>
                </pic:pic>
              </a:graphicData>
            </a:graphic>
          </wp:anchor>
        </w:drawing>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eastAsia" w:ascii="Times New Roman" w:hAnsi="Times New Roman" w:eastAsia="黑体" w:cs="Times New Roman"/>
          <w:snapToGrid w:val="0"/>
          <w:color w:val="auto"/>
          <w:sz w:val="30"/>
          <w:szCs w:val="30"/>
          <w:highlight w:val="none"/>
          <w:lang w:eastAsia="zh-CN"/>
        </w:rPr>
        <w:sectPr>
          <w:pgSz w:w="11906" w:h="16838"/>
          <w:pgMar w:top="1803" w:right="1440" w:bottom="1803" w:left="1440"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Times New Roman" w:hAnsi="Times New Roman" w:eastAsia="黑体" w:cs="Times New Roman"/>
          <w:snapToGrid w:val="0"/>
          <w:color w:val="auto"/>
          <w:sz w:val="30"/>
          <w:szCs w:val="30"/>
          <w:highlight w:val="none"/>
          <w:lang w:eastAsia="zh-CN"/>
        </w:rPr>
        <w:drawing>
          <wp:anchor distT="0" distB="0" distL="114300" distR="114300" simplePos="0" relativeHeight="251680768" behindDoc="0" locked="0" layoutInCell="1" allowOverlap="1">
            <wp:simplePos x="0" y="0"/>
            <wp:positionH relativeFrom="column">
              <wp:posOffset>-741680</wp:posOffset>
            </wp:positionH>
            <wp:positionV relativeFrom="paragraph">
              <wp:posOffset>-1131570</wp:posOffset>
            </wp:positionV>
            <wp:extent cx="7285990" cy="10174605"/>
            <wp:effectExtent l="0" t="0" r="10160" b="17145"/>
            <wp:wrapSquare wrapText="bothSides"/>
            <wp:docPr id="41" name="图片 41" descr="东恒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东恒0004"/>
                    <pic:cNvPicPr>
                      <a:picLocks noChangeAspect="1"/>
                    </pic:cNvPicPr>
                  </pic:nvPicPr>
                  <pic:blipFill>
                    <a:blip r:embed="rId14"/>
                    <a:srcRect/>
                    <a:stretch>
                      <a:fillRect/>
                    </a:stretch>
                  </pic:blipFill>
                  <pic:spPr>
                    <a:xfrm>
                      <a:off x="0" y="0"/>
                      <a:ext cx="7285990" cy="10174605"/>
                    </a:xfrm>
                    <a:prstGeom prst="rect">
                      <a:avLst/>
                    </a:prstGeom>
                  </pic:spPr>
                </pic:pic>
              </a:graphicData>
            </a:graphic>
          </wp:anchor>
        </w:drawing>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eastAsia" w:ascii="Times New Roman" w:hAnsi="Times New Roman" w:eastAsia="黑体" w:cs="Times New Roman"/>
          <w:snapToGrid w:val="0"/>
          <w:color w:val="auto"/>
          <w:sz w:val="30"/>
          <w:szCs w:val="30"/>
          <w:highlight w:val="none"/>
          <w:lang w:eastAsia="zh-CN"/>
        </w:rPr>
        <w:sectPr>
          <w:pgSz w:w="11906" w:h="16838"/>
          <w:pgMar w:top="1803" w:right="1440" w:bottom="1803" w:left="1440"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Times New Roman" w:hAnsi="Times New Roman" w:eastAsia="黑体" w:cs="Times New Roman"/>
          <w:snapToGrid w:val="0"/>
          <w:color w:val="auto"/>
          <w:sz w:val="30"/>
          <w:szCs w:val="30"/>
          <w:highlight w:val="none"/>
          <w:lang w:eastAsia="zh-CN"/>
        </w:rPr>
        <w:drawing>
          <wp:anchor distT="0" distB="0" distL="114300" distR="114300" simplePos="0" relativeHeight="251681792" behindDoc="0" locked="0" layoutInCell="1" allowOverlap="1">
            <wp:simplePos x="0" y="0"/>
            <wp:positionH relativeFrom="column">
              <wp:posOffset>-819150</wp:posOffset>
            </wp:positionH>
            <wp:positionV relativeFrom="paragraph">
              <wp:posOffset>-1057910</wp:posOffset>
            </wp:positionV>
            <wp:extent cx="7374255" cy="10138410"/>
            <wp:effectExtent l="0" t="0" r="17145" b="15240"/>
            <wp:wrapSquare wrapText="bothSides"/>
            <wp:docPr id="42" name="图片 42" descr="东恒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东恒0005"/>
                    <pic:cNvPicPr>
                      <a:picLocks noChangeAspect="1"/>
                    </pic:cNvPicPr>
                  </pic:nvPicPr>
                  <pic:blipFill>
                    <a:blip r:embed="rId15"/>
                    <a:srcRect/>
                    <a:stretch>
                      <a:fillRect/>
                    </a:stretch>
                  </pic:blipFill>
                  <pic:spPr>
                    <a:xfrm>
                      <a:off x="0" y="0"/>
                      <a:ext cx="7374255" cy="10138410"/>
                    </a:xfrm>
                    <a:prstGeom prst="rect">
                      <a:avLst/>
                    </a:prstGeom>
                  </pic:spPr>
                </pic:pic>
              </a:graphicData>
            </a:graphic>
          </wp:anchor>
        </w:drawing>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一、建设项目基本情况</w:t>
      </w:r>
    </w:p>
    <w:tbl>
      <w:tblPr>
        <w:tblStyle w:val="21"/>
        <w:tblW w:w="49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33"/>
        <w:gridCol w:w="2059"/>
        <w:gridCol w:w="2252"/>
        <w:gridCol w:w="26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5"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建设项目名称</w:t>
            </w:r>
          </w:p>
        </w:tc>
        <w:tc>
          <w:tcPr>
            <w:tcW w:w="387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河南省东恒锂电能源有限公司年产500万只锂离子电池项目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5"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项目代码</w:t>
            </w:r>
          </w:p>
        </w:tc>
        <w:tc>
          <w:tcPr>
            <w:tcW w:w="387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xxxxx</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5"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建设单位联系人</w:t>
            </w:r>
          </w:p>
        </w:tc>
        <w:tc>
          <w:tcPr>
            <w:tcW w:w="113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xxx</w:t>
            </w:r>
          </w:p>
        </w:tc>
        <w:tc>
          <w:tcPr>
            <w:tcW w:w="124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联系方式</w:t>
            </w:r>
          </w:p>
        </w:tc>
        <w:tc>
          <w:tcPr>
            <w:tcW w:w="14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xxxx</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5"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建设地点</w:t>
            </w:r>
          </w:p>
        </w:tc>
        <w:tc>
          <w:tcPr>
            <w:tcW w:w="387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新乡市凤泉区河南省新乡市凤泉区产业集聚区28#厂房一层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5"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地理坐标</w:t>
            </w:r>
          </w:p>
        </w:tc>
        <w:tc>
          <w:tcPr>
            <w:tcW w:w="387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u w:val="single"/>
              </w:rPr>
              <w:t>113</w:t>
            </w:r>
            <w:r>
              <w:rPr>
                <w:rFonts w:hint="default" w:ascii="Times New Roman" w:hAnsi="Times New Roman" w:cs="Times New Roman"/>
                <w:color w:val="auto"/>
                <w:sz w:val="21"/>
                <w:szCs w:val="21"/>
                <w:highlight w:val="none"/>
                <w:lang w:eastAsia="zh-CN"/>
              </w:rPr>
              <w:t>度</w:t>
            </w:r>
            <w:r>
              <w:rPr>
                <w:rFonts w:hint="eastAsia" w:cs="Times New Roman"/>
                <w:color w:val="auto"/>
                <w:sz w:val="21"/>
                <w:szCs w:val="21"/>
                <w:highlight w:val="none"/>
                <w:u w:val="single"/>
                <w:lang w:val="en-US" w:eastAsia="zh-CN"/>
              </w:rPr>
              <w:t>52</w:t>
            </w:r>
            <w:r>
              <w:rPr>
                <w:rFonts w:hint="default" w:ascii="Times New Roman" w:hAnsi="Times New Roman" w:cs="Times New Roman"/>
                <w:color w:val="auto"/>
                <w:sz w:val="21"/>
                <w:szCs w:val="21"/>
                <w:highlight w:val="none"/>
                <w:lang w:eastAsia="zh-CN"/>
              </w:rPr>
              <w:t>分</w:t>
            </w:r>
            <w:r>
              <w:rPr>
                <w:rFonts w:hint="eastAsia" w:cs="Times New Roman"/>
                <w:color w:val="auto"/>
                <w:sz w:val="21"/>
                <w:szCs w:val="21"/>
                <w:highlight w:val="none"/>
                <w:u w:val="single"/>
                <w:lang w:val="en-US" w:eastAsia="zh-CN"/>
              </w:rPr>
              <w:t>31.244</w:t>
            </w:r>
            <w:r>
              <w:rPr>
                <w:rFonts w:hint="default" w:ascii="Times New Roman" w:hAnsi="Times New Roman" w:cs="Times New Roman"/>
                <w:color w:val="auto"/>
                <w:sz w:val="21"/>
                <w:szCs w:val="21"/>
                <w:highlight w:val="none"/>
                <w:lang w:eastAsia="zh-CN"/>
              </w:rPr>
              <w:t>秒，</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z w:val="21"/>
                <w:szCs w:val="21"/>
                <w:highlight w:val="none"/>
                <w:u w:val="single"/>
              </w:rPr>
              <w:t>35</w:t>
            </w:r>
            <w:r>
              <w:rPr>
                <w:rFonts w:hint="default" w:ascii="Times New Roman" w:hAnsi="Times New Roman" w:cs="Times New Roman"/>
                <w:color w:val="auto"/>
                <w:sz w:val="21"/>
                <w:szCs w:val="21"/>
                <w:highlight w:val="none"/>
                <w:lang w:eastAsia="zh-CN"/>
              </w:rPr>
              <w:t>度</w:t>
            </w:r>
            <w:r>
              <w:rPr>
                <w:rFonts w:hint="eastAsia" w:cs="Times New Roman"/>
                <w:color w:val="auto"/>
                <w:sz w:val="21"/>
                <w:szCs w:val="21"/>
                <w:highlight w:val="none"/>
                <w:u w:val="single"/>
                <w:lang w:val="en-US" w:eastAsia="zh-CN"/>
              </w:rPr>
              <w:t>22</w:t>
            </w:r>
            <w:r>
              <w:rPr>
                <w:rFonts w:hint="default" w:ascii="Times New Roman" w:hAnsi="Times New Roman" w:cs="Times New Roman"/>
                <w:color w:val="auto"/>
                <w:sz w:val="21"/>
                <w:szCs w:val="21"/>
                <w:highlight w:val="none"/>
                <w:lang w:eastAsia="zh-CN"/>
              </w:rPr>
              <w:t>分</w:t>
            </w:r>
            <w:r>
              <w:rPr>
                <w:rFonts w:hint="eastAsia" w:cs="Times New Roman"/>
                <w:color w:val="auto"/>
                <w:sz w:val="21"/>
                <w:szCs w:val="21"/>
                <w:highlight w:val="none"/>
                <w:u w:val="single"/>
                <w:lang w:val="en-US" w:eastAsia="zh-CN"/>
              </w:rPr>
              <w:t>49.641</w:t>
            </w:r>
            <w:r>
              <w:rPr>
                <w:rFonts w:hint="default" w:ascii="Times New Roman" w:hAnsi="Times New Roman" w:cs="Times New Roman"/>
                <w:color w:val="auto"/>
                <w:sz w:val="21"/>
                <w:szCs w:val="21"/>
                <w:highlight w:val="none"/>
                <w:lang w:eastAsia="zh-CN"/>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5"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国民经济</w:t>
            </w:r>
          </w:p>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行业类别</w:t>
            </w:r>
          </w:p>
        </w:tc>
        <w:tc>
          <w:tcPr>
            <w:tcW w:w="113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C3841锂离子电池制造</w:t>
            </w:r>
          </w:p>
        </w:tc>
        <w:tc>
          <w:tcPr>
            <w:tcW w:w="124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bookmarkStart w:id="0" w:name="_Hlk49843745"/>
            <w:r>
              <w:rPr>
                <w:rFonts w:hint="default" w:ascii="Times New Roman" w:hAnsi="Times New Roman" w:cs="Times New Roman"/>
                <w:color w:val="auto"/>
                <w:sz w:val="21"/>
                <w:szCs w:val="21"/>
                <w:highlight w:val="none"/>
              </w:rPr>
              <w:t>建设项目</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行业类别</w:t>
            </w:r>
            <w:bookmarkEnd w:id="0"/>
          </w:p>
        </w:tc>
        <w:tc>
          <w:tcPr>
            <w:tcW w:w="14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三十五、电气机械和器材制造业38—电池制造384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5"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建设性质</w:t>
            </w:r>
          </w:p>
        </w:tc>
        <w:tc>
          <w:tcPr>
            <w:tcW w:w="113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新建（迁建）</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改建</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zh-CN"/>
              </w:rPr>
              <w:sym w:font="Wingdings 2" w:char="00A3"/>
            </w:r>
            <w:r>
              <w:rPr>
                <w:rFonts w:hint="default" w:ascii="Times New Roman" w:hAnsi="Times New Roman" w:cs="Times New Roman"/>
                <w:color w:val="auto"/>
                <w:sz w:val="21"/>
                <w:szCs w:val="21"/>
                <w:highlight w:val="none"/>
              </w:rPr>
              <w:t>扩建</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技术改造</w:t>
            </w:r>
          </w:p>
        </w:tc>
        <w:tc>
          <w:tcPr>
            <w:tcW w:w="124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申报情形</w:t>
            </w:r>
          </w:p>
        </w:tc>
        <w:tc>
          <w:tcPr>
            <w:tcW w:w="14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首次申报项目</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不予批准后再次申报项目</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超五年重新审核项目</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5"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项目备案部门</w:t>
            </w:r>
          </w:p>
        </w:tc>
        <w:tc>
          <w:tcPr>
            <w:tcW w:w="113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新乡市凤泉区发展和改革委员会</w:t>
            </w:r>
          </w:p>
        </w:tc>
        <w:tc>
          <w:tcPr>
            <w:tcW w:w="124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项目备案文号</w:t>
            </w:r>
          </w:p>
        </w:tc>
        <w:tc>
          <w:tcPr>
            <w:tcW w:w="14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2304-410704-04-01-225716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5"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总投资（万元）</w:t>
            </w:r>
          </w:p>
        </w:tc>
        <w:tc>
          <w:tcPr>
            <w:tcW w:w="113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246" w:type="pct"/>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环保投资（万元）</w:t>
            </w:r>
          </w:p>
        </w:tc>
        <w:tc>
          <w:tcPr>
            <w:tcW w:w="14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5"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环保投资占比（%）</w:t>
            </w:r>
          </w:p>
        </w:tc>
        <w:tc>
          <w:tcPr>
            <w:tcW w:w="113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246" w:type="pct"/>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施工工期</w:t>
            </w:r>
          </w:p>
        </w:tc>
        <w:tc>
          <w:tcPr>
            <w:tcW w:w="14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年</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月~202</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年</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5"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是否开工建设</w:t>
            </w:r>
          </w:p>
        </w:tc>
        <w:tc>
          <w:tcPr>
            <w:tcW w:w="113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否</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是：</w:t>
            </w:r>
          </w:p>
        </w:tc>
        <w:tc>
          <w:tcPr>
            <w:tcW w:w="1246" w:type="pct"/>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pacing w:val="-6"/>
                <w:sz w:val="21"/>
                <w:szCs w:val="21"/>
                <w:highlight w:val="none"/>
              </w:rPr>
            </w:pPr>
            <w:r>
              <w:rPr>
                <w:rFonts w:hint="default" w:ascii="Times New Roman" w:hAnsi="Times New Roman" w:cs="Times New Roman"/>
                <w:color w:val="auto"/>
                <w:spacing w:val="-6"/>
                <w:sz w:val="21"/>
                <w:szCs w:val="21"/>
                <w:highlight w:val="none"/>
              </w:rPr>
              <w:t>用地（用海）</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面积（m</w:t>
            </w:r>
            <w:r>
              <w:rPr>
                <w:rFonts w:hint="default" w:ascii="Times New Roman" w:hAnsi="Times New Roman" w:cs="Times New Roman"/>
                <w:color w:val="auto"/>
                <w:spacing w:val="-6"/>
                <w:sz w:val="21"/>
                <w:szCs w:val="21"/>
                <w:highlight w:val="none"/>
                <w:vertAlign w:val="superscript"/>
              </w:rPr>
              <w:t>2</w:t>
            </w:r>
            <w:r>
              <w:rPr>
                <w:rFonts w:hint="default" w:ascii="Times New Roman" w:hAnsi="Times New Roman" w:cs="Times New Roman"/>
                <w:color w:val="auto"/>
                <w:spacing w:val="-6"/>
                <w:sz w:val="21"/>
                <w:szCs w:val="21"/>
                <w:highlight w:val="none"/>
              </w:rPr>
              <w:t>）</w:t>
            </w:r>
          </w:p>
        </w:tc>
        <w:tc>
          <w:tcPr>
            <w:tcW w:w="14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专项评价设置情况</w:t>
            </w:r>
          </w:p>
        </w:tc>
        <w:tc>
          <w:tcPr>
            <w:tcW w:w="3874" w:type="pct"/>
            <w:gridSpan w:val="3"/>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规划情况</w:t>
            </w:r>
          </w:p>
        </w:tc>
        <w:tc>
          <w:tcPr>
            <w:tcW w:w="7003" w:type="dxa"/>
            <w:gridSpan w:val="3"/>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eastAsia="宋体" w:cs="Times New Roman"/>
                <w:i w:val="0"/>
                <w:iCs w:val="0"/>
                <w:caps w:val="0"/>
                <w:color w:val="auto"/>
                <w:spacing w:val="0"/>
                <w:sz w:val="21"/>
                <w:szCs w:val="21"/>
                <w:highlight w:val="none"/>
                <w:lang w:eastAsia="zh-CN"/>
              </w:rPr>
            </w:pPr>
            <w:r>
              <w:rPr>
                <w:rFonts w:hint="default" w:ascii="Times New Roman" w:hAnsi="Times New Roman" w:eastAsia="宋体" w:cs="Times New Roman"/>
                <w:i w:val="0"/>
                <w:iCs w:val="0"/>
                <w:caps w:val="0"/>
                <w:color w:val="auto"/>
                <w:spacing w:val="0"/>
                <w:sz w:val="21"/>
                <w:szCs w:val="21"/>
                <w:highlight w:val="none"/>
                <w:lang w:eastAsia="zh-CN"/>
              </w:rPr>
              <w:t>1、规划名称：《新乡市新能源电池专业园区发展规划（2022-2035年）</w:t>
            </w:r>
            <w:r>
              <w:rPr>
                <w:rFonts w:hint="eastAsia" w:cs="Times New Roman"/>
                <w:i w:val="0"/>
                <w:iCs w:val="0"/>
                <w:caps w:val="0"/>
                <w:color w:val="auto"/>
                <w:spacing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eastAsia="宋体" w:cs="Times New Roman"/>
                <w:i w:val="0"/>
                <w:iCs w:val="0"/>
                <w:caps w:val="0"/>
                <w:color w:val="auto"/>
                <w:spacing w:val="0"/>
                <w:sz w:val="21"/>
                <w:szCs w:val="21"/>
                <w:highlight w:val="none"/>
                <w:lang w:eastAsia="zh-CN"/>
              </w:rPr>
            </w:pPr>
            <w:r>
              <w:rPr>
                <w:rFonts w:hint="default" w:ascii="Times New Roman" w:hAnsi="Times New Roman" w:eastAsia="宋体" w:cs="Times New Roman"/>
                <w:i w:val="0"/>
                <w:iCs w:val="0"/>
                <w:caps w:val="0"/>
                <w:color w:val="auto"/>
                <w:spacing w:val="0"/>
                <w:sz w:val="21"/>
                <w:szCs w:val="21"/>
                <w:highlight w:val="none"/>
                <w:lang w:eastAsia="zh-CN"/>
              </w:rPr>
              <w:t>2、审批机关：新乡市</w:t>
            </w:r>
            <w:r>
              <w:rPr>
                <w:rFonts w:hint="eastAsia" w:cs="Times New Roman"/>
                <w:i w:val="0"/>
                <w:iCs w:val="0"/>
                <w:caps w:val="0"/>
                <w:color w:val="auto"/>
                <w:spacing w:val="0"/>
                <w:sz w:val="21"/>
                <w:szCs w:val="21"/>
                <w:highlight w:val="none"/>
                <w:lang w:eastAsia="zh-CN"/>
              </w:rPr>
              <w:t>凤泉区</w:t>
            </w:r>
            <w:r>
              <w:rPr>
                <w:rFonts w:hint="default" w:ascii="Times New Roman" w:hAnsi="Times New Roman" w:eastAsia="宋体" w:cs="Times New Roman"/>
                <w:i w:val="0"/>
                <w:iCs w:val="0"/>
                <w:caps w:val="0"/>
                <w:color w:val="auto"/>
                <w:spacing w:val="0"/>
                <w:sz w:val="21"/>
                <w:szCs w:val="21"/>
                <w:highlight w:val="none"/>
                <w:lang w:eastAsia="zh-CN"/>
              </w:rPr>
              <w:t>人民政府</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i w:val="0"/>
                <w:iCs w:val="0"/>
                <w:caps w:val="0"/>
                <w:color w:val="auto"/>
                <w:spacing w:val="0"/>
                <w:sz w:val="21"/>
                <w:szCs w:val="21"/>
                <w:highlight w:val="none"/>
                <w:lang w:eastAsia="zh-CN"/>
              </w:rPr>
              <w:t>3、审批文件及文号：</w:t>
            </w:r>
            <w:r>
              <w:rPr>
                <w:rFonts w:hint="eastAsia" w:cs="Times New Roman"/>
                <w:i w:val="0"/>
                <w:iCs w:val="0"/>
                <w:caps w:val="0"/>
                <w:color w:val="auto"/>
                <w:spacing w:val="0"/>
                <w:sz w:val="21"/>
                <w:szCs w:val="21"/>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5" w:type="pct"/>
            <w:noWrap w:val="0"/>
            <w:vAlign w:val="center"/>
          </w:tcPr>
          <w:p>
            <w:pPr>
              <w:keepNext w:val="0"/>
              <w:keepLines w:val="0"/>
              <w:pageBreakBefore w:val="0"/>
              <w:widowControl w:val="0"/>
              <w:kinsoku/>
              <w:wordWrap/>
              <w:overflowPunct/>
              <w:topLinePunct w:val="0"/>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规划环境影响</w:t>
            </w:r>
          </w:p>
          <w:p>
            <w:pPr>
              <w:keepNext w:val="0"/>
              <w:keepLines w:val="0"/>
              <w:pageBreakBefore w:val="0"/>
              <w:widowControl w:val="0"/>
              <w:kinsoku/>
              <w:wordWrap/>
              <w:overflowPunct/>
              <w:topLinePunct w:val="0"/>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评价情况</w:t>
            </w:r>
          </w:p>
        </w:tc>
        <w:tc>
          <w:tcPr>
            <w:tcW w:w="7003" w:type="dxa"/>
            <w:gridSpan w:val="3"/>
            <w:noWrap w:val="0"/>
            <w:vAlign w:val="center"/>
          </w:tcPr>
          <w:p>
            <w:pPr>
              <w:keepNext w:val="0"/>
              <w:keepLines w:val="0"/>
              <w:pageBreakBefore w:val="0"/>
              <w:widowControl w:val="0"/>
              <w:kinsoku/>
              <w:wordWrap w:val="0"/>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1、规划环境影响评价文件：《新乡市新能源电池专业园区发展规划（2022-2035年）环境影响报告书》</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2、召集审查机关：新乡市</w:t>
            </w:r>
            <w:r>
              <w:rPr>
                <w:rFonts w:hint="eastAsia" w:cs="Times New Roman"/>
                <w:color w:val="auto"/>
                <w:kern w:val="0"/>
                <w:sz w:val="21"/>
                <w:szCs w:val="21"/>
                <w:highlight w:val="none"/>
                <w:lang w:eastAsia="zh-CN"/>
              </w:rPr>
              <w:t>环境保护</w:t>
            </w:r>
            <w:r>
              <w:rPr>
                <w:rFonts w:hint="default" w:ascii="Times New Roman" w:hAnsi="Times New Roman" w:eastAsia="宋体" w:cs="Times New Roman"/>
                <w:color w:val="auto"/>
                <w:kern w:val="0"/>
                <w:sz w:val="21"/>
                <w:szCs w:val="21"/>
                <w:highlight w:val="none"/>
                <w:lang w:eastAsia="zh-CN"/>
              </w:rPr>
              <w:t>局</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eastAsia="宋体" w:cs="Times New Roman"/>
                <w:color w:val="auto"/>
                <w:kern w:val="0"/>
                <w:sz w:val="21"/>
                <w:szCs w:val="21"/>
                <w:highlight w:val="green"/>
                <w:lang w:eastAsia="zh-CN"/>
              </w:rPr>
            </w:pPr>
            <w:r>
              <w:rPr>
                <w:rFonts w:hint="eastAsia"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lang w:eastAsia="zh-CN"/>
              </w:rPr>
              <w:t>审查文件名称及文号：《新乡市</w:t>
            </w:r>
            <w:r>
              <w:rPr>
                <w:rFonts w:hint="eastAsia" w:cs="Times New Roman"/>
                <w:color w:val="auto"/>
                <w:kern w:val="0"/>
                <w:sz w:val="21"/>
                <w:szCs w:val="21"/>
                <w:highlight w:val="none"/>
                <w:lang w:eastAsia="zh-CN"/>
              </w:rPr>
              <w:t>生态</w:t>
            </w:r>
            <w:r>
              <w:rPr>
                <w:rFonts w:hint="default" w:ascii="Times New Roman" w:hAnsi="Times New Roman" w:eastAsia="宋体" w:cs="Times New Roman"/>
                <w:color w:val="auto"/>
                <w:kern w:val="0"/>
                <w:sz w:val="21"/>
                <w:szCs w:val="21"/>
                <w:highlight w:val="none"/>
                <w:lang w:eastAsia="zh-CN"/>
              </w:rPr>
              <w:t>环境局关于</w:t>
            </w:r>
            <w:r>
              <w:rPr>
                <w:rFonts w:hint="eastAsia" w:cs="Times New Roman"/>
                <w:color w:val="auto"/>
                <w:kern w:val="0"/>
                <w:sz w:val="21"/>
                <w:szCs w:val="21"/>
                <w:highlight w:val="none"/>
                <w:lang w:eastAsia="zh-CN"/>
              </w:rPr>
              <w:t>新乡市新能源电池专业园区</w:t>
            </w:r>
            <w:r>
              <w:rPr>
                <w:rFonts w:hint="default" w:ascii="Times New Roman" w:hAnsi="Times New Roman" w:eastAsia="宋体" w:cs="Times New Roman"/>
                <w:color w:val="auto"/>
                <w:kern w:val="0"/>
                <w:sz w:val="21"/>
                <w:szCs w:val="21"/>
                <w:highlight w:val="none"/>
                <w:lang w:eastAsia="zh-CN"/>
              </w:rPr>
              <w:t>发展规划（20</w:t>
            </w:r>
            <w:r>
              <w:rPr>
                <w:rFonts w:hint="eastAsia" w:cs="Times New Roman"/>
                <w:color w:val="auto"/>
                <w:kern w:val="0"/>
                <w:sz w:val="21"/>
                <w:szCs w:val="21"/>
                <w:highlight w:val="none"/>
                <w:lang w:val="en-US" w:eastAsia="zh-CN"/>
              </w:rPr>
              <w:t>22</w:t>
            </w:r>
            <w:r>
              <w:rPr>
                <w:rFonts w:hint="default" w:ascii="Times New Roman" w:hAnsi="Times New Roman" w:eastAsia="宋体" w:cs="Times New Roman"/>
                <w:color w:val="auto"/>
                <w:kern w:val="0"/>
                <w:sz w:val="21"/>
                <w:szCs w:val="21"/>
                <w:highlight w:val="none"/>
                <w:lang w:eastAsia="zh-CN"/>
              </w:rPr>
              <w:t>-20</w:t>
            </w:r>
            <w:r>
              <w:rPr>
                <w:rFonts w:hint="eastAsia" w:cs="Times New Roman"/>
                <w:color w:val="auto"/>
                <w:kern w:val="0"/>
                <w:sz w:val="21"/>
                <w:szCs w:val="21"/>
                <w:highlight w:val="none"/>
                <w:lang w:val="en-US" w:eastAsia="zh-CN"/>
              </w:rPr>
              <w:t>35</w:t>
            </w:r>
            <w:r>
              <w:rPr>
                <w:rFonts w:hint="default" w:ascii="Times New Roman" w:hAnsi="Times New Roman" w:eastAsia="宋体" w:cs="Times New Roman"/>
                <w:color w:val="auto"/>
                <w:kern w:val="0"/>
                <w:sz w:val="21"/>
                <w:szCs w:val="21"/>
                <w:highlight w:val="none"/>
                <w:lang w:eastAsia="zh-CN"/>
              </w:rPr>
              <w:t>）环境影响报告书的审查意见》，新</w:t>
            </w:r>
            <w:r>
              <w:rPr>
                <w:rFonts w:hint="eastAsia" w:cs="Times New Roman"/>
                <w:color w:val="auto"/>
                <w:kern w:val="0"/>
                <w:sz w:val="21"/>
                <w:szCs w:val="21"/>
                <w:highlight w:val="none"/>
                <w:lang w:eastAsia="zh-CN"/>
              </w:rPr>
              <w:t>规环审查</w:t>
            </w:r>
            <w:r>
              <w:rPr>
                <w:rFonts w:hint="default" w:ascii="Times New Roman" w:hAnsi="Times New Roman" w:eastAsia="宋体"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2023</w:t>
            </w:r>
            <w:r>
              <w:rPr>
                <w:rFonts w:hint="default" w:ascii="Times New Roman" w:hAnsi="Times New Roman" w:eastAsia="宋体" w:cs="Times New Roman"/>
                <w:color w:val="auto"/>
                <w:kern w:val="0"/>
                <w:sz w:val="21"/>
                <w:szCs w:val="21"/>
                <w:highlight w:val="none"/>
                <w:lang w:eastAsia="zh-CN"/>
              </w:rPr>
              <w:t>]1号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规划及规划环境影响评价符合性分析</w:t>
            </w:r>
          </w:p>
        </w:tc>
        <w:tc>
          <w:tcPr>
            <w:tcW w:w="387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color w:val="auto"/>
                <w:spacing w:val="9"/>
                <w:sz w:val="21"/>
                <w:szCs w:val="21"/>
                <w:highlight w:val="none"/>
              </w:rPr>
            </w:pPr>
            <w:r>
              <w:rPr>
                <w:rFonts w:hint="default" w:ascii="Times New Roman" w:hAnsi="Times New Roman"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rPr>
              <w:t>新乡市新能源电池专业园区简况</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2022年8月，</w:t>
            </w:r>
            <w:r>
              <w:rPr>
                <w:rFonts w:hint="eastAsia" w:cs="Times New Roman"/>
                <w:color w:val="auto"/>
                <w:kern w:val="0"/>
                <w:sz w:val="21"/>
                <w:szCs w:val="21"/>
                <w:highlight w:val="none"/>
                <w:lang w:eastAsia="zh-CN"/>
              </w:rPr>
              <w:t>新乡市新能源电池专业园区</w:t>
            </w:r>
            <w:r>
              <w:rPr>
                <w:rFonts w:hint="default" w:ascii="Times New Roman" w:hAnsi="Times New Roman" w:cs="Times New Roman"/>
                <w:color w:val="auto"/>
                <w:kern w:val="0"/>
                <w:sz w:val="21"/>
                <w:szCs w:val="21"/>
                <w:highlight w:val="none"/>
              </w:rPr>
              <w:t>经新乡市批准更名为新乡市新能源电池专业园区，是经新乡市人民政府批准的先进制造业专业园区，也是全市唯一一家新能源电池专业园区。新乡市凤泉区人民政府下发了《关于编制新乡市新能源电池专业园区发展规划（2022-2035年）的通知》（凤政[2022]77号），通知决定将凤泉区内现有的新乡市新能源电池专业园区和凤泉区产业集聚区统一调整为新乡市新能源电池专业园区，即将动力电池园区的东、西片区与凤泉产业集聚区的卫北片区共同组成新乡市新能源电池专业园区。结合规划及规划环评对规划内容介绍如下：</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（1）规划范围</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新乡市新能源电池专业园区分东、西、北三个片区，规划面积为 806.68 公顷。</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东片区位于凤泉区耿黄乡和宝西办事处，规划面积300.47公顷，规划范围：北至凤泉湖大道、宝山大道，西至凤泉区界、新辉公路，东至龙潭路、道西街，南至长济高速防护绿地北侧。</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西片区位于凤泉区大块镇，规划面积318.24公顷，规划范围：北至块陈路南200米高压走廊南侧、中心路，西至经一路西220米，南至凤泉区界，东至经三路和经六路防护绿地西侧。</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北片区位于凤泉区耿黄镇，规划面积187.97公顷，规划范围：北至凤泉区界、横三路，西至凤泉区界，南至凤泉湖大道、宝山大道，东至纵二路和规划的防护绿地西侧</w:t>
            </w:r>
            <w:r>
              <w:rPr>
                <w:rFonts w:hint="eastAsia" w:cs="Times New Roman"/>
                <w:color w:val="auto"/>
                <w:ker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本项目选址位于新乡市新能源电池专业园区</w:t>
            </w:r>
            <w:r>
              <w:rPr>
                <w:rFonts w:hint="eastAsia" w:cs="Times New Roman"/>
                <w:color w:val="auto"/>
                <w:kern w:val="0"/>
                <w:sz w:val="21"/>
                <w:szCs w:val="21"/>
                <w:highlight w:val="none"/>
                <w:lang w:eastAsia="zh-CN"/>
              </w:rPr>
              <w:t>东</w:t>
            </w:r>
            <w:r>
              <w:rPr>
                <w:rFonts w:hint="default" w:ascii="Times New Roman" w:hAnsi="Times New Roman" w:cs="Times New Roman"/>
                <w:color w:val="auto"/>
                <w:kern w:val="0"/>
                <w:sz w:val="21"/>
                <w:szCs w:val="21"/>
                <w:highlight w:val="none"/>
              </w:rPr>
              <w:t>片区。</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（2）规划期限</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规划基准年为20</w:t>
            </w:r>
            <w:r>
              <w:rPr>
                <w:rFonts w:hint="eastAsia" w:cs="Times New Roman"/>
                <w:color w:val="auto"/>
                <w:kern w:val="0"/>
                <w:sz w:val="21"/>
                <w:szCs w:val="21"/>
                <w:highlight w:val="none"/>
                <w:lang w:val="en-US" w:eastAsia="zh-CN"/>
              </w:rPr>
              <w:t>21</w:t>
            </w:r>
            <w:r>
              <w:rPr>
                <w:rFonts w:hint="default" w:ascii="Times New Roman" w:hAnsi="Times New Roman" w:cs="Times New Roman"/>
                <w:color w:val="auto"/>
                <w:kern w:val="0"/>
                <w:sz w:val="21"/>
                <w:szCs w:val="21"/>
                <w:highlight w:val="none"/>
              </w:rPr>
              <w:t>年；</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eastAsia"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规划年限为20</w:t>
            </w:r>
            <w:r>
              <w:rPr>
                <w:rFonts w:hint="eastAsia" w:cs="Times New Roman"/>
                <w:color w:val="auto"/>
                <w:kern w:val="0"/>
                <w:sz w:val="21"/>
                <w:szCs w:val="21"/>
                <w:highlight w:val="none"/>
                <w:lang w:val="en-US" w:eastAsia="zh-CN"/>
              </w:rPr>
              <w:t>22-</w:t>
            </w:r>
            <w:r>
              <w:rPr>
                <w:rFonts w:hint="default" w:ascii="Times New Roman" w:hAnsi="Times New Roman" w:cs="Times New Roman"/>
                <w:color w:val="auto"/>
                <w:kern w:val="0"/>
                <w:sz w:val="21"/>
                <w:szCs w:val="21"/>
                <w:highlight w:val="none"/>
              </w:rPr>
              <w:t>20</w:t>
            </w:r>
            <w:r>
              <w:rPr>
                <w:rFonts w:hint="eastAsia" w:cs="Times New Roman"/>
                <w:color w:val="auto"/>
                <w:kern w:val="0"/>
                <w:sz w:val="21"/>
                <w:szCs w:val="21"/>
                <w:highlight w:val="none"/>
                <w:lang w:val="en-US" w:eastAsia="zh-CN"/>
              </w:rPr>
              <w:t>35</w:t>
            </w:r>
            <w:r>
              <w:rPr>
                <w:rFonts w:hint="default" w:ascii="Times New Roman" w:hAnsi="Times New Roman" w:cs="Times New Roman"/>
                <w:color w:val="auto"/>
                <w:kern w:val="0"/>
                <w:sz w:val="21"/>
                <w:szCs w:val="21"/>
                <w:highlight w:val="none"/>
              </w:rPr>
              <w:t>年</w:t>
            </w:r>
            <w:r>
              <w:rPr>
                <w:rFonts w:hint="eastAsia" w:cs="Times New Roman"/>
                <w:color w:val="auto"/>
                <w:kern w:val="0"/>
                <w:sz w:val="21"/>
                <w:szCs w:val="21"/>
                <w:highlight w:val="none"/>
                <w:lang w:eastAsia="zh-CN"/>
              </w:rPr>
              <w:t>；</w:t>
            </w:r>
          </w:p>
          <w:p>
            <w:pP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近期：2022—2025 年；</w:t>
            </w:r>
          </w:p>
          <w:p>
            <w:pP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中期：2026—2030 年；</w:t>
            </w:r>
          </w:p>
          <w:p>
            <w:pPr>
              <w:rPr>
                <w:rFonts w:hint="default"/>
                <w:color w:val="auto"/>
                <w:highlight w:val="none"/>
              </w:rPr>
            </w:pPr>
            <w:r>
              <w:rPr>
                <w:rFonts w:hint="eastAsia" w:cs="Times New Roman"/>
                <w:color w:val="auto"/>
                <w:kern w:val="0"/>
                <w:sz w:val="21"/>
                <w:szCs w:val="21"/>
                <w:highlight w:val="none"/>
                <w:lang w:eastAsia="zh-CN"/>
              </w:rPr>
              <w:t>远期：2031—2035 年。</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right="0" w:firstLine="420" w:firstLineChars="200"/>
              <w:jc w:val="both"/>
              <w:textAlignment w:val="auto"/>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主导产业</w:t>
            </w:r>
          </w:p>
          <w:p>
            <w:pPr>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主导产业：新能源电池。</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val="en-US" w:eastAsia="zh-CN"/>
              </w:rPr>
              <w:t>4</w:t>
            </w:r>
            <w:r>
              <w:rPr>
                <w:rFonts w:hint="default" w:ascii="Times New Roman" w:hAnsi="Times New Roman" w:cs="Times New Roman"/>
                <w:color w:val="auto"/>
                <w:kern w:val="0"/>
                <w:sz w:val="21"/>
                <w:szCs w:val="21"/>
                <w:highlight w:val="none"/>
              </w:rPr>
              <w:t>）发展定位</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发挥新乡市和凤泉区的区位交通和产业基础优势，加强与新乡国家经开区、新乡国家高新区、以及其他专业园区的协作，围绕专业园区新能源电池主导产业，通过完善上下游产业链、创新链和供应链，着力打造中西部新能源电池研发生产基地、河南省重要的新能源装备制造基地。</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中西部新能源电池研发生产基地。抢抓我国新能源汽车发展重大机遇，发挥专业园区作为全市唯一的新能源电池专业园区优势，坚持创新驱动、项目和平台带动，完善产业链条，重点推进平煤神马集团同本土优质企业深度合作，充分发挥其在产业集聚中的带动辐射作用，吸引上下游企业集聚发展，强化科研支撑，打造百亿级新能源电池产业集群，建成中西部新能源电池研发生产基地。</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green"/>
              </w:rPr>
            </w:pPr>
            <w:r>
              <w:rPr>
                <w:rFonts w:hint="default" w:ascii="Times New Roman" w:hAnsi="Times New Roman" w:cs="Times New Roman"/>
                <w:color w:val="auto"/>
                <w:kern w:val="0"/>
                <w:sz w:val="21"/>
                <w:szCs w:val="21"/>
                <w:highlight w:val="none"/>
              </w:rPr>
              <w:t>河南省重要的新能源装备制造基地。突出发展壮大电动工具、新能源专用车辆、电动车、智能装备等新能源装备制造产业，进一步延伸产业链条，集聚铜箔、铜板带、汽车配件等新能源装备配套加工和服务链条，加快形成新能源装备产业集群，建设成为河南省重要的新能源装备制造基地。</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val="en-US" w:eastAsia="zh-CN"/>
              </w:rPr>
              <w:t>5</w:t>
            </w: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eastAsia="zh-CN"/>
              </w:rPr>
              <w:t>功能分区</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根据园区发展现状、产业布局以及构建完善产业链和配套服务需要，从功能分区上规划为“一心一园四区”，即科创服务中心、表面处理产业园、新能源电池产业区、新能源电池及配套产业区、高端装备制造产业区、生活配套服务区。</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科创服务中心。在专业园区东片区标东路以西、标北二路以南、标西路以东、标南路以北区域，建设园区科创服务中心，集中布局园区的“一台两器”（研发平台、孵化器、加速器），着力打造成为专业园区的研发、孵化和加速中心。</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表面处理产业园：在专业园区西片区经三路—中心路—经四路—纬四路—经五路—区界—陈堡路—纬四路合围区域，规划建设表面处理产业园，将新乡及周边散乱分布的表面处理企业集中在园区，完善产业关键环节链条，实行四统一、一分开管理（统一生产、统一管理、统一治污、统一监测，产污、治污分开），致力于打造区域高标准、绿色化“共性产业园”。</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新能源电池产业区：在专业园区东片区，以平煤锂电、易成阳光、鑫泉能源为龙头，以高端电动工具锂电池、3C 类电池、储能电池等为主导产品，吸引相关同类型电池企业入驻，积极吸引电动工具、电动车等高端装备项目入驻，形成锂电池及下游产业集群集聚发展。</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新能源电池及配套产业区。在专业园区西片区除表面处理产业园以外区域，集中布局新能源电池、电动车以及电池材料、电池配件等配套产业项目，完善和延伸新能源电池产业链条，推动新能源电池及配套产业集群化发展。新能源装备制造产业区。在专业园区北片区，发挥现有装备制造产业基础优势，集中布局电动工具、新能源专用车辆、电动车、智能装备等新能源装备产业项目，打造新能源装备制造产业区。</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生活配套服务区。在专业园区东片区东北部的宝山大道以南、龙潭路以西、凤泉湖大道以北、和平大道以东区域，集中布局高端居住、品质商业、学校、医院项目，为园区提供生活配套服务。</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项目选址位于新乡市新能源电池专业园区</w:t>
            </w:r>
            <w:r>
              <w:rPr>
                <w:rFonts w:hint="eastAsia" w:cs="Times New Roman"/>
                <w:color w:val="auto"/>
                <w:kern w:val="0"/>
                <w:sz w:val="21"/>
                <w:szCs w:val="21"/>
                <w:highlight w:val="none"/>
                <w:lang w:eastAsia="zh-CN"/>
              </w:rPr>
              <w:t>东</w:t>
            </w:r>
            <w:r>
              <w:rPr>
                <w:rFonts w:hint="default" w:ascii="Times New Roman" w:hAnsi="Times New Roman" w:cs="Times New Roman"/>
                <w:color w:val="auto"/>
                <w:kern w:val="0"/>
                <w:sz w:val="21"/>
                <w:szCs w:val="21"/>
                <w:highlight w:val="none"/>
              </w:rPr>
              <w:t>片区，</w:t>
            </w:r>
            <w:r>
              <w:rPr>
                <w:rFonts w:hint="eastAsia" w:cs="Times New Roman"/>
                <w:color w:val="auto"/>
                <w:kern w:val="0"/>
                <w:sz w:val="21"/>
                <w:szCs w:val="21"/>
                <w:highlight w:val="none"/>
                <w:lang w:eastAsia="zh-CN"/>
              </w:rPr>
              <w:t>位</w:t>
            </w:r>
            <w:r>
              <w:rPr>
                <w:rFonts w:hint="default" w:ascii="Times New Roman" w:hAnsi="Times New Roman" w:cs="Times New Roman"/>
                <w:color w:val="auto"/>
                <w:kern w:val="0"/>
                <w:sz w:val="21"/>
                <w:szCs w:val="21"/>
                <w:highlight w:val="none"/>
              </w:rPr>
              <w:t>于新能源电池产业区</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详见附图</w:t>
            </w:r>
            <w:r>
              <w:rPr>
                <w:rFonts w:hint="eastAsia" w:cs="Times New Roman"/>
                <w:color w:val="auto"/>
                <w:kern w:val="0"/>
                <w:sz w:val="21"/>
                <w:szCs w:val="21"/>
                <w:highlight w:val="none"/>
                <w:lang w:eastAsia="zh-CN"/>
              </w:rPr>
              <w:t>四）</w:t>
            </w: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eastAsia="zh-CN"/>
              </w:rPr>
              <w:t>本</w:t>
            </w:r>
            <w:r>
              <w:rPr>
                <w:rFonts w:hint="default" w:ascii="Times New Roman" w:hAnsi="Times New Roman" w:cs="Times New Roman"/>
                <w:color w:val="auto"/>
                <w:kern w:val="0"/>
                <w:sz w:val="21"/>
                <w:szCs w:val="21"/>
                <w:highlight w:val="none"/>
              </w:rPr>
              <w:t>项目属于</w:t>
            </w:r>
            <w:r>
              <w:rPr>
                <w:rFonts w:hint="eastAsia" w:cs="Times New Roman"/>
                <w:color w:val="auto"/>
                <w:kern w:val="0"/>
                <w:sz w:val="21"/>
                <w:szCs w:val="21"/>
                <w:highlight w:val="none"/>
                <w:lang w:eastAsia="zh-CN"/>
              </w:rPr>
              <w:t>锂电子</w:t>
            </w:r>
            <w:r>
              <w:rPr>
                <w:rFonts w:hint="default" w:ascii="Times New Roman" w:hAnsi="Times New Roman" w:cs="Times New Roman"/>
                <w:color w:val="auto"/>
                <w:kern w:val="0"/>
                <w:sz w:val="21"/>
                <w:szCs w:val="21"/>
                <w:highlight w:val="none"/>
              </w:rPr>
              <w:t>电池制造，符合新能源电池产业区总体布局要求。</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val="en-US" w:eastAsia="zh-CN"/>
              </w:rPr>
              <w:t>6</w:t>
            </w:r>
            <w:r>
              <w:rPr>
                <w:rFonts w:hint="default" w:ascii="Times New Roman" w:hAnsi="Times New Roman" w:cs="Times New Roman"/>
                <w:color w:val="auto"/>
                <w:kern w:val="0"/>
                <w:sz w:val="21"/>
                <w:szCs w:val="21"/>
                <w:highlight w:val="none"/>
              </w:rPr>
              <w:t>）基础设施规划</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①给水工程规划</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eastAsia="zh-CN"/>
              </w:rPr>
              <w:t>给水现状：</w:t>
            </w:r>
            <w:r>
              <w:rPr>
                <w:rFonts w:hint="default" w:ascii="Times New Roman" w:hAnsi="Times New Roman" w:cs="Times New Roman"/>
                <w:color w:val="auto"/>
                <w:kern w:val="0"/>
                <w:sz w:val="21"/>
                <w:szCs w:val="21"/>
                <w:highlight w:val="none"/>
              </w:rPr>
              <w:t>目前，园区东片区、北片区供水依靠现有的凤泉水厂提供，凤泉水厂水源为南水北调水，地下水为备用水源，现阶段设计供水能力 5 万立方米/日；西片区无集中供水设施，区内企业仍采用自备井。</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规划供水水源及水厂规划</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园区规划东片区和北片区由凤泉水厂供水，水源采用南水北调水，地下水为备用水源。规划西片区由拟扩建的大块镇区现有水厂供水，水源近期采用地下水，中远期采用南水北调水。</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eastAsia"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供水管网规划</w:t>
            </w:r>
            <w:r>
              <w:rPr>
                <w:rFonts w:hint="eastAsia" w:cs="Times New Roman"/>
                <w:color w:val="auto"/>
                <w:kern w:val="0"/>
                <w:sz w:val="21"/>
                <w:szCs w:val="21"/>
                <w:highlight w:val="none"/>
                <w:lang w:eastAsia="zh-CN"/>
              </w:rPr>
              <w:t>：以长济高速为界，园区整体上分为两个供水分区：</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长济高速以北区域，分别沿同古路-龙潭路和同古路-卫鲁线敷设DN500的给水管至东部片区和北部片区，同时沿着宝山大道和凤泉湖大道敷设DN400的给水管，形成两个片区联网供给的格局，东部片区和北部片区内部敷设DN300~DN400的环状供水管网。</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eastAsia" w:cs="Times New Roman"/>
                <w:color w:val="auto"/>
                <w:kern w:val="0"/>
                <w:sz w:val="21"/>
                <w:szCs w:val="21"/>
                <w:highlight w:val="none"/>
                <w:lang w:eastAsia="zh-CN"/>
              </w:rPr>
            </w:pPr>
            <w:r>
              <w:rPr>
                <w:rFonts w:hint="eastAsia" w:cs="Times New Roman"/>
                <w:color w:val="auto"/>
                <w:kern w:val="0"/>
                <w:sz w:val="21"/>
                <w:szCs w:val="21"/>
                <w:highlight w:val="none"/>
                <w:lang w:eastAsia="zh-CN"/>
              </w:rPr>
              <w:t>长济高速以南的西部片区，由位于北庄路与镇东路交叉口西北角的大块镇区现状拟扩建水厂供水，沿北庄路敷设DN400供水管至西部片区后，沿经一路、中心路和纬四路敷设DN400的“U”形供水管网，其余道路敷设DN200～DN300的枝状管网。</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项目选址位于</w:t>
            </w:r>
            <w:r>
              <w:rPr>
                <w:rFonts w:hint="eastAsia" w:cs="Times New Roman"/>
                <w:color w:val="auto"/>
                <w:kern w:val="0"/>
                <w:sz w:val="21"/>
                <w:szCs w:val="21"/>
                <w:highlight w:val="none"/>
                <w:lang w:eastAsia="zh-CN"/>
              </w:rPr>
              <w:t>东</w:t>
            </w:r>
            <w:r>
              <w:rPr>
                <w:rFonts w:hint="default" w:ascii="Times New Roman" w:hAnsi="Times New Roman" w:cs="Times New Roman"/>
                <w:color w:val="auto"/>
                <w:kern w:val="0"/>
                <w:sz w:val="21"/>
                <w:szCs w:val="21"/>
                <w:highlight w:val="none"/>
              </w:rPr>
              <w:t>片区，经调查，</w:t>
            </w:r>
            <w:r>
              <w:rPr>
                <w:rFonts w:hint="eastAsia" w:cs="Times New Roman"/>
                <w:color w:val="auto"/>
                <w:kern w:val="0"/>
                <w:sz w:val="21"/>
                <w:szCs w:val="21"/>
                <w:highlight w:val="none"/>
                <w:lang w:eastAsia="zh-CN"/>
              </w:rPr>
              <w:t>项目用水由凤泉水厂提供</w:t>
            </w:r>
            <w:r>
              <w:rPr>
                <w:rFonts w:hint="default" w:ascii="Times New Roman" w:hAnsi="Times New Roman" w:cs="Times New Roman"/>
                <w:color w:val="auto"/>
                <w:kern w:val="0"/>
                <w:sz w:val="21"/>
                <w:szCs w:val="21"/>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②排水工程规划</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污水分区：园区污水以长济高速和新辉公路为界分为两个污水排放分区。长济高速以北的东片区和北片区，以及新辉公路以东的西片区污水，由新乡市凤泉污水处理厂进行收纳，服务面积约为5.29平方公里。新辉公路以西的西片区污水，由大块镇污水处理厂进行收纳，服务面积约为2.77平方公里。</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eastAsia="zh-CN"/>
              </w:rPr>
              <w:t>污水厂规划：</w:t>
            </w:r>
            <w:r>
              <w:rPr>
                <w:rFonts w:hint="default" w:ascii="Times New Roman" w:hAnsi="Times New Roman" w:cs="Times New Roman"/>
                <w:color w:val="auto"/>
                <w:kern w:val="0"/>
                <w:sz w:val="21"/>
                <w:szCs w:val="21"/>
                <w:highlight w:val="none"/>
              </w:rPr>
              <w:t>规划东片区、北片区和新辉公路以东的西片区污水由拟建的凤泉污水处理厂进行处理，新辉公路以西的西片区污水，由大块镇污水处理厂进行处理。</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项目选址位于</w:t>
            </w:r>
            <w:r>
              <w:rPr>
                <w:rFonts w:hint="eastAsia" w:cs="Times New Roman"/>
                <w:color w:val="auto"/>
                <w:kern w:val="0"/>
                <w:sz w:val="21"/>
                <w:szCs w:val="21"/>
                <w:highlight w:val="none"/>
                <w:lang w:eastAsia="zh-CN"/>
              </w:rPr>
              <w:t>长济高速以北的东片区</w:t>
            </w:r>
            <w:r>
              <w:rPr>
                <w:rFonts w:hint="default" w:ascii="Times New Roman" w:hAnsi="Times New Roman" w:cs="Times New Roman"/>
                <w:color w:val="auto"/>
                <w:kern w:val="0"/>
                <w:sz w:val="21"/>
                <w:szCs w:val="21"/>
                <w:highlight w:val="none"/>
              </w:rPr>
              <w:t>，目前规划的</w:t>
            </w:r>
            <w:r>
              <w:rPr>
                <w:rFonts w:hint="eastAsia" w:cs="Times New Roman"/>
                <w:color w:val="auto"/>
                <w:kern w:val="0"/>
                <w:sz w:val="21"/>
                <w:szCs w:val="21"/>
                <w:highlight w:val="none"/>
                <w:lang w:eastAsia="zh-CN"/>
              </w:rPr>
              <w:t>新乡市凤泉区</w:t>
            </w:r>
            <w:r>
              <w:rPr>
                <w:rFonts w:hint="default" w:ascii="Times New Roman" w:hAnsi="Times New Roman" w:cs="Times New Roman"/>
                <w:color w:val="auto"/>
                <w:kern w:val="0"/>
                <w:sz w:val="21"/>
                <w:szCs w:val="21"/>
                <w:highlight w:val="none"/>
              </w:rPr>
              <w:t>污水处理厂</w:t>
            </w:r>
            <w:r>
              <w:rPr>
                <w:rFonts w:hint="eastAsia" w:cs="Times New Roman"/>
                <w:color w:val="auto"/>
                <w:kern w:val="0"/>
                <w:sz w:val="21"/>
                <w:szCs w:val="21"/>
                <w:highlight w:val="none"/>
                <w:lang w:eastAsia="zh-CN"/>
              </w:rPr>
              <w:t>尚未建设完成</w:t>
            </w: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eastAsia="zh-CN"/>
              </w:rPr>
              <w:t>目前</w:t>
            </w:r>
            <w:r>
              <w:rPr>
                <w:rFonts w:hint="default" w:ascii="Times New Roman" w:hAnsi="Times New Roman" w:cs="Times New Roman"/>
                <w:color w:val="auto"/>
                <w:kern w:val="0"/>
                <w:sz w:val="21"/>
                <w:szCs w:val="21"/>
                <w:highlight w:val="none"/>
              </w:rPr>
              <w:t>项目生活污水经</w:t>
            </w:r>
            <w:r>
              <w:rPr>
                <w:rFonts w:hint="eastAsia" w:cs="Times New Roman"/>
                <w:color w:val="auto"/>
                <w:kern w:val="0"/>
                <w:sz w:val="21"/>
                <w:szCs w:val="21"/>
                <w:highlight w:val="none"/>
                <w:lang w:eastAsia="zh-CN"/>
              </w:rPr>
              <w:t>自建污水处理设施</w:t>
            </w:r>
            <w:r>
              <w:rPr>
                <w:rFonts w:hint="default" w:ascii="Times New Roman" w:hAnsi="Times New Roman" w:cs="Times New Roman"/>
                <w:color w:val="auto"/>
                <w:kern w:val="0"/>
                <w:sz w:val="21"/>
                <w:szCs w:val="21"/>
                <w:highlight w:val="none"/>
              </w:rPr>
              <w:t>处理后</w:t>
            </w:r>
            <w:r>
              <w:rPr>
                <w:rFonts w:hint="eastAsia" w:cs="Times New Roman"/>
                <w:color w:val="auto"/>
                <w:kern w:val="0"/>
                <w:sz w:val="21"/>
                <w:szCs w:val="21"/>
                <w:highlight w:val="none"/>
                <w:lang w:eastAsia="zh-CN"/>
              </w:rPr>
              <w:t>，通过污水管网</w:t>
            </w:r>
            <w:r>
              <w:rPr>
                <w:rFonts w:hint="default" w:ascii="Times New Roman" w:hAnsi="Times New Roman" w:cs="Times New Roman"/>
                <w:color w:val="auto"/>
                <w:kern w:val="0"/>
                <w:sz w:val="21"/>
                <w:szCs w:val="21"/>
                <w:highlight w:val="none"/>
              </w:rPr>
              <w:t>排入新乡市小尚庄污水处理厂进行进一步处理。待后期区域</w:t>
            </w:r>
            <w:r>
              <w:rPr>
                <w:rFonts w:hint="eastAsia" w:cs="Times New Roman"/>
                <w:color w:val="auto"/>
                <w:kern w:val="0"/>
                <w:sz w:val="21"/>
                <w:szCs w:val="21"/>
                <w:highlight w:val="none"/>
                <w:lang w:eastAsia="zh-CN"/>
              </w:rPr>
              <w:t>规划新乡市</w:t>
            </w:r>
            <w:r>
              <w:rPr>
                <w:rFonts w:hint="default" w:ascii="Times New Roman" w:hAnsi="Times New Roman" w:cs="Times New Roman"/>
                <w:color w:val="auto"/>
                <w:kern w:val="0"/>
                <w:sz w:val="21"/>
                <w:szCs w:val="21"/>
                <w:highlight w:val="none"/>
              </w:rPr>
              <w:t>凤泉区污水处理厂建成后排入</w:t>
            </w:r>
            <w:r>
              <w:rPr>
                <w:rFonts w:hint="eastAsia" w:cs="Times New Roman"/>
                <w:color w:val="auto"/>
                <w:kern w:val="0"/>
                <w:sz w:val="21"/>
                <w:szCs w:val="21"/>
                <w:highlight w:val="none"/>
                <w:lang w:eastAsia="zh-CN"/>
              </w:rPr>
              <w:t>新乡市</w:t>
            </w:r>
            <w:r>
              <w:rPr>
                <w:rFonts w:hint="default" w:ascii="Times New Roman" w:hAnsi="Times New Roman" w:cs="Times New Roman"/>
                <w:color w:val="auto"/>
                <w:kern w:val="0"/>
                <w:sz w:val="21"/>
                <w:szCs w:val="21"/>
                <w:highlight w:val="none"/>
              </w:rPr>
              <w:t>凤泉区污水处理厂处理。</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val="en-US" w:eastAsia="zh-CN"/>
              </w:rPr>
              <w:t>7</w:t>
            </w:r>
            <w:r>
              <w:rPr>
                <w:rFonts w:hint="default" w:ascii="Times New Roman" w:hAnsi="Times New Roman" w:cs="Times New Roman"/>
                <w:color w:val="auto"/>
                <w:kern w:val="0"/>
                <w:sz w:val="21"/>
                <w:szCs w:val="21"/>
                <w:highlight w:val="none"/>
              </w:rPr>
              <w:t>）环境</w:t>
            </w:r>
            <w:r>
              <w:rPr>
                <w:rFonts w:hint="eastAsia" w:cs="Times New Roman"/>
                <w:color w:val="auto"/>
                <w:kern w:val="0"/>
                <w:sz w:val="21"/>
                <w:szCs w:val="21"/>
                <w:highlight w:val="none"/>
                <w:lang w:eastAsia="zh-CN"/>
              </w:rPr>
              <w:t>保护</w:t>
            </w:r>
            <w:r>
              <w:rPr>
                <w:rFonts w:hint="default" w:ascii="Times New Roman" w:hAnsi="Times New Roman" w:cs="Times New Roman"/>
                <w:color w:val="auto"/>
                <w:kern w:val="0"/>
                <w:sz w:val="21"/>
                <w:szCs w:val="21"/>
                <w:highlight w:val="none"/>
              </w:rPr>
              <w:t>准入条件</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项目选址位于新乡市新能源电池专业园区</w:t>
            </w:r>
            <w:r>
              <w:rPr>
                <w:rFonts w:hint="eastAsia" w:cs="Times New Roman"/>
                <w:color w:val="auto"/>
                <w:kern w:val="0"/>
                <w:sz w:val="21"/>
                <w:szCs w:val="21"/>
                <w:highlight w:val="none"/>
                <w:lang w:eastAsia="zh-CN"/>
              </w:rPr>
              <w:t>东片区</w:t>
            </w:r>
            <w:r>
              <w:rPr>
                <w:rFonts w:hint="default" w:ascii="Times New Roman" w:hAnsi="Times New Roman" w:cs="Times New Roman"/>
                <w:color w:val="auto"/>
                <w:kern w:val="0"/>
                <w:sz w:val="21"/>
                <w:szCs w:val="21"/>
                <w:highlight w:val="none"/>
              </w:rPr>
              <w:t>，根据《</w:t>
            </w:r>
            <w:r>
              <w:rPr>
                <w:rFonts w:hint="default" w:ascii="Times New Roman" w:hAnsi="Times New Roman" w:eastAsia="宋体" w:cs="Times New Roman"/>
                <w:color w:val="auto"/>
                <w:kern w:val="0"/>
                <w:sz w:val="21"/>
                <w:szCs w:val="21"/>
                <w:highlight w:val="none"/>
                <w:lang w:eastAsia="zh-CN"/>
              </w:rPr>
              <w:t>新乡市新能源电池专业园区发展规划（2022-2035年）环境影响报告书</w:t>
            </w: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eastAsia="zh-CN"/>
              </w:rPr>
              <w:t>本项目与</w:t>
            </w:r>
            <w:r>
              <w:rPr>
                <w:rFonts w:hint="default" w:ascii="Times New Roman" w:hAnsi="Times New Roman" w:cs="Times New Roman"/>
                <w:color w:val="auto"/>
                <w:kern w:val="0"/>
                <w:sz w:val="21"/>
                <w:szCs w:val="21"/>
                <w:highlight w:val="none"/>
              </w:rPr>
              <w:t>新乡市新能源电池专业园区准入条件对照分析如下</w:t>
            </w:r>
            <w:r>
              <w:rPr>
                <w:rFonts w:hint="eastAsia" w:cs="Times New Roman"/>
                <w:color w:val="auto"/>
                <w:kern w:val="0"/>
                <w:sz w:val="21"/>
                <w:szCs w:val="21"/>
                <w:highlight w:val="none"/>
                <w:lang w:eastAsia="zh-CN"/>
              </w:rPr>
              <w:t>：</w:t>
            </w:r>
          </w:p>
          <w:p>
            <w:pPr>
              <w:keepNext w:val="0"/>
              <w:keepLines w:val="0"/>
              <w:pageBreakBefore w:val="0"/>
              <w:widowControl w:val="0"/>
              <w:numPr>
                <w:ilvl w:val="0"/>
                <w:numId w:val="2"/>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pt-BR"/>
              </w:rPr>
            </w:pPr>
            <w:r>
              <w:rPr>
                <w:rFonts w:hint="default" w:ascii="Times New Roman" w:hAnsi="Times New Roman" w:cs="Times New Roman"/>
                <w:b/>
                <w:bCs/>
                <w:color w:val="auto"/>
                <w:sz w:val="18"/>
                <w:szCs w:val="18"/>
                <w:highlight w:val="none"/>
                <w:lang w:val="pt-BR"/>
              </w:rPr>
              <w:t>与新乡市新能源电池专业园区准入条件相符性分析一览表</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9"/>
              <w:gridCol w:w="2807"/>
              <w:gridCol w:w="2536"/>
              <w:gridCol w:w="8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6" w:type="dxa"/>
                  <w:gridSpan w:val="2"/>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准入条件</w:t>
                  </w:r>
                </w:p>
              </w:tc>
              <w:tc>
                <w:tcPr>
                  <w:tcW w:w="2536"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本项目情况</w:t>
                  </w:r>
                </w:p>
              </w:tc>
              <w:tc>
                <w:tcPr>
                  <w:tcW w:w="845"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restart"/>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空间布局约束</w:t>
                  </w:r>
                </w:p>
              </w:tc>
              <w:tc>
                <w:tcPr>
                  <w:tcW w:w="2807"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1.鼓励依托龙头企业发展上下游关联度强、技术水平高、绿色安全环保的企业和项目，进一步补链、延链、强链。</w:t>
                  </w:r>
                </w:p>
              </w:tc>
              <w:tc>
                <w:tcPr>
                  <w:tcW w:w="2536"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eastAsia="zh-CN"/>
                    </w:rPr>
                    <w:t>项目产品为单体锂离子电池，可</w:t>
                  </w:r>
                  <w:r>
                    <w:rPr>
                      <w:rFonts w:hint="eastAsia" w:cs="Times New Roman"/>
                      <w:b w:val="0"/>
                      <w:bCs/>
                      <w:color w:val="auto"/>
                      <w:sz w:val="18"/>
                      <w:szCs w:val="18"/>
                      <w:highlight w:val="none"/>
                      <w:lang w:eastAsia="zh-CN"/>
                    </w:rPr>
                    <w:t>与</w:t>
                  </w:r>
                  <w:r>
                    <w:rPr>
                      <w:rFonts w:hint="eastAsia" w:ascii="Times New Roman" w:hAnsi="Times New Roman" w:cs="Times New Roman"/>
                      <w:b w:val="0"/>
                      <w:bCs/>
                      <w:color w:val="auto"/>
                      <w:sz w:val="18"/>
                      <w:szCs w:val="18"/>
                      <w:highlight w:val="none"/>
                      <w:lang w:eastAsia="zh-CN"/>
                    </w:rPr>
                    <w:t>下游锂电池组</w:t>
                  </w:r>
                  <w:r>
                    <w:rPr>
                      <w:rFonts w:hint="eastAsia" w:cs="Times New Roman"/>
                      <w:b w:val="0"/>
                      <w:bCs/>
                      <w:color w:val="auto"/>
                      <w:sz w:val="18"/>
                      <w:szCs w:val="18"/>
                      <w:highlight w:val="none"/>
                      <w:lang w:eastAsia="zh-CN"/>
                    </w:rPr>
                    <w:t>形成互补链</w:t>
                  </w:r>
                </w:p>
              </w:tc>
              <w:tc>
                <w:tcPr>
                  <w:tcW w:w="845"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eastAsia" w:ascii="Times New Roman" w:hAnsi="Times New Roman" w:cs="Times New Roman"/>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p>
              </w:tc>
              <w:tc>
                <w:tcPr>
                  <w:tcW w:w="2807"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2.园区引入项目应符合园区产业定位、产业发展规划、《产业结构调整指导目录》（以最新版为准）及相关环保政策、行业审批原则、行业准入条件等要求。</w:t>
                  </w:r>
                </w:p>
              </w:tc>
              <w:tc>
                <w:tcPr>
                  <w:tcW w:w="2536"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项目属于锂离子电池制造，符合新乡市新能源电池专业园区产业定位、产业布局规划和土地利用规划，同时项目属于《产业结构调整指导目录（2019年本）》，属于第一类鼓励类、第十九条轻工第16项”</w:t>
                  </w:r>
                </w:p>
              </w:tc>
              <w:tc>
                <w:tcPr>
                  <w:tcW w:w="845"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r>
                    <w:rPr>
                      <w:rFonts w:hint="eastAsia" w:ascii="Times New Roman" w:hAnsi="Times New Roman" w:cs="Times New Roman"/>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p>
              </w:tc>
              <w:tc>
                <w:tcPr>
                  <w:tcW w:w="2807"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3.表面处理产业园内可入驻电池及其他产业相关的电镀项目，园区内表面处理产业园外仅入驻主导产业相关的电镀项目，禁止在凤泉区其他区域引入电镀项目。</w:t>
                  </w:r>
                </w:p>
              </w:tc>
              <w:tc>
                <w:tcPr>
                  <w:tcW w:w="2536"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ascii="Times New Roman" w:hAnsi="Times New Roman" w:cs="Times New Roman"/>
                      <w:b w:val="0"/>
                      <w:bCs/>
                      <w:color w:val="auto"/>
                      <w:sz w:val="18"/>
                      <w:szCs w:val="18"/>
                      <w:highlight w:val="none"/>
                      <w:lang w:eastAsia="zh-CN"/>
                    </w:rPr>
                    <w:t>本项目不涉及表面处理工序</w:t>
                  </w:r>
                </w:p>
              </w:tc>
              <w:tc>
                <w:tcPr>
                  <w:tcW w:w="845"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r>
                    <w:rPr>
                      <w:rFonts w:hint="eastAsia" w:ascii="Times New Roman" w:hAnsi="Times New Roman" w:cs="Times New Roman"/>
                      <w:b w:val="0"/>
                      <w:bCs/>
                      <w:color w:val="auto"/>
                      <w:sz w:val="18"/>
                      <w:szCs w:val="18"/>
                      <w:highlight w:val="none"/>
                      <w:lang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p>
              </w:tc>
              <w:tc>
                <w:tcPr>
                  <w:tcW w:w="2807"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4.鼓励引入与电池相关的研发项目，允许科创中心依托现有医药、新材料等产业进行研发、试验。</w:t>
                  </w:r>
                </w:p>
              </w:tc>
              <w:tc>
                <w:tcPr>
                  <w:tcW w:w="2536"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ascii="Times New Roman" w:hAnsi="Times New Roman" w:cs="Times New Roman"/>
                      <w:b w:val="0"/>
                      <w:bCs/>
                      <w:color w:val="auto"/>
                      <w:sz w:val="18"/>
                      <w:szCs w:val="18"/>
                      <w:highlight w:val="none"/>
                      <w:lang w:eastAsia="zh-CN"/>
                    </w:rPr>
                    <w:t>本项目属于锂离子电池制造</w:t>
                  </w:r>
                  <w:r>
                    <w:rPr>
                      <w:rFonts w:hint="eastAsia" w:cs="Times New Roman"/>
                      <w:b w:val="0"/>
                      <w:bCs/>
                      <w:color w:val="auto"/>
                      <w:sz w:val="18"/>
                      <w:szCs w:val="18"/>
                      <w:highlight w:val="none"/>
                      <w:lang w:eastAsia="zh-CN"/>
                    </w:rPr>
                    <w:t>项目，不涉及产品研发</w:t>
                  </w:r>
                </w:p>
              </w:tc>
              <w:tc>
                <w:tcPr>
                  <w:tcW w:w="845"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r>
                    <w:rPr>
                      <w:rFonts w:hint="eastAsia" w:ascii="Times New Roman" w:hAnsi="Times New Roman" w:cs="Times New Roman"/>
                      <w:b w:val="0"/>
                      <w:bCs/>
                      <w:color w:val="auto"/>
                      <w:sz w:val="18"/>
                      <w:szCs w:val="18"/>
                      <w:highlight w:val="none"/>
                      <w:lang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p>
              </w:tc>
              <w:tc>
                <w:tcPr>
                  <w:tcW w:w="2807"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5.园区内现有化工企业在不扩大用地规模、“增产减污”或“增产不增污”的条件下，可在产业链上适当发展。</w:t>
                  </w:r>
                </w:p>
              </w:tc>
              <w:tc>
                <w:tcPr>
                  <w:tcW w:w="2536"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ascii="Times New Roman" w:hAnsi="Times New Roman" w:cs="Times New Roman"/>
                      <w:b w:val="0"/>
                      <w:bCs/>
                      <w:color w:val="auto"/>
                      <w:sz w:val="18"/>
                      <w:szCs w:val="18"/>
                      <w:highlight w:val="none"/>
                      <w:lang w:eastAsia="zh-CN"/>
                    </w:rPr>
                    <w:t>本项目不属于化工企业</w:t>
                  </w:r>
                </w:p>
              </w:tc>
              <w:tc>
                <w:tcPr>
                  <w:tcW w:w="845"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r>
                    <w:rPr>
                      <w:rFonts w:hint="eastAsia" w:ascii="Times New Roman" w:hAnsi="Times New Roman" w:cs="Times New Roman"/>
                      <w:b w:val="0"/>
                      <w:bCs/>
                      <w:color w:val="auto"/>
                      <w:sz w:val="18"/>
                      <w:szCs w:val="18"/>
                      <w:highlight w:val="none"/>
                      <w:lang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p>
              </w:tc>
              <w:tc>
                <w:tcPr>
                  <w:tcW w:w="2807"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6.禁止建设生产和使用高VOCs含量的溶剂型涂料、油墨、胶粘剂等项目。</w:t>
                  </w:r>
                </w:p>
              </w:tc>
              <w:tc>
                <w:tcPr>
                  <w:tcW w:w="2536"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ascii="Times New Roman" w:hAnsi="Times New Roman" w:cs="Times New Roman"/>
                      <w:b w:val="0"/>
                      <w:bCs/>
                      <w:color w:val="auto"/>
                      <w:sz w:val="18"/>
                      <w:szCs w:val="18"/>
                      <w:highlight w:val="none"/>
                      <w:lang w:eastAsia="zh-CN"/>
                    </w:rPr>
                    <w:t>项目不涉及使用</w:t>
                  </w:r>
                  <w:r>
                    <w:rPr>
                      <w:rFonts w:hint="default" w:ascii="Times New Roman" w:hAnsi="Times New Roman" w:cs="Times New Roman"/>
                      <w:b w:val="0"/>
                      <w:bCs/>
                      <w:color w:val="auto"/>
                      <w:sz w:val="18"/>
                      <w:szCs w:val="18"/>
                      <w:highlight w:val="none"/>
                    </w:rPr>
                    <w:t>涂料、油墨、胶粘剂</w:t>
                  </w:r>
                  <w:r>
                    <w:rPr>
                      <w:rFonts w:hint="eastAsia" w:cs="Times New Roman"/>
                      <w:b w:val="0"/>
                      <w:bCs/>
                      <w:color w:val="auto"/>
                      <w:sz w:val="18"/>
                      <w:szCs w:val="18"/>
                      <w:highlight w:val="none"/>
                      <w:lang w:eastAsia="zh-CN"/>
                    </w:rPr>
                    <w:t>等</w:t>
                  </w:r>
                </w:p>
              </w:tc>
              <w:tc>
                <w:tcPr>
                  <w:tcW w:w="845"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r>
                    <w:rPr>
                      <w:rFonts w:hint="eastAsia" w:ascii="Times New Roman" w:hAnsi="Times New Roman" w:cs="Times New Roman"/>
                      <w:b w:val="0"/>
                      <w:bCs/>
                      <w:color w:val="auto"/>
                      <w:sz w:val="18"/>
                      <w:szCs w:val="18"/>
                      <w:highlight w:val="none"/>
                      <w:lang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p>
              </w:tc>
              <w:tc>
                <w:tcPr>
                  <w:tcW w:w="2807"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7.新建非铅酸电池回收项目应入驻西片区。</w:t>
                  </w:r>
                </w:p>
              </w:tc>
              <w:tc>
                <w:tcPr>
                  <w:tcW w:w="2536"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ascii="Times New Roman" w:hAnsi="Times New Roman" w:cs="Times New Roman"/>
                      <w:b w:val="0"/>
                      <w:bCs/>
                      <w:color w:val="auto"/>
                      <w:sz w:val="18"/>
                      <w:szCs w:val="18"/>
                      <w:highlight w:val="none"/>
                      <w:lang w:eastAsia="zh-CN"/>
                    </w:rPr>
                    <w:t>项目属于锂离子电池制造项目，选址位于</w:t>
                  </w:r>
                  <w:r>
                    <w:rPr>
                      <w:rFonts w:hint="eastAsia" w:cs="Times New Roman"/>
                      <w:b w:val="0"/>
                      <w:bCs/>
                      <w:color w:val="auto"/>
                      <w:sz w:val="18"/>
                      <w:szCs w:val="18"/>
                      <w:highlight w:val="none"/>
                      <w:lang w:eastAsia="zh-CN"/>
                    </w:rPr>
                    <w:t>东</w:t>
                  </w:r>
                  <w:r>
                    <w:rPr>
                      <w:rFonts w:hint="eastAsia" w:ascii="Times New Roman" w:hAnsi="Times New Roman" w:cs="Times New Roman"/>
                      <w:b w:val="0"/>
                      <w:bCs/>
                      <w:color w:val="auto"/>
                      <w:sz w:val="18"/>
                      <w:szCs w:val="18"/>
                      <w:highlight w:val="none"/>
                      <w:lang w:eastAsia="zh-CN"/>
                    </w:rPr>
                    <w:t>片区</w:t>
                  </w:r>
                </w:p>
              </w:tc>
              <w:tc>
                <w:tcPr>
                  <w:tcW w:w="845"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r>
                    <w:rPr>
                      <w:rFonts w:hint="eastAsia" w:ascii="Times New Roman" w:hAnsi="Times New Roman" w:cs="Times New Roman"/>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p>
              </w:tc>
              <w:tc>
                <w:tcPr>
                  <w:tcW w:w="2807"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8.禁止新、改、扩建“两高”项目，与主导产业相关的项目除外。</w:t>
                  </w:r>
                </w:p>
              </w:tc>
              <w:tc>
                <w:tcPr>
                  <w:tcW w:w="2536"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color w:val="auto"/>
                      <w:spacing w:val="-4"/>
                      <w:sz w:val="18"/>
                      <w:szCs w:val="18"/>
                      <w:highlight w:val="none"/>
                      <w:lang w:val="en-US" w:eastAsia="zh-CN"/>
                    </w:rPr>
                    <w:t>经对照《关于印发河南省“两高”项目管理名录（2023年修订）的通知》（豫发改环资（2023）38号），本项目不属于“两高”类项目。</w:t>
                  </w:r>
                </w:p>
              </w:tc>
              <w:tc>
                <w:tcPr>
                  <w:tcW w:w="845"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r>
                    <w:rPr>
                      <w:rFonts w:hint="eastAsia" w:ascii="Times New Roman" w:hAnsi="Times New Roman" w:cs="Times New Roman"/>
                      <w:b w:val="0"/>
                      <w:bCs/>
                      <w:color w:val="auto"/>
                      <w:sz w:val="18"/>
                      <w:szCs w:val="18"/>
                      <w:highlight w:val="none"/>
                      <w:lang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p>
              </w:tc>
              <w:tc>
                <w:tcPr>
                  <w:tcW w:w="2807"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9、新建、改建、扩建项目须符合生态环境保护法律法规和相关法定规划，满足重点污染物排放总量控制、碳排放达峰目标、生态环境准入清单、相关规划环评和相应行业建设项目环境准入条件、环评文件审批原则要求。</w:t>
                  </w:r>
                </w:p>
              </w:tc>
              <w:tc>
                <w:tcPr>
                  <w:tcW w:w="2536"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本项目属于新建项目，符合</w:t>
                  </w:r>
                  <w:r>
                    <w:rPr>
                      <w:rFonts w:hint="default" w:ascii="Times New Roman" w:hAnsi="Times New Roman" w:cs="Times New Roman"/>
                      <w:b w:val="0"/>
                      <w:bCs/>
                      <w:color w:val="auto"/>
                      <w:sz w:val="18"/>
                      <w:szCs w:val="18"/>
                      <w:highlight w:val="none"/>
                    </w:rPr>
                    <w:t>生态环境保护法律法规和相关法定规划</w:t>
                  </w:r>
                  <w:r>
                    <w:rPr>
                      <w:rFonts w:hint="eastAsia" w:ascii="Times New Roman" w:hAnsi="Times New Roman" w:cs="Times New Roman"/>
                      <w:b w:val="0"/>
                      <w:bCs/>
                      <w:color w:val="auto"/>
                      <w:sz w:val="18"/>
                      <w:szCs w:val="18"/>
                      <w:highlight w:val="none"/>
                      <w:lang w:eastAsia="zh-CN"/>
                    </w:rPr>
                    <w:t>，能够满足</w:t>
                  </w:r>
                  <w:r>
                    <w:rPr>
                      <w:rFonts w:hint="default" w:ascii="Times New Roman" w:hAnsi="Times New Roman" w:cs="Times New Roman"/>
                      <w:b w:val="0"/>
                      <w:bCs/>
                      <w:color w:val="auto"/>
                      <w:sz w:val="18"/>
                      <w:szCs w:val="18"/>
                      <w:highlight w:val="none"/>
                    </w:rPr>
                    <w:t>重点污染物排放总量控制</w:t>
                  </w:r>
                  <w:r>
                    <w:rPr>
                      <w:rFonts w:hint="eastAsia" w:ascii="Times New Roman" w:hAnsi="Times New Roman" w:cs="Times New Roman"/>
                      <w:b w:val="0"/>
                      <w:bCs/>
                      <w:color w:val="auto"/>
                      <w:sz w:val="18"/>
                      <w:szCs w:val="18"/>
                      <w:highlight w:val="none"/>
                      <w:lang w:eastAsia="zh-CN"/>
                    </w:rPr>
                    <w:t>、新乡市</w:t>
                  </w:r>
                  <w:r>
                    <w:rPr>
                      <w:rFonts w:hint="default" w:ascii="Times New Roman" w:hAnsi="Times New Roman" w:cs="Times New Roman"/>
                      <w:b w:val="0"/>
                      <w:bCs/>
                      <w:color w:val="auto"/>
                      <w:sz w:val="18"/>
                      <w:szCs w:val="18"/>
                      <w:highlight w:val="none"/>
                    </w:rPr>
                    <w:t>生态环境准入清单</w:t>
                  </w:r>
                  <w:r>
                    <w:rPr>
                      <w:rFonts w:hint="eastAsia" w:ascii="Times New Roman" w:hAnsi="Times New Roman" w:cs="Times New Roman"/>
                      <w:b w:val="0"/>
                      <w:bCs/>
                      <w:color w:val="auto"/>
                      <w:sz w:val="18"/>
                      <w:szCs w:val="18"/>
                      <w:highlight w:val="none"/>
                      <w:lang w:eastAsia="zh-CN"/>
                    </w:rPr>
                    <w:t>要求、新乡市新能源电池专业园区产业布局规划和土地利用规划等要求</w:t>
                  </w:r>
                </w:p>
              </w:tc>
              <w:tc>
                <w:tcPr>
                  <w:tcW w:w="845"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r>
                    <w:rPr>
                      <w:rFonts w:hint="eastAsia" w:cs="Times New Roman"/>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restart"/>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污染物排放管控</w:t>
                  </w:r>
                </w:p>
              </w:tc>
              <w:tc>
                <w:tcPr>
                  <w:tcW w:w="2807"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1.引进项目的生产工艺、设备、污染治理技术，以及单位产品水耗、能耗、物耗、污染物排放和资源利用率等均需达到同行业国内先进水平或国际领先水平。</w:t>
                  </w:r>
                </w:p>
              </w:tc>
              <w:tc>
                <w:tcPr>
                  <w:tcW w:w="2536"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eastAsia="zh-CN"/>
                    </w:rPr>
                    <w:t>本项目不属于引进项目，项目生产工艺、设备均采用全自动化生产设备，能够达到</w:t>
                  </w:r>
                  <w:r>
                    <w:rPr>
                      <w:rFonts w:hint="default" w:ascii="Times New Roman" w:hAnsi="Times New Roman" w:cs="Times New Roman"/>
                      <w:b w:val="0"/>
                      <w:bCs/>
                      <w:color w:val="auto"/>
                      <w:sz w:val="18"/>
                      <w:szCs w:val="18"/>
                      <w:highlight w:val="none"/>
                    </w:rPr>
                    <w:t>同行业国内先进水平</w:t>
                  </w:r>
                </w:p>
              </w:tc>
              <w:tc>
                <w:tcPr>
                  <w:tcW w:w="845"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p>
              </w:tc>
              <w:tc>
                <w:tcPr>
                  <w:tcW w:w="2807"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2.鼓励现有电池制造企业采用先进生产及污染治理工艺，提高清洁生产水平。</w:t>
                  </w:r>
                </w:p>
              </w:tc>
              <w:tc>
                <w:tcPr>
                  <w:tcW w:w="2536"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本项目属于新建锂离子电池制造项目</w:t>
                  </w:r>
                </w:p>
              </w:tc>
              <w:tc>
                <w:tcPr>
                  <w:tcW w:w="845"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p>
              </w:tc>
              <w:tc>
                <w:tcPr>
                  <w:tcW w:w="2807"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3.规范表面处理产业园电镀项目建设，电镀生产线离地架空建设；配套的废气、废水处理设施必须采用可靠、成熟的处理工艺，确保正常运行，做到达标排放。</w:t>
                  </w:r>
                </w:p>
              </w:tc>
              <w:tc>
                <w:tcPr>
                  <w:tcW w:w="2536"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eastAsia="zh-CN"/>
                    </w:rPr>
                    <w:t>本项目不涉及表面处理工序，项目废气拟采用“</w:t>
                  </w:r>
                  <w:r>
                    <w:rPr>
                      <w:rFonts w:hint="eastAsia" w:cs="Times New Roman"/>
                      <w:b w:val="0"/>
                      <w:bCs/>
                      <w:color w:val="auto"/>
                      <w:sz w:val="18"/>
                      <w:szCs w:val="18"/>
                      <w:highlight w:val="none"/>
                      <w:lang w:val="en-US" w:eastAsia="zh-CN"/>
                    </w:rPr>
                    <w:t>UV光催化氧化+活性炭吸附</w:t>
                  </w:r>
                  <w:r>
                    <w:rPr>
                      <w:rFonts w:hint="eastAsia" w:cs="Times New Roman"/>
                      <w:b w:val="0"/>
                      <w:bCs/>
                      <w:color w:val="auto"/>
                      <w:sz w:val="18"/>
                      <w:szCs w:val="18"/>
                      <w:highlight w:val="none"/>
                      <w:lang w:eastAsia="zh-CN"/>
                    </w:rPr>
                    <w:t>”</w:t>
                  </w:r>
                  <w:r>
                    <w:rPr>
                      <w:rFonts w:hint="eastAsia" w:cs="Times New Roman"/>
                      <w:b w:val="0"/>
                      <w:bCs/>
                      <w:color w:val="auto"/>
                      <w:sz w:val="18"/>
                      <w:szCs w:val="18"/>
                      <w:highlight w:val="none"/>
                      <w:lang w:val="en-US" w:eastAsia="zh-CN"/>
                    </w:rPr>
                    <w:t>装置处理，废水拟采用地埋式A/O一体化污水处理设施处理，均属于《排污许可证申请与核发技术规范—电池工业》（HJ967-2018）中可行技术，能够做到达标排放</w:t>
                  </w:r>
                </w:p>
              </w:tc>
              <w:tc>
                <w:tcPr>
                  <w:tcW w:w="845"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p>
              </w:tc>
              <w:tc>
                <w:tcPr>
                  <w:tcW w:w="2807"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4.园区内镀铬、镍、铅、镉的电镀工段废水（包括含铬钝化、镍封、退镍工序等）及相应清洗废水应全部回用，其他废水经厂内污水处理设施处理后尽可能回用。</w:t>
                  </w:r>
                </w:p>
              </w:tc>
              <w:tc>
                <w:tcPr>
                  <w:tcW w:w="2536"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项目不涉及电镀工序</w:t>
                  </w:r>
                </w:p>
              </w:tc>
              <w:tc>
                <w:tcPr>
                  <w:tcW w:w="845"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p>
              </w:tc>
              <w:tc>
                <w:tcPr>
                  <w:tcW w:w="2807"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5.电池回收项目应采用较为先进的电池回收工艺。</w:t>
                  </w:r>
                </w:p>
              </w:tc>
              <w:tc>
                <w:tcPr>
                  <w:tcW w:w="2536"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项目属于新建锂离子电池制造，不涉及电池回收</w:t>
                  </w:r>
                </w:p>
              </w:tc>
              <w:tc>
                <w:tcPr>
                  <w:tcW w:w="845"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p>
              </w:tc>
              <w:tc>
                <w:tcPr>
                  <w:tcW w:w="2807"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6.新、改、扩建排放VOCs的项目，应从源头加强控制，使用低（无）VOCs含量的原辅材料，配套安装高效收集、治理设施。</w:t>
                  </w:r>
                </w:p>
              </w:tc>
              <w:tc>
                <w:tcPr>
                  <w:tcW w:w="2536"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项目属于新建排放</w:t>
                  </w:r>
                  <w:r>
                    <w:rPr>
                      <w:rFonts w:hint="default" w:ascii="Times New Roman" w:hAnsi="Times New Roman" w:cs="Times New Roman"/>
                      <w:b w:val="0"/>
                      <w:bCs/>
                      <w:color w:val="auto"/>
                      <w:sz w:val="18"/>
                      <w:szCs w:val="18"/>
                      <w:highlight w:val="none"/>
                    </w:rPr>
                    <w:t>VOCs的项目</w:t>
                  </w:r>
                  <w:r>
                    <w:rPr>
                      <w:rFonts w:hint="eastAsia" w:ascii="Times New Roman" w:hAnsi="Times New Roman" w:cs="Times New Roman"/>
                      <w:b w:val="0"/>
                      <w:bCs/>
                      <w:color w:val="auto"/>
                      <w:sz w:val="18"/>
                      <w:szCs w:val="18"/>
                      <w:highlight w:val="none"/>
                      <w:lang w:eastAsia="zh-CN"/>
                    </w:rPr>
                    <w:t>，废气主要为注液工序电解液挥发废气，该部分废气随着抽真空尾气排出，通过设置密闭管道接入废气治理设施处理，可确保废气高效收集</w:t>
                  </w:r>
                </w:p>
              </w:tc>
              <w:tc>
                <w:tcPr>
                  <w:tcW w:w="845"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p>
              </w:tc>
              <w:tc>
                <w:tcPr>
                  <w:tcW w:w="2807"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7.新建项目的污染物排放指标需满足区域用水、排水及水污染物总量控制指标要求。</w:t>
                  </w:r>
                </w:p>
              </w:tc>
              <w:tc>
                <w:tcPr>
                  <w:tcW w:w="2536"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项目新增废气、废水污染物排放能够满足</w:t>
                  </w:r>
                  <w:r>
                    <w:rPr>
                      <w:rFonts w:hint="default" w:ascii="Times New Roman" w:hAnsi="Times New Roman" w:cs="Times New Roman"/>
                      <w:b w:val="0"/>
                      <w:bCs/>
                      <w:color w:val="auto"/>
                      <w:sz w:val="18"/>
                      <w:szCs w:val="18"/>
                      <w:highlight w:val="none"/>
                    </w:rPr>
                    <w:t>区域用水、排水及水污染物总量控制</w:t>
                  </w:r>
                  <w:r>
                    <w:rPr>
                      <w:rFonts w:hint="eastAsia" w:ascii="Times New Roman" w:hAnsi="Times New Roman" w:cs="Times New Roman"/>
                      <w:b w:val="0"/>
                      <w:bCs/>
                      <w:color w:val="auto"/>
                      <w:sz w:val="18"/>
                      <w:szCs w:val="18"/>
                      <w:highlight w:val="none"/>
                      <w:lang w:eastAsia="zh-CN"/>
                    </w:rPr>
                    <w:t>指标要求，新增污染物将按照《新乡市建设项目新增总量指标替代管理指导意见（试行）》的要求进行倍量消减替代。</w:t>
                  </w:r>
                </w:p>
              </w:tc>
              <w:tc>
                <w:tcPr>
                  <w:tcW w:w="845"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p>
              </w:tc>
              <w:tc>
                <w:tcPr>
                  <w:tcW w:w="2807"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8.强化项目环评及“三同时”管理，国家、省绩效分级重点行业企业新建、扩建项目达到A级绩效水平，改建项目达到B级以上绩效水平。</w:t>
                  </w:r>
                </w:p>
              </w:tc>
              <w:tc>
                <w:tcPr>
                  <w:tcW w:w="2536"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项目建设建设过程将严格执行</w:t>
                  </w:r>
                  <w:r>
                    <w:rPr>
                      <w:rFonts w:hint="default" w:ascii="Times New Roman" w:hAnsi="Times New Roman" w:cs="Times New Roman"/>
                      <w:b w:val="0"/>
                      <w:bCs/>
                      <w:color w:val="auto"/>
                      <w:sz w:val="18"/>
                      <w:szCs w:val="18"/>
                      <w:highlight w:val="none"/>
                    </w:rPr>
                    <w:t>环评及“三同时”管理</w:t>
                  </w:r>
                  <w:r>
                    <w:rPr>
                      <w:rFonts w:hint="eastAsia" w:ascii="Times New Roman" w:hAnsi="Times New Roman" w:cs="Times New Roman"/>
                      <w:b w:val="0"/>
                      <w:bCs/>
                      <w:color w:val="auto"/>
                      <w:sz w:val="18"/>
                      <w:szCs w:val="18"/>
                      <w:highlight w:val="none"/>
                      <w:lang w:eastAsia="zh-CN"/>
                    </w:rPr>
                    <w:t>要求，</w:t>
                  </w:r>
                  <w:r>
                    <w:rPr>
                      <w:rFonts w:hint="eastAsia" w:cs="Times New Roman"/>
                      <w:color w:val="auto"/>
                      <w:sz w:val="18"/>
                      <w:szCs w:val="18"/>
                      <w:highlight w:val="none"/>
                      <w:lang w:eastAsia="zh-CN"/>
                    </w:rPr>
                    <w:t>建成后达到《河南省重污染天气重点行业应急减排措施制定技术指南》（</w:t>
                  </w:r>
                  <w:r>
                    <w:rPr>
                      <w:rFonts w:hint="eastAsia" w:cs="Times New Roman"/>
                      <w:color w:val="auto"/>
                      <w:sz w:val="18"/>
                      <w:szCs w:val="18"/>
                      <w:highlight w:val="none"/>
                      <w:lang w:val="en-US" w:eastAsia="zh-CN"/>
                    </w:rPr>
                    <w:t>2021修订版</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lang w:eastAsia="zh-CN"/>
                    </w:rPr>
                    <w:t>中“十、</w:t>
                  </w:r>
                  <w:r>
                    <w:rPr>
                      <w:rFonts w:hint="eastAsia" w:cs="Times New Roman"/>
                      <w:color w:val="auto"/>
                      <w:sz w:val="18"/>
                      <w:szCs w:val="18"/>
                      <w:highlight w:val="none"/>
                      <w:lang w:eastAsia="zh-CN"/>
                    </w:rPr>
                    <w:t>电池制造</w:t>
                  </w:r>
                  <w:r>
                    <w:rPr>
                      <w:rFonts w:hint="default" w:ascii="Times New Roman" w:hAnsi="Times New Roman" w:cs="Times New Roman"/>
                      <w:color w:val="auto"/>
                      <w:sz w:val="18"/>
                      <w:szCs w:val="18"/>
                      <w:highlight w:val="none"/>
                      <w:lang w:eastAsia="zh-CN"/>
                    </w:rPr>
                    <w:t>”类</w:t>
                  </w:r>
                  <w:r>
                    <w:rPr>
                      <w:rFonts w:hint="eastAsia" w:ascii="Times New Roman" w:hAnsi="Times New Roman" w:cs="Times New Roman"/>
                      <w:color w:val="auto"/>
                      <w:sz w:val="18"/>
                      <w:szCs w:val="18"/>
                      <w:highlight w:val="none"/>
                      <w:lang w:val="en-US" w:eastAsia="zh-CN"/>
                    </w:rPr>
                    <w:t>A级</w:t>
                  </w:r>
                  <w:r>
                    <w:rPr>
                      <w:rFonts w:hint="eastAsia" w:cs="Times New Roman"/>
                      <w:color w:val="auto"/>
                      <w:sz w:val="18"/>
                      <w:szCs w:val="18"/>
                      <w:highlight w:val="none"/>
                      <w:lang w:val="en-US" w:eastAsia="zh-CN"/>
                    </w:rPr>
                    <w:t>绩效水平</w:t>
                  </w:r>
                  <w:r>
                    <w:rPr>
                      <w:rFonts w:hint="eastAsia" w:ascii="Times New Roman" w:hAnsi="Times New Roman" w:cs="Times New Roman"/>
                      <w:color w:val="auto"/>
                      <w:sz w:val="18"/>
                      <w:szCs w:val="18"/>
                      <w:highlight w:val="none"/>
                      <w:lang w:val="en-US" w:eastAsia="zh-CN"/>
                    </w:rPr>
                    <w:t>要求</w:t>
                  </w:r>
                  <w:r>
                    <w:rPr>
                      <w:rFonts w:hint="eastAsia" w:cs="Times New Roman"/>
                      <w:color w:val="auto"/>
                      <w:sz w:val="18"/>
                      <w:szCs w:val="18"/>
                      <w:highlight w:val="none"/>
                      <w:lang w:val="en-US" w:eastAsia="zh-CN"/>
                    </w:rPr>
                    <w:t>。</w:t>
                  </w:r>
                </w:p>
              </w:tc>
              <w:tc>
                <w:tcPr>
                  <w:tcW w:w="845"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restart"/>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环境风险防控</w:t>
                  </w:r>
                </w:p>
              </w:tc>
              <w:tc>
                <w:tcPr>
                  <w:tcW w:w="2807"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1.规范园区建设，对涉重行业及化工企业加强管理，建立土壤和地下水污染隐患排查治理制度、风险防控体系和长效监管机制。</w:t>
                  </w:r>
                </w:p>
              </w:tc>
              <w:tc>
                <w:tcPr>
                  <w:tcW w:w="2536"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本项目属于锂离子电池制造项目，不属于化工企业，不涉及重金属排放</w:t>
                  </w:r>
                </w:p>
              </w:tc>
              <w:tc>
                <w:tcPr>
                  <w:tcW w:w="845"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p>
              </w:tc>
              <w:tc>
                <w:tcPr>
                  <w:tcW w:w="2807"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2.有色金属冶炼、铅酸蓄电池、石油加工、化工、电镀、制革和危险化学品生产、储存、使用等企业在拆除生产设施设备、污染治理设施时，要事先制定残留污染物清理和安全处置方案。</w:t>
                  </w:r>
                </w:p>
              </w:tc>
              <w:tc>
                <w:tcPr>
                  <w:tcW w:w="2536"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项目属于锂离子电池制造项目，不属于</w:t>
                  </w:r>
                  <w:r>
                    <w:rPr>
                      <w:rFonts w:hint="default" w:ascii="Times New Roman" w:hAnsi="Times New Roman" w:cs="Times New Roman"/>
                      <w:b w:val="0"/>
                      <w:bCs/>
                      <w:color w:val="auto"/>
                      <w:sz w:val="18"/>
                      <w:szCs w:val="18"/>
                      <w:highlight w:val="none"/>
                    </w:rPr>
                    <w:t>有色金属冶炼、铅酸蓄电池、石油加工、化工、电镀、制革和危险化学品生产、储存、使用</w:t>
                  </w:r>
                </w:p>
              </w:tc>
              <w:tc>
                <w:tcPr>
                  <w:tcW w:w="845"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p>
              </w:tc>
              <w:tc>
                <w:tcPr>
                  <w:tcW w:w="2807"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3.高关注地块划分污染风险等级，纳入优先管控名录。</w:t>
                  </w:r>
                </w:p>
              </w:tc>
              <w:tc>
                <w:tcPr>
                  <w:tcW w:w="2536"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项目用地不属于</w:t>
                  </w:r>
                  <w:r>
                    <w:rPr>
                      <w:rFonts w:hint="default" w:ascii="Times New Roman" w:hAnsi="Times New Roman" w:cs="Times New Roman"/>
                      <w:b w:val="0"/>
                      <w:bCs/>
                      <w:color w:val="auto"/>
                      <w:sz w:val="18"/>
                      <w:szCs w:val="18"/>
                      <w:highlight w:val="none"/>
                    </w:rPr>
                    <w:t>高关注地块</w:t>
                  </w:r>
                </w:p>
              </w:tc>
              <w:tc>
                <w:tcPr>
                  <w:tcW w:w="845"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不涉及</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b w:val="0"/>
                <w:bCs/>
                <w:color w:val="auto"/>
                <w:sz w:val="21"/>
                <w:szCs w:val="21"/>
                <w:highlight w:val="none"/>
                <w:u w:val="none"/>
                <w:lang w:eastAsia="zh-CN"/>
              </w:rPr>
            </w:pPr>
            <w:r>
              <w:rPr>
                <w:rFonts w:hint="default" w:ascii="Times New Roman" w:hAnsi="Times New Roman" w:cs="Times New Roman"/>
                <w:b w:val="0"/>
                <w:bCs/>
                <w:color w:val="auto"/>
                <w:sz w:val="21"/>
                <w:szCs w:val="21"/>
                <w:highlight w:val="none"/>
                <w:u w:val="none"/>
                <w:lang w:eastAsia="zh-CN"/>
              </w:rPr>
              <w:t>由</w:t>
            </w:r>
            <w:r>
              <w:rPr>
                <w:rFonts w:hint="eastAsia" w:cs="Times New Roman"/>
                <w:b w:val="0"/>
                <w:bCs/>
                <w:color w:val="auto"/>
                <w:sz w:val="21"/>
                <w:szCs w:val="21"/>
                <w:highlight w:val="none"/>
                <w:u w:val="none"/>
                <w:lang w:eastAsia="zh-CN"/>
              </w:rPr>
              <w:t>上表</w:t>
            </w:r>
            <w:r>
              <w:rPr>
                <w:rFonts w:hint="default" w:ascii="Times New Roman" w:hAnsi="Times New Roman" w:cs="Times New Roman"/>
                <w:b w:val="0"/>
                <w:bCs/>
                <w:color w:val="auto"/>
                <w:sz w:val="21"/>
                <w:szCs w:val="21"/>
                <w:highlight w:val="none"/>
                <w:u w:val="none"/>
                <w:lang w:eastAsia="zh-CN"/>
              </w:rPr>
              <w:t>可知，本项目符合新乡市新能源电池专业园区准入条件</w:t>
            </w:r>
            <w:r>
              <w:rPr>
                <w:rFonts w:hint="eastAsia" w:cs="Times New Roman"/>
                <w:b w:val="0"/>
                <w:bCs/>
                <w:color w:val="auto"/>
                <w:sz w:val="21"/>
                <w:szCs w:val="21"/>
                <w:highlight w:val="none"/>
                <w:u w:val="none"/>
                <w:lang w:eastAsia="zh-CN"/>
              </w:rPr>
              <w:t>要求</w:t>
            </w:r>
            <w:r>
              <w:rPr>
                <w:rFonts w:hint="default" w:ascii="Times New Roman" w:hAnsi="Times New Roman" w:cs="Times New Roman"/>
                <w:b w:val="0"/>
                <w:bCs/>
                <w:color w:val="auto"/>
                <w:sz w:val="21"/>
                <w:szCs w:val="21"/>
                <w:highlight w:val="none"/>
                <w:u w:val="none"/>
                <w:lang w:eastAsia="zh-CN"/>
              </w:rPr>
              <w:t>。项目与环境准入负面清单</w:t>
            </w:r>
            <w:r>
              <w:rPr>
                <w:rFonts w:hint="eastAsia" w:cs="Times New Roman"/>
                <w:b w:val="0"/>
                <w:bCs/>
                <w:color w:val="auto"/>
                <w:sz w:val="21"/>
                <w:szCs w:val="21"/>
                <w:highlight w:val="none"/>
                <w:u w:val="none"/>
                <w:lang w:eastAsia="zh-CN"/>
              </w:rPr>
              <w:t>（包括通用要求和东片区要求）</w:t>
            </w:r>
            <w:r>
              <w:rPr>
                <w:rFonts w:hint="default" w:ascii="Times New Roman" w:hAnsi="Times New Roman" w:cs="Times New Roman"/>
                <w:b w:val="0"/>
                <w:bCs/>
                <w:color w:val="auto"/>
                <w:sz w:val="21"/>
                <w:szCs w:val="21"/>
                <w:highlight w:val="none"/>
                <w:u w:val="none"/>
                <w:lang w:eastAsia="zh-CN"/>
              </w:rPr>
              <w:t>对比分析如下：</w:t>
            </w:r>
          </w:p>
          <w:p>
            <w:pPr>
              <w:pStyle w:val="20"/>
              <w:rPr>
                <w:rFonts w:hint="default" w:ascii="Times New Roman" w:hAnsi="Times New Roman" w:cs="Times New Roman"/>
                <w:b w:val="0"/>
                <w:bCs/>
                <w:color w:val="auto"/>
                <w:sz w:val="21"/>
                <w:szCs w:val="21"/>
                <w:highlight w:val="none"/>
                <w:u w:val="none"/>
                <w:lang w:eastAsia="zh-CN"/>
              </w:rPr>
            </w:pPr>
          </w:p>
          <w:p>
            <w:pPr>
              <w:rPr>
                <w:rFonts w:hint="default" w:ascii="Times New Roman" w:hAnsi="Times New Roman" w:cs="Times New Roman"/>
                <w:b w:val="0"/>
                <w:bCs/>
                <w:color w:val="auto"/>
                <w:sz w:val="21"/>
                <w:szCs w:val="21"/>
                <w:highlight w:val="none"/>
                <w:u w:val="none"/>
                <w:lang w:eastAsia="zh-CN"/>
              </w:rPr>
            </w:pPr>
          </w:p>
          <w:p>
            <w:pPr>
              <w:pStyle w:val="20"/>
              <w:rPr>
                <w:rFonts w:hint="default"/>
                <w:lang w:eastAsia="zh-CN"/>
              </w:rPr>
            </w:pPr>
          </w:p>
          <w:p>
            <w:pPr>
              <w:keepNext w:val="0"/>
              <w:keepLines w:val="0"/>
              <w:pageBreakBefore w:val="0"/>
              <w:widowControl w:val="0"/>
              <w:numPr>
                <w:ilvl w:val="0"/>
                <w:numId w:val="2"/>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pt-BR"/>
              </w:rPr>
            </w:pPr>
            <w:r>
              <w:rPr>
                <w:rFonts w:hint="eastAsia" w:ascii="Times New Roman" w:hAnsi="Times New Roman" w:cs="Times New Roman"/>
                <w:b/>
                <w:bCs/>
                <w:color w:val="auto"/>
                <w:sz w:val="18"/>
                <w:szCs w:val="18"/>
                <w:highlight w:val="none"/>
                <w:lang w:val="pt-BR"/>
              </w:rPr>
              <w:t>本项目与西片区环境准入负面清单对比分析一览表</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8"/>
              <w:gridCol w:w="387"/>
              <w:gridCol w:w="3091"/>
              <w:gridCol w:w="25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ascii="宋体" w:hAnsi="宋体"/>
                      <w:b w:val="0"/>
                      <w:bCs/>
                      <w:color w:val="auto"/>
                      <w:sz w:val="18"/>
                      <w:szCs w:val="18"/>
                      <w:highlight w:val="none"/>
                    </w:rPr>
                  </w:pPr>
                  <w:r>
                    <w:rPr>
                      <w:rFonts w:hint="eastAsia" w:ascii="宋体" w:hAnsi="宋体"/>
                      <w:b w:val="0"/>
                      <w:bCs/>
                      <w:color w:val="auto"/>
                      <w:sz w:val="18"/>
                      <w:szCs w:val="18"/>
                      <w:highlight w:val="none"/>
                    </w:rPr>
                    <w:t>项目</w:t>
                  </w:r>
                </w:p>
              </w:tc>
              <w:tc>
                <w:tcPr>
                  <w:tcW w:w="3478" w:type="dxa"/>
                  <w:gridSpan w:val="2"/>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ascii="宋体" w:hAnsi="宋体"/>
                      <w:b w:val="0"/>
                      <w:bCs/>
                      <w:color w:val="auto"/>
                      <w:sz w:val="18"/>
                      <w:szCs w:val="18"/>
                      <w:highlight w:val="none"/>
                    </w:rPr>
                  </w:pPr>
                  <w:r>
                    <w:rPr>
                      <w:rFonts w:hint="eastAsia" w:ascii="宋体" w:hAnsi="宋体"/>
                      <w:b w:val="0"/>
                      <w:bCs/>
                      <w:color w:val="auto"/>
                      <w:sz w:val="18"/>
                      <w:szCs w:val="18"/>
                      <w:highlight w:val="none"/>
                    </w:rPr>
                    <w:t>环境准入负面清单</w:t>
                  </w:r>
                </w:p>
              </w:tc>
              <w:tc>
                <w:tcPr>
                  <w:tcW w:w="2561"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ascii="宋体" w:hAnsi="宋体"/>
                      <w:b w:val="0"/>
                      <w:bCs/>
                      <w:color w:val="auto"/>
                      <w:sz w:val="18"/>
                      <w:szCs w:val="18"/>
                      <w:highlight w:val="none"/>
                    </w:rPr>
                  </w:pPr>
                  <w:r>
                    <w:rPr>
                      <w:rFonts w:hint="eastAsia" w:ascii="宋体" w:hAnsi="宋体"/>
                      <w:b w:val="0"/>
                      <w:bCs/>
                      <w:color w:val="auto"/>
                      <w:sz w:val="18"/>
                      <w:szCs w:val="18"/>
                      <w:highlight w:val="none"/>
                    </w:rPr>
                    <w:t>本项目情况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Merge w:val="restart"/>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ascii="宋体" w:hAnsi="宋体"/>
                      <w:b w:val="0"/>
                      <w:bCs/>
                      <w:color w:val="auto"/>
                      <w:sz w:val="18"/>
                      <w:szCs w:val="18"/>
                      <w:highlight w:val="none"/>
                    </w:rPr>
                  </w:pPr>
                  <w:r>
                    <w:rPr>
                      <w:rFonts w:hint="eastAsia" w:ascii="宋体" w:hAnsi="宋体"/>
                      <w:b w:val="0"/>
                      <w:bCs/>
                      <w:color w:val="auto"/>
                      <w:sz w:val="18"/>
                      <w:szCs w:val="18"/>
                      <w:highlight w:val="none"/>
                    </w:rPr>
                    <w:t>空间布局及土地规划</w:t>
                  </w:r>
                </w:p>
              </w:tc>
              <w:tc>
                <w:tcPr>
                  <w:tcW w:w="387" w:type="dxa"/>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通用要求</w:t>
                  </w:r>
                </w:p>
              </w:tc>
              <w:tc>
                <w:tcPr>
                  <w:tcW w:w="3091"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1.禁止不符合新乡市、河南省、国家等重金属污染防控政策要求的项目入驻。</w:t>
                  </w:r>
                </w:p>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2.禁止不符合《废电池污染防治技术政策》、《废锂离子动力蓄电池处理污染控制技术规范》的电池回收项目入驻。</w:t>
                  </w:r>
                </w:p>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3.禁止铅酸电池回收项目入驻。</w:t>
                  </w:r>
                </w:p>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4.禁止新建铅酸电池项目入驻。</w:t>
                  </w:r>
                </w:p>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5.禁止与主导产业无关的“两高”项目入驻。</w:t>
                  </w:r>
                </w:p>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6.禁止引入钢铁、水泥、平板玻璃、铅蓄电池、皮革鞣制加工等不符合园区产业定位且污染较重的项目。</w:t>
                  </w:r>
                </w:p>
                <w:p>
                  <w:pPr>
                    <w:pStyle w:val="10"/>
                    <w:keepNext w:val="0"/>
                    <w:keepLines w:val="0"/>
                    <w:pageBreakBefore w:val="0"/>
                    <w:widowControl w:val="0"/>
                    <w:numPr>
                      <w:ilvl w:val="0"/>
                      <w:numId w:val="3"/>
                    </w:numPr>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rPr>
                    <w:t>禁止入驻达不到《电镀行业清洁生产评价指标体系》、《电池行业清洁生产评价指标体系》清洁生产先进水平要求的项目</w:t>
                  </w:r>
                  <w:r>
                    <w:rPr>
                      <w:rFonts w:hint="default" w:ascii="Times New Roman" w:hAnsi="Times New Roman" w:cs="Times New Roman"/>
                      <w:b w:val="0"/>
                      <w:bCs/>
                      <w:color w:val="auto"/>
                      <w:sz w:val="18"/>
                      <w:szCs w:val="18"/>
                      <w:highlight w:val="none"/>
                      <w:lang w:eastAsia="zh-CN"/>
                    </w:rPr>
                    <w:t>。</w:t>
                  </w:r>
                </w:p>
              </w:tc>
              <w:tc>
                <w:tcPr>
                  <w:tcW w:w="2561" w:type="dxa"/>
                  <w:vAlign w:val="center"/>
                </w:tcPr>
                <w:p>
                  <w:pPr>
                    <w:pStyle w:val="10"/>
                    <w:keepNext w:val="0"/>
                    <w:keepLines w:val="0"/>
                    <w:pageBreakBefore w:val="0"/>
                    <w:widowControl w:val="0"/>
                    <w:numPr>
                      <w:ilvl w:val="0"/>
                      <w:numId w:val="4"/>
                    </w:numPr>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本项目不涉及重金属污染物排放；</w:t>
                  </w:r>
                </w:p>
                <w:p>
                  <w:pPr>
                    <w:pStyle w:val="10"/>
                    <w:keepNext w:val="0"/>
                    <w:keepLines w:val="0"/>
                    <w:pageBreakBefore w:val="0"/>
                    <w:widowControl w:val="0"/>
                    <w:numPr>
                      <w:ilvl w:val="0"/>
                      <w:numId w:val="4"/>
                    </w:numPr>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本项目不涉及电池回收，属于新建锂离子电池制造项目；</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3~4、项目不涉及铅酸电池回收和生产，属于锂离子电池制造项目；</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textAlignment w:val="auto"/>
                    <w:rPr>
                      <w:rFonts w:hint="default" w:ascii="Times New Roman" w:hAnsi="Times New Roman" w:cs="Times New Roman"/>
                      <w:color w:val="auto"/>
                      <w:spacing w:val="-4"/>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5、根据</w:t>
                  </w:r>
                  <w:r>
                    <w:rPr>
                      <w:rFonts w:hint="default" w:ascii="Times New Roman" w:hAnsi="Times New Roman" w:cs="Times New Roman"/>
                      <w:color w:val="auto"/>
                      <w:spacing w:val="-4"/>
                      <w:sz w:val="18"/>
                      <w:szCs w:val="18"/>
                      <w:highlight w:val="none"/>
                      <w:lang w:val="en-US" w:eastAsia="zh-CN"/>
                    </w:rPr>
                    <w:t>《关于印发河南省“两高”项目管理名录（2023年修订）的通知》（豫发改环资（2023）38号），本项目不属于“两高”类项目；</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textAlignment w:val="auto"/>
                    <w:rPr>
                      <w:rFonts w:hint="default" w:ascii="Times New Roman" w:hAnsi="Times New Roman" w:cs="Times New Roman"/>
                      <w:b w:val="0"/>
                      <w:bCs/>
                      <w:color w:val="auto"/>
                      <w:sz w:val="18"/>
                      <w:szCs w:val="18"/>
                      <w:highlight w:val="none"/>
                      <w:lang w:eastAsia="zh-CN"/>
                    </w:rPr>
                  </w:pPr>
                  <w:r>
                    <w:rPr>
                      <w:rFonts w:hint="default" w:ascii="Times New Roman" w:hAnsi="Times New Roman" w:cs="Times New Roman"/>
                      <w:color w:val="auto"/>
                      <w:spacing w:val="-4"/>
                      <w:sz w:val="18"/>
                      <w:szCs w:val="18"/>
                      <w:highlight w:val="none"/>
                      <w:lang w:val="en-US" w:eastAsia="zh-CN"/>
                    </w:rPr>
                    <w:t>6、项目不属于</w:t>
                  </w:r>
                  <w:r>
                    <w:rPr>
                      <w:rFonts w:hint="default" w:ascii="Times New Roman" w:hAnsi="Times New Roman" w:cs="Times New Roman"/>
                      <w:b w:val="0"/>
                      <w:bCs/>
                      <w:color w:val="auto"/>
                      <w:sz w:val="18"/>
                      <w:szCs w:val="18"/>
                      <w:highlight w:val="none"/>
                    </w:rPr>
                    <w:t>钢铁、水泥、平板玻璃、铅蓄电池、皮革鞣制加工</w:t>
                  </w:r>
                  <w:r>
                    <w:rPr>
                      <w:rFonts w:hint="default" w:ascii="Times New Roman" w:hAnsi="Times New Roman" w:cs="Times New Roman"/>
                      <w:b w:val="0"/>
                      <w:bCs/>
                      <w:color w:val="auto"/>
                      <w:sz w:val="18"/>
                      <w:szCs w:val="18"/>
                      <w:highlight w:val="none"/>
                      <w:lang w:eastAsia="zh-CN"/>
                    </w:rPr>
                    <w:t>项目；</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7、项目生产过程不涉及电镀工序；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Merge w:val="continue"/>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宋体" w:hAnsi="宋体"/>
                      <w:b w:val="0"/>
                      <w:bCs/>
                      <w:color w:val="auto"/>
                      <w:sz w:val="18"/>
                      <w:szCs w:val="18"/>
                      <w:highlight w:val="green"/>
                    </w:rPr>
                  </w:pPr>
                </w:p>
              </w:tc>
              <w:tc>
                <w:tcPr>
                  <w:tcW w:w="387" w:type="dxa"/>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default" w:ascii="Times New Roman" w:hAnsi="Times New Roman" w:eastAsia="宋体" w:cs="Times New Roman"/>
                      <w:b w:val="0"/>
                      <w:bCs/>
                      <w:color w:val="auto"/>
                      <w:sz w:val="18"/>
                      <w:szCs w:val="18"/>
                      <w:highlight w:val="green"/>
                      <w:lang w:eastAsia="zh-CN"/>
                    </w:rPr>
                  </w:pPr>
                  <w:r>
                    <w:rPr>
                      <w:rFonts w:hint="eastAsia" w:ascii="Times New Roman" w:hAnsi="Times New Roman" w:cs="Times New Roman"/>
                      <w:b w:val="0"/>
                      <w:bCs/>
                      <w:color w:val="auto"/>
                      <w:sz w:val="18"/>
                      <w:szCs w:val="18"/>
                      <w:highlight w:val="none"/>
                      <w:lang w:eastAsia="zh-CN"/>
                    </w:rPr>
                    <w:t>东</w:t>
                  </w:r>
                  <w:r>
                    <w:rPr>
                      <w:rFonts w:hint="default" w:ascii="Times New Roman" w:hAnsi="Times New Roman" w:cs="Times New Roman"/>
                      <w:b w:val="0"/>
                      <w:bCs/>
                      <w:color w:val="auto"/>
                      <w:sz w:val="18"/>
                      <w:szCs w:val="18"/>
                      <w:highlight w:val="none"/>
                      <w:lang w:eastAsia="zh-CN"/>
                    </w:rPr>
                    <w:t>片区</w:t>
                  </w:r>
                </w:p>
              </w:tc>
              <w:tc>
                <w:tcPr>
                  <w:tcW w:w="3091" w:type="dxa"/>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textAlignment w:val="auto"/>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eastAsia="zh-CN"/>
                    </w:rPr>
                    <w:t>8.科创中心禁止化学原料及化学制品制造业生产性项目入驻。</w:t>
                  </w:r>
                </w:p>
              </w:tc>
              <w:tc>
                <w:tcPr>
                  <w:tcW w:w="2561" w:type="dxa"/>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textAlignment w:val="auto"/>
                    <w:rPr>
                      <w:rFonts w:hint="default" w:ascii="Times New Roman" w:hAnsi="Times New Roman" w:cs="Times New Roman"/>
                      <w:b w:val="0"/>
                      <w:bCs/>
                      <w:color w:val="auto"/>
                      <w:sz w:val="18"/>
                      <w:szCs w:val="18"/>
                      <w:highlight w:val="none"/>
                      <w:lang w:val="en-US" w:eastAsia="zh-CN"/>
                    </w:rPr>
                  </w:pPr>
                  <w:r>
                    <w:rPr>
                      <w:rFonts w:hint="eastAsia" w:cs="Times New Roman"/>
                      <w:b w:val="0"/>
                      <w:bCs/>
                      <w:color w:val="auto"/>
                      <w:sz w:val="18"/>
                      <w:szCs w:val="18"/>
                      <w:highlight w:val="none"/>
                      <w:lang w:eastAsia="zh-CN"/>
                    </w:rPr>
                    <w:t>项目属于新建锂离子电池制造，不属于</w:t>
                  </w:r>
                  <w:r>
                    <w:rPr>
                      <w:rFonts w:hint="default" w:ascii="Times New Roman" w:hAnsi="Times New Roman" w:eastAsia="宋体" w:cs="Times New Roman"/>
                      <w:b w:val="0"/>
                      <w:bCs/>
                      <w:color w:val="auto"/>
                      <w:sz w:val="18"/>
                      <w:szCs w:val="18"/>
                      <w:highlight w:val="none"/>
                      <w:lang w:eastAsia="zh-CN"/>
                    </w:rPr>
                    <w:t>化学原料及化学制品制造业生产性项目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rPr>
                    <w:t>污染物排放</w:t>
                  </w:r>
                  <w:r>
                    <w:rPr>
                      <w:rFonts w:hint="default" w:ascii="Times New Roman" w:hAnsi="Times New Roman" w:cs="Times New Roman"/>
                      <w:b w:val="0"/>
                      <w:bCs/>
                      <w:color w:val="auto"/>
                      <w:sz w:val="18"/>
                      <w:szCs w:val="18"/>
                      <w:highlight w:val="none"/>
                      <w:lang w:eastAsia="zh-CN"/>
                    </w:rPr>
                    <w:t>管控</w:t>
                  </w:r>
                </w:p>
              </w:tc>
              <w:tc>
                <w:tcPr>
                  <w:tcW w:w="3478" w:type="dxa"/>
                  <w:gridSpan w:val="2"/>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1.禁止新建燃煤锅炉项目。</w:t>
                  </w:r>
                </w:p>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2.入驻企业使用溶剂型涂料时，调漆、喷漆、流平、烘干、清洗等涉 VOCs工序禁止采用低效治理技术。</w:t>
                  </w:r>
                </w:p>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3.禁止建设生产和使用高 VOCs 含量的溶剂型涂料、油墨、胶粘剂项目，限制喷漆工序使用含苯漆料。</w:t>
                  </w:r>
                </w:p>
              </w:tc>
              <w:tc>
                <w:tcPr>
                  <w:tcW w:w="2561"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eastAsia" w:ascii="宋体" w:hAnsi="宋体"/>
                      <w:b w:val="0"/>
                      <w:bCs/>
                      <w:color w:val="auto"/>
                      <w:sz w:val="18"/>
                      <w:szCs w:val="18"/>
                      <w:highlight w:val="none"/>
                      <w:lang w:val="en-US" w:eastAsia="zh-CN"/>
                    </w:rPr>
                  </w:pPr>
                  <w:r>
                    <w:rPr>
                      <w:rFonts w:hint="eastAsia" w:ascii="宋体" w:hAnsi="宋体"/>
                      <w:b w:val="0"/>
                      <w:bCs/>
                      <w:color w:val="auto"/>
                      <w:sz w:val="18"/>
                      <w:szCs w:val="18"/>
                      <w:highlight w:val="none"/>
                      <w:lang w:val="en-US" w:eastAsia="zh-CN"/>
                    </w:rPr>
                    <w:t>1、项目无新建锅炉；</w:t>
                  </w:r>
                </w:p>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eastAsia" w:ascii="宋体" w:hAnsi="宋体"/>
                      <w:b w:val="0"/>
                      <w:bCs/>
                      <w:color w:val="auto"/>
                      <w:sz w:val="18"/>
                      <w:szCs w:val="18"/>
                      <w:highlight w:val="none"/>
                      <w:lang w:val="en-US" w:eastAsia="zh-CN"/>
                    </w:rPr>
                  </w:pPr>
                  <w:r>
                    <w:rPr>
                      <w:rFonts w:hint="eastAsia" w:ascii="宋体" w:hAnsi="宋体"/>
                      <w:b w:val="0"/>
                      <w:bCs/>
                      <w:color w:val="auto"/>
                      <w:sz w:val="18"/>
                      <w:szCs w:val="18"/>
                      <w:highlight w:val="none"/>
                      <w:lang w:val="en-US" w:eastAsia="zh-CN"/>
                    </w:rPr>
                    <w:t>2、项目不涉及使用涂料，无表面涂装工序；</w:t>
                  </w:r>
                </w:p>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eastAsia" w:ascii="宋体" w:hAnsi="宋体" w:eastAsia="宋体"/>
                      <w:b w:val="0"/>
                      <w:bCs/>
                      <w:color w:val="auto"/>
                      <w:sz w:val="18"/>
                      <w:szCs w:val="18"/>
                      <w:highlight w:val="none"/>
                      <w:lang w:val="en-US" w:eastAsia="zh-CN"/>
                    </w:rPr>
                  </w:pPr>
                  <w:r>
                    <w:rPr>
                      <w:rFonts w:hint="eastAsia" w:ascii="宋体" w:hAnsi="宋体"/>
                      <w:b w:val="0"/>
                      <w:bCs/>
                      <w:color w:val="auto"/>
                      <w:sz w:val="18"/>
                      <w:szCs w:val="18"/>
                      <w:highlight w:val="none"/>
                      <w:lang w:val="en-US" w:eastAsia="zh-CN"/>
                    </w:rPr>
                    <w:t>3、项目不涉及生产使用</w:t>
                  </w:r>
                  <w:r>
                    <w:rPr>
                      <w:rFonts w:hint="default" w:ascii="Times New Roman" w:hAnsi="Times New Roman" w:cs="Times New Roman"/>
                      <w:b w:val="0"/>
                      <w:bCs/>
                      <w:color w:val="auto"/>
                      <w:sz w:val="18"/>
                      <w:szCs w:val="18"/>
                      <w:highlight w:val="none"/>
                    </w:rPr>
                    <w:t>高 VOCs 含量的溶剂型涂料、油墨、胶粘剂项目</w:t>
                  </w:r>
                  <w:r>
                    <w:rPr>
                      <w:rFonts w:hint="eastAsia" w:ascii="Times New Roman" w:hAnsi="Times New Roman" w:cs="Times New Roman"/>
                      <w:b w:val="0"/>
                      <w:bCs/>
                      <w:color w:val="auto"/>
                      <w:sz w:val="18"/>
                      <w:szCs w:val="18"/>
                      <w:highlight w:val="none"/>
                      <w:lang w:eastAsia="zh-CN"/>
                    </w:rPr>
                    <w:t>，不含喷漆工序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宋体" w:hAnsi="宋体"/>
                      <w:b w:val="0"/>
                      <w:bCs/>
                      <w:color w:val="auto"/>
                      <w:sz w:val="18"/>
                      <w:szCs w:val="18"/>
                      <w:highlight w:val="none"/>
                      <w:lang w:eastAsia="zh-CN"/>
                    </w:rPr>
                  </w:pPr>
                  <w:r>
                    <w:rPr>
                      <w:rFonts w:hint="eastAsia" w:ascii="宋体" w:hAnsi="宋体"/>
                      <w:b w:val="0"/>
                      <w:bCs/>
                      <w:color w:val="auto"/>
                      <w:sz w:val="18"/>
                      <w:szCs w:val="18"/>
                      <w:highlight w:val="none"/>
                      <w:lang w:eastAsia="zh-CN"/>
                    </w:rPr>
                    <w:t>资源开发</w:t>
                  </w:r>
                </w:p>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宋体" w:hAnsi="宋体" w:eastAsia="宋体"/>
                      <w:b w:val="0"/>
                      <w:bCs/>
                      <w:color w:val="auto"/>
                      <w:sz w:val="18"/>
                      <w:szCs w:val="18"/>
                      <w:highlight w:val="none"/>
                      <w:lang w:eastAsia="zh-CN"/>
                    </w:rPr>
                  </w:pPr>
                  <w:r>
                    <w:rPr>
                      <w:rFonts w:hint="eastAsia" w:ascii="宋体" w:hAnsi="宋体"/>
                      <w:b w:val="0"/>
                      <w:bCs/>
                      <w:color w:val="auto"/>
                      <w:sz w:val="18"/>
                      <w:szCs w:val="18"/>
                      <w:highlight w:val="none"/>
                      <w:lang w:eastAsia="zh-CN"/>
                    </w:rPr>
                    <w:t>利用要求</w:t>
                  </w:r>
                </w:p>
              </w:tc>
              <w:tc>
                <w:tcPr>
                  <w:tcW w:w="3478" w:type="dxa"/>
                  <w:gridSpan w:val="2"/>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ascii="宋体" w:hAnsi="宋体"/>
                      <w:b w:val="0"/>
                      <w:bCs/>
                      <w:color w:val="auto"/>
                      <w:sz w:val="18"/>
                      <w:szCs w:val="18"/>
                      <w:highlight w:val="none"/>
                    </w:rPr>
                  </w:pPr>
                  <w:r>
                    <w:rPr>
                      <w:rFonts w:hint="eastAsia" w:ascii="宋体" w:hAnsi="宋体"/>
                      <w:b w:val="0"/>
                      <w:bCs/>
                      <w:color w:val="auto"/>
                      <w:sz w:val="18"/>
                      <w:szCs w:val="18"/>
                      <w:highlight w:val="none"/>
                    </w:rPr>
                    <w:t>禁止入驻重金属利用率和单位产品每次清洗取水量低于国内清洁生产先进水平的项目。</w:t>
                  </w:r>
                </w:p>
              </w:tc>
              <w:tc>
                <w:tcPr>
                  <w:tcW w:w="2561" w:type="dxa"/>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eastAsia" w:ascii="宋体" w:hAnsi="宋体" w:eastAsia="宋体"/>
                      <w:b w:val="0"/>
                      <w:bCs/>
                      <w:color w:val="auto"/>
                      <w:sz w:val="18"/>
                      <w:szCs w:val="18"/>
                      <w:highlight w:val="none"/>
                      <w:lang w:eastAsia="zh-CN"/>
                    </w:rPr>
                  </w:pPr>
                  <w:r>
                    <w:rPr>
                      <w:rFonts w:hint="eastAsia" w:ascii="宋体" w:hAnsi="宋体"/>
                      <w:b w:val="0"/>
                      <w:bCs/>
                      <w:color w:val="auto"/>
                      <w:sz w:val="18"/>
                      <w:szCs w:val="18"/>
                      <w:highlight w:val="none"/>
                      <w:lang w:eastAsia="zh-CN"/>
                    </w:rPr>
                    <w:t>本项目不属于</w:t>
                  </w:r>
                  <w:r>
                    <w:rPr>
                      <w:rFonts w:hint="eastAsia" w:ascii="宋体" w:hAnsi="宋体"/>
                      <w:b w:val="0"/>
                      <w:bCs/>
                      <w:color w:val="auto"/>
                      <w:sz w:val="18"/>
                      <w:szCs w:val="18"/>
                      <w:highlight w:val="none"/>
                    </w:rPr>
                    <w:t>重金属利用率低于国内清洁生产先进水平的项目</w:t>
                  </w:r>
                  <w:r>
                    <w:rPr>
                      <w:rFonts w:hint="eastAsia" w:ascii="宋体" w:hAnsi="宋体"/>
                      <w:b w:val="0"/>
                      <w:bCs/>
                      <w:color w:val="auto"/>
                      <w:sz w:val="18"/>
                      <w:szCs w:val="18"/>
                      <w:highlight w:val="none"/>
                      <w:lang w:eastAsia="zh-CN"/>
                    </w:rPr>
                    <w:t>，项目生产过程不涉及清洗工序</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cs="Times New Roman"/>
                <w:color w:val="auto"/>
                <w:kern w:val="0"/>
                <w:szCs w:val="21"/>
                <w:highlight w:val="none"/>
                <w:lang w:val="en-US" w:eastAsia="zh-CN"/>
              </w:rPr>
            </w:pPr>
            <w:r>
              <w:rPr>
                <w:rFonts w:hint="eastAsia" w:cs="Times New Roman"/>
                <w:color w:val="auto"/>
                <w:kern w:val="0"/>
                <w:szCs w:val="21"/>
                <w:highlight w:val="none"/>
                <w:lang w:val="en-US" w:eastAsia="zh-CN"/>
              </w:rPr>
              <w:t>由上表可知，本项目不属于新乡市新能源电池专业园区环境准入负面清单中所列禁止类项目。</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eastAsia="宋体" w:cs="Times New Roman"/>
                <w:color w:val="auto"/>
                <w:kern w:val="0"/>
                <w:szCs w:val="21"/>
                <w:highlight w:val="green"/>
                <w:lang w:val="en-US" w:eastAsia="zh-CN"/>
              </w:rPr>
            </w:pPr>
            <w:r>
              <w:rPr>
                <w:rFonts w:hint="default" w:ascii="Times New Roman" w:hAnsi="Times New Roman" w:cs="Times New Roman"/>
                <w:color w:val="auto"/>
                <w:kern w:val="0"/>
                <w:szCs w:val="21"/>
                <w:highlight w:val="none"/>
                <w:lang w:val="en-US" w:eastAsia="zh-CN"/>
              </w:rPr>
              <w:t>综上所述，</w:t>
            </w:r>
            <w:r>
              <w:rPr>
                <w:rFonts w:hint="eastAsia" w:cs="Times New Roman"/>
                <w:color w:val="auto"/>
                <w:kern w:val="0"/>
                <w:szCs w:val="21"/>
                <w:highlight w:val="none"/>
                <w:lang w:val="en-US" w:eastAsia="zh-CN"/>
              </w:rPr>
              <w:t>同时</w:t>
            </w:r>
            <w:r>
              <w:rPr>
                <w:rFonts w:hint="default" w:ascii="Times New Roman" w:hAnsi="Times New Roman" w:cs="Times New Roman"/>
                <w:color w:val="auto"/>
                <w:kern w:val="0"/>
                <w:szCs w:val="21"/>
                <w:highlight w:val="none"/>
                <w:lang w:val="en-US" w:eastAsia="zh-CN"/>
              </w:rPr>
              <w:t>对照《 新乡市新能源电池专业园发展规划（2022-2035年）——用地规划图（2035年）》（详见附图五），项目占地属于</w:t>
            </w:r>
            <w:r>
              <w:rPr>
                <w:rFonts w:hint="eastAsia" w:cs="Times New Roman"/>
                <w:color w:val="auto"/>
                <w:kern w:val="0"/>
                <w:szCs w:val="21"/>
                <w:highlight w:val="none"/>
                <w:lang w:val="en-US" w:eastAsia="zh-CN"/>
              </w:rPr>
              <w:t>二类</w:t>
            </w:r>
            <w:r>
              <w:rPr>
                <w:rFonts w:hint="default" w:ascii="Times New Roman" w:hAnsi="Times New Roman" w:cs="Times New Roman"/>
                <w:color w:val="auto"/>
                <w:kern w:val="0"/>
                <w:szCs w:val="21"/>
                <w:highlight w:val="none"/>
                <w:lang w:val="en-US" w:eastAsia="zh-CN"/>
              </w:rPr>
              <w:t>工业用地，符合集聚区土地利用规划，另根据《新乡市新能源电池专业园发展规划（2022-2035年）——功能分区规划图》（详见附图四），项目占地位于新能源电池产业区，本项目属于锂离子电池制造项目，因此本项目符合新乡市新能源电池专业园区土地利用规划和产业布局规划要求。项目不属于新乡市新能源电池专业园区建设项目环境保护准入条件中的限制类和禁止类项目，</w:t>
            </w:r>
            <w:r>
              <w:rPr>
                <w:rFonts w:hint="eastAsia" w:ascii="Times New Roman" w:hAnsi="Times New Roman" w:cs="Times New Roman"/>
                <w:color w:val="auto"/>
                <w:kern w:val="0"/>
                <w:szCs w:val="21"/>
                <w:highlight w:val="none"/>
                <w:lang w:val="en-US" w:eastAsia="zh-CN"/>
              </w:rPr>
              <w:t>不属于环境准入负面清单禁止类项目，</w:t>
            </w:r>
            <w:r>
              <w:rPr>
                <w:rFonts w:hint="default" w:ascii="Times New Roman" w:hAnsi="Times New Roman" w:cs="Times New Roman"/>
                <w:color w:val="auto"/>
                <w:kern w:val="0"/>
                <w:szCs w:val="21"/>
                <w:highlight w:val="none"/>
                <w:lang w:val="en-US" w:eastAsia="zh-CN"/>
              </w:rPr>
              <w:t>本项目符合园区准入条件要求。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6" w:hRule="atLeast"/>
          <w:jc w:val="center"/>
        </w:trPr>
        <w:tc>
          <w:tcPr>
            <w:tcW w:w="112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kern w:val="0"/>
                <w:szCs w:val="21"/>
                <w:highlight w:val="green"/>
              </w:rPr>
            </w:pPr>
            <w:r>
              <w:rPr>
                <w:rFonts w:hint="default" w:ascii="Times New Roman" w:hAnsi="Times New Roman" w:cs="Times New Roman"/>
                <w:color w:val="auto"/>
                <w:kern w:val="0"/>
                <w:szCs w:val="21"/>
                <w:highlight w:val="none"/>
              </w:rPr>
              <w:t>其他符合性分析</w:t>
            </w:r>
          </w:p>
        </w:tc>
        <w:tc>
          <w:tcPr>
            <w:tcW w:w="3874" w:type="pct"/>
            <w:gridSpan w:val="3"/>
            <w:noWrap w:val="0"/>
            <w:vAlign w:val="center"/>
          </w:tcPr>
          <w:p>
            <w:pPr>
              <w:pStyle w:val="2"/>
              <w:keepNext/>
              <w:keepLines w:val="0"/>
              <w:pageBreakBefore w:val="0"/>
              <w:widowControl w:val="0"/>
              <w:kinsoku/>
              <w:wordWrap/>
              <w:overflowPunct w:val="0"/>
              <w:topLinePunct w:val="0"/>
              <w:autoSpaceDE/>
              <w:autoSpaceDN/>
              <w:bidi w:val="0"/>
              <w:adjustRightInd/>
              <w:snapToGrid w:val="0"/>
              <w:ind w:left="0" w:leftChars="0"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项目与备案的相符性分析</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20" w:firstLineChars="20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本项目由</w:t>
            </w:r>
            <w:r>
              <w:rPr>
                <w:rFonts w:hint="default" w:ascii="Times New Roman" w:hAnsi="Times New Roman" w:cs="Times New Roman"/>
                <w:color w:val="auto"/>
                <w:highlight w:val="none"/>
                <w:lang w:eastAsia="zh-CN"/>
              </w:rPr>
              <w:t>新乡市凤泉区发展和改革委员会</w:t>
            </w:r>
            <w:r>
              <w:rPr>
                <w:rFonts w:hint="default" w:ascii="Times New Roman" w:hAnsi="Times New Roman" w:cs="Times New Roman"/>
                <w:color w:val="auto"/>
                <w:highlight w:val="none"/>
              </w:rPr>
              <w:t>备案，项目代码为</w:t>
            </w:r>
            <w:r>
              <w:rPr>
                <w:rFonts w:hint="eastAsia" w:cs="Times New Roman"/>
                <w:color w:val="auto"/>
                <w:sz w:val="21"/>
                <w:szCs w:val="21"/>
                <w:highlight w:val="none"/>
                <w:lang w:val="en-US" w:eastAsia="zh-CN"/>
              </w:rPr>
              <w:t>xxxx</w:t>
            </w:r>
            <w:r>
              <w:rPr>
                <w:rFonts w:hint="default" w:ascii="Times New Roman" w:hAnsi="Times New Roman" w:cs="Times New Roman"/>
                <w:color w:val="auto"/>
                <w:highlight w:val="none"/>
              </w:rPr>
              <w:t>，项目与备案的详细对比如下：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项目备案相符性分析一览表</w:t>
            </w:r>
          </w:p>
          <w:tbl>
            <w:tblPr>
              <w:tblStyle w:val="21"/>
              <w:tblW w:w="4997"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99"/>
              <w:gridCol w:w="616"/>
              <w:gridCol w:w="2203"/>
              <w:gridCol w:w="2204"/>
              <w:gridCol w:w="1361"/>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8" w:type="pct"/>
                  <w:gridSpan w:val="2"/>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名称</w:t>
                  </w:r>
                </w:p>
              </w:tc>
              <w:tc>
                <w:tcPr>
                  <w:tcW w:w="1623" w:type="pct"/>
                  <w:noWrap w:val="0"/>
                  <w:vAlign w:val="center"/>
                </w:tcPr>
                <w:p>
                  <w:pPr>
                    <w:pStyle w:val="57"/>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备案</w:t>
                  </w:r>
                  <w:r>
                    <w:rPr>
                      <w:rFonts w:hint="default" w:ascii="Times New Roman" w:hAnsi="Times New Roman" w:cs="Times New Roman"/>
                      <w:color w:val="auto"/>
                      <w:highlight w:val="none"/>
                      <w:lang w:eastAsia="zh-CN"/>
                    </w:rPr>
                    <w:t>情况</w:t>
                  </w:r>
                </w:p>
              </w:tc>
              <w:tc>
                <w:tcPr>
                  <w:tcW w:w="1624"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w:t>
                  </w:r>
                  <w:r>
                    <w:rPr>
                      <w:rFonts w:hint="default" w:ascii="Times New Roman" w:hAnsi="Times New Roman" w:cs="Times New Roman"/>
                      <w:color w:val="auto"/>
                      <w:highlight w:val="none"/>
                    </w:rPr>
                    <w:t>项目情况</w:t>
                  </w:r>
                </w:p>
              </w:tc>
              <w:tc>
                <w:tcPr>
                  <w:tcW w:w="1003"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相符性</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8" w:type="pct"/>
                  <w:gridSpan w:val="2"/>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w:t>
                  </w:r>
                </w:p>
              </w:tc>
              <w:tc>
                <w:tcPr>
                  <w:tcW w:w="1623" w:type="pct"/>
                  <w:noWrap w:val="0"/>
                  <w:vAlign w:val="center"/>
                </w:tcPr>
                <w:p>
                  <w:pPr>
                    <w:pStyle w:val="57"/>
                    <w:bidi w:val="0"/>
                    <w:rPr>
                      <w:rFonts w:hint="default" w:ascii="Times New Roman" w:hAnsi="Times New Roman" w:cs="Times New Roman"/>
                      <w:color w:val="auto"/>
                      <w:highlight w:val="none"/>
                      <w:lang w:eastAsia="zh-CN"/>
                    </w:rPr>
                  </w:pPr>
                  <w:r>
                    <w:rPr>
                      <w:rFonts w:hint="default" w:ascii="Times New Roman" w:hAnsi="Times New Roman" w:cs="Times New Roman"/>
                      <w:color w:val="auto"/>
                      <w:sz w:val="18"/>
                      <w:szCs w:val="18"/>
                      <w:highlight w:val="none"/>
                    </w:rPr>
                    <w:t>河南省东恒锂电能源有限公司</w:t>
                  </w:r>
                </w:p>
              </w:tc>
              <w:tc>
                <w:tcPr>
                  <w:tcW w:w="1624" w:type="pct"/>
                  <w:noWrap w:val="0"/>
                  <w:vAlign w:val="center"/>
                </w:tcPr>
                <w:p>
                  <w:pPr>
                    <w:pStyle w:val="57"/>
                    <w:bidi w:val="0"/>
                    <w:rPr>
                      <w:rFonts w:hint="default" w:ascii="Times New Roman" w:hAnsi="Times New Roman" w:cs="Times New Roman"/>
                      <w:color w:val="auto"/>
                      <w:highlight w:val="none"/>
                      <w:lang w:eastAsia="zh-CN"/>
                    </w:rPr>
                  </w:pPr>
                  <w:r>
                    <w:rPr>
                      <w:rFonts w:hint="default" w:ascii="Times New Roman" w:hAnsi="Times New Roman" w:cs="Times New Roman"/>
                      <w:color w:val="auto"/>
                      <w:sz w:val="18"/>
                      <w:szCs w:val="18"/>
                      <w:highlight w:val="none"/>
                    </w:rPr>
                    <w:t>河南省东恒锂电能源有限公司</w:t>
                  </w:r>
                </w:p>
              </w:tc>
              <w:tc>
                <w:tcPr>
                  <w:tcW w:w="1003"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8" w:type="pct"/>
                  <w:gridSpan w:val="2"/>
                  <w:noWrap w:val="0"/>
                  <w:vAlign w:val="center"/>
                </w:tcPr>
                <w:p>
                  <w:pPr>
                    <w:pStyle w:val="57"/>
                    <w:bidi w:val="0"/>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建设项目</w:t>
                  </w:r>
                </w:p>
              </w:tc>
              <w:tc>
                <w:tcPr>
                  <w:tcW w:w="1623" w:type="pct"/>
                  <w:noWrap w:val="0"/>
                  <w:vAlign w:val="center"/>
                </w:tcPr>
                <w:p>
                  <w:pPr>
                    <w:pStyle w:val="57"/>
                    <w:bidi w:val="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河南省东恒锂电能源有限公司年产500万只锂离子电池项目</w:t>
                  </w:r>
                </w:p>
              </w:tc>
              <w:tc>
                <w:tcPr>
                  <w:tcW w:w="1624" w:type="pct"/>
                  <w:noWrap w:val="0"/>
                  <w:vAlign w:val="center"/>
                </w:tcPr>
                <w:p>
                  <w:pPr>
                    <w:pStyle w:val="57"/>
                    <w:bidi w:val="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河南省东恒锂电能源有限公司年产500万只锂离子电池项目</w:t>
                  </w:r>
                </w:p>
              </w:tc>
              <w:tc>
                <w:tcPr>
                  <w:tcW w:w="1003" w:type="pct"/>
                  <w:noWrap w:val="0"/>
                  <w:vAlign w:val="center"/>
                </w:tcPr>
                <w:p>
                  <w:pPr>
                    <w:pStyle w:val="57"/>
                    <w:bidi w:val="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8" w:type="pct"/>
                  <w:gridSpan w:val="2"/>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w:t>
                  </w:r>
                </w:p>
              </w:tc>
              <w:tc>
                <w:tcPr>
                  <w:tcW w:w="1623"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新乡市凤泉区河南省新乡市凤泉区产业集聚区28#厂房一层</w:t>
                  </w:r>
                </w:p>
              </w:tc>
              <w:tc>
                <w:tcPr>
                  <w:tcW w:w="1624"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新乡市凤泉区河南省新乡市凤泉区产业集聚区28#厂房一层</w:t>
                  </w:r>
                </w:p>
              </w:tc>
              <w:tc>
                <w:tcPr>
                  <w:tcW w:w="1003"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8" w:type="pct"/>
                  <w:gridSpan w:val="2"/>
                  <w:noWrap w:val="0"/>
                  <w:vAlign w:val="center"/>
                </w:tcPr>
                <w:p>
                  <w:pPr>
                    <w:pStyle w:val="57"/>
                    <w:bidi w:val="0"/>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建筑面积</w:t>
                  </w:r>
                </w:p>
              </w:tc>
              <w:tc>
                <w:tcPr>
                  <w:tcW w:w="1623" w:type="pct"/>
                  <w:noWrap w:val="0"/>
                  <w:vAlign w:val="center"/>
                </w:tcPr>
                <w:p>
                  <w:pPr>
                    <w:pStyle w:val="57"/>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1500平方米</w:t>
                  </w:r>
                </w:p>
              </w:tc>
              <w:tc>
                <w:tcPr>
                  <w:tcW w:w="1624" w:type="pct"/>
                  <w:noWrap w:val="0"/>
                  <w:vAlign w:val="center"/>
                </w:tcPr>
                <w:p>
                  <w:pPr>
                    <w:pStyle w:val="57"/>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1500平方米</w:t>
                  </w:r>
                </w:p>
              </w:tc>
              <w:tc>
                <w:tcPr>
                  <w:tcW w:w="1003" w:type="pct"/>
                  <w:noWrap w:val="0"/>
                  <w:vAlign w:val="center"/>
                </w:tcPr>
                <w:p>
                  <w:pPr>
                    <w:pStyle w:val="57"/>
                    <w:bidi w:val="0"/>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相符，租赁协议中建筑面积不包含办公用房面积</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4" w:type="pct"/>
                  <w:vMerge w:val="restart"/>
                  <w:tcBorders>
                    <w:right w:val="single" w:color="auto" w:sz="4" w:space="0"/>
                  </w:tcBorders>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建设内容</w:t>
                  </w:r>
                </w:p>
              </w:tc>
              <w:tc>
                <w:tcPr>
                  <w:tcW w:w="454" w:type="pct"/>
                  <w:tcBorders>
                    <w:left w:val="single" w:color="auto" w:sz="4" w:space="0"/>
                  </w:tcBorders>
                  <w:noWrap w:val="0"/>
                  <w:vAlign w:val="center"/>
                </w:tcPr>
                <w:p>
                  <w:pPr>
                    <w:pStyle w:val="57"/>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主要生产工艺</w:t>
                  </w:r>
                </w:p>
              </w:tc>
              <w:tc>
                <w:tcPr>
                  <w:tcW w:w="1623" w:type="pct"/>
                  <w:noWrap w:val="0"/>
                  <w:vAlign w:val="center"/>
                </w:tcPr>
                <w:p>
                  <w:pPr>
                    <w:pStyle w:val="57"/>
                    <w:numPr>
                      <w:ilvl w:val="0"/>
                      <w:numId w:val="0"/>
                    </w:numPr>
                    <w:bidi w:val="0"/>
                    <w:jc w:val="both"/>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切片、滚压—卷绕—注液—封口—化成、分容—检测—包装出厂</w:t>
                  </w:r>
                </w:p>
              </w:tc>
              <w:tc>
                <w:tcPr>
                  <w:tcW w:w="1624" w:type="pct"/>
                  <w:noWrap w:val="0"/>
                  <w:vAlign w:val="center"/>
                </w:tcPr>
                <w:p>
                  <w:pPr>
                    <w:pStyle w:val="57"/>
                    <w:bidi w:val="0"/>
                    <w:jc w:val="both"/>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辊压、切片—卷绕—短路测试、烘干—极耳焊接—装配—注液、封口—化成—分容—检测—包装出厂</w:t>
                  </w:r>
                </w:p>
              </w:tc>
              <w:tc>
                <w:tcPr>
                  <w:tcW w:w="1003" w:type="pct"/>
                  <w:noWrap w:val="0"/>
                  <w:vAlign w:val="center"/>
                </w:tcPr>
                <w:p>
                  <w:pPr>
                    <w:pStyle w:val="57"/>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实际</w:t>
                  </w:r>
                  <w:r>
                    <w:rPr>
                      <w:rFonts w:hint="eastAsia" w:ascii="Times New Roman" w:hAnsi="Times New Roman" w:cs="Times New Roman"/>
                      <w:color w:val="auto"/>
                      <w:highlight w:val="none"/>
                      <w:lang w:eastAsia="zh-CN"/>
                    </w:rPr>
                    <w:t>工艺</w:t>
                  </w:r>
                  <w:r>
                    <w:rPr>
                      <w:rFonts w:hint="default" w:ascii="Times New Roman" w:hAnsi="Times New Roman" w:cs="Times New Roman"/>
                      <w:color w:val="auto"/>
                      <w:highlight w:val="none"/>
                      <w:lang w:eastAsia="zh-CN"/>
                    </w:rPr>
                    <w:t>包含有短路测试、烘干、极耳焊接、装配等工序</w:t>
                  </w:r>
                  <w:r>
                    <w:rPr>
                      <w:rFonts w:hint="eastAsia" w:ascii="Times New Roman" w:hAnsi="Times New Roman" w:cs="Times New Roman"/>
                      <w:color w:val="auto"/>
                      <w:highlight w:val="none"/>
                      <w:lang w:eastAsia="zh-CN"/>
                    </w:rPr>
                    <w:t>，备案中未具体说明</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4" w:type="pct"/>
                  <w:vMerge w:val="continue"/>
                  <w:tcBorders>
                    <w:right w:val="single" w:color="auto" w:sz="4" w:space="0"/>
                  </w:tcBorders>
                  <w:noWrap w:val="0"/>
                  <w:vAlign w:val="center"/>
                </w:tcPr>
                <w:p>
                  <w:pPr>
                    <w:pStyle w:val="57"/>
                    <w:bidi w:val="0"/>
                    <w:rPr>
                      <w:rFonts w:hint="default" w:ascii="Times New Roman" w:hAnsi="Times New Roman" w:cs="Times New Roman"/>
                      <w:color w:val="auto"/>
                      <w:highlight w:val="none"/>
                    </w:rPr>
                  </w:pPr>
                </w:p>
              </w:tc>
              <w:tc>
                <w:tcPr>
                  <w:tcW w:w="454" w:type="pct"/>
                  <w:tcBorders>
                    <w:left w:val="single" w:color="auto" w:sz="4" w:space="0"/>
                  </w:tcBorders>
                  <w:noWrap w:val="0"/>
                  <w:vAlign w:val="center"/>
                </w:tcPr>
                <w:p>
                  <w:pPr>
                    <w:pStyle w:val="57"/>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主要生产设备</w:t>
                  </w:r>
                </w:p>
              </w:tc>
              <w:tc>
                <w:tcPr>
                  <w:tcW w:w="1623" w:type="pct"/>
                  <w:noWrap w:val="0"/>
                  <w:vAlign w:val="center"/>
                </w:tcPr>
                <w:p>
                  <w:pPr>
                    <w:pStyle w:val="57"/>
                    <w:bidi w:val="0"/>
                    <w:jc w:val="both"/>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电池半自动卷绕机、滚槽机、点盖帽机、手套箱、化成柜、全自动面贴套膜电压内阻分选一体机等</w:t>
                  </w:r>
                </w:p>
              </w:tc>
              <w:tc>
                <w:tcPr>
                  <w:tcW w:w="1624" w:type="pct"/>
                  <w:noWrap w:val="0"/>
                  <w:vAlign w:val="center"/>
                </w:tcPr>
                <w:p>
                  <w:pPr>
                    <w:pStyle w:val="57"/>
                    <w:bidi w:val="0"/>
                    <w:jc w:val="both"/>
                    <w:rPr>
                      <w:rFonts w:hint="default"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半自动卷绕机、滚槽机、焊帽机、手套箱、化成柜、分容柜、绝缘内阻电压测试仪</w:t>
                  </w:r>
                </w:p>
              </w:tc>
              <w:tc>
                <w:tcPr>
                  <w:tcW w:w="1003" w:type="pct"/>
                  <w:noWrap w:val="0"/>
                  <w:vAlign w:val="center"/>
                </w:tcPr>
                <w:p>
                  <w:pPr>
                    <w:pStyle w:val="57"/>
                    <w:bidi w:val="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基本</w:t>
                  </w:r>
                </w:p>
                <w:p>
                  <w:pPr>
                    <w:pStyle w:val="57"/>
                    <w:bidi w:val="0"/>
                    <w:rPr>
                      <w:rFonts w:hint="default"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8" w:type="pct"/>
                  <w:gridSpan w:val="2"/>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投资</w:t>
                  </w:r>
                </w:p>
              </w:tc>
              <w:tc>
                <w:tcPr>
                  <w:tcW w:w="1623" w:type="pct"/>
                  <w:noWrap w:val="0"/>
                  <w:vAlign w:val="center"/>
                </w:tcPr>
                <w:p>
                  <w:pPr>
                    <w:pStyle w:val="57"/>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500</w:t>
                  </w:r>
                  <w:r>
                    <w:rPr>
                      <w:rFonts w:hint="default" w:ascii="Times New Roman" w:hAnsi="Times New Roman" w:cs="Times New Roman"/>
                      <w:color w:val="auto"/>
                      <w:highlight w:val="none"/>
                      <w:lang w:val="en-US" w:eastAsia="zh-CN"/>
                    </w:rPr>
                    <w:t>万元</w:t>
                  </w:r>
                </w:p>
              </w:tc>
              <w:tc>
                <w:tcPr>
                  <w:tcW w:w="1624" w:type="pct"/>
                  <w:noWrap w:val="0"/>
                  <w:vAlign w:val="center"/>
                </w:tcPr>
                <w:p>
                  <w:pPr>
                    <w:pStyle w:val="57"/>
                    <w:bidi w:val="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500</w:t>
                  </w:r>
                  <w:r>
                    <w:rPr>
                      <w:rFonts w:hint="default" w:ascii="Times New Roman" w:hAnsi="Times New Roman" w:cs="Times New Roman"/>
                      <w:color w:val="auto"/>
                      <w:highlight w:val="none"/>
                      <w:lang w:val="en-US" w:eastAsia="zh-CN"/>
                    </w:rPr>
                    <w:t>万元</w:t>
                  </w:r>
                </w:p>
              </w:tc>
              <w:tc>
                <w:tcPr>
                  <w:tcW w:w="1003"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相符</w:t>
                  </w:r>
                </w:p>
              </w:tc>
            </w:tr>
          </w:tbl>
          <w:p>
            <w:pPr>
              <w:bidi w:val="0"/>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综上，</w:t>
            </w:r>
            <w:r>
              <w:rPr>
                <w:rFonts w:hint="default" w:ascii="Times New Roman" w:hAnsi="Times New Roman" w:cs="Times New Roman"/>
                <w:color w:val="auto"/>
                <w:highlight w:val="none"/>
                <w:lang w:eastAsia="zh-CN"/>
              </w:rPr>
              <w:t>本项目实际建设内容与备案内容相比</w:t>
            </w:r>
            <w:r>
              <w:rPr>
                <w:rFonts w:hint="eastAsia" w:cs="Times New Roman"/>
                <w:color w:val="auto"/>
                <w:highlight w:val="none"/>
                <w:lang w:eastAsia="zh-CN"/>
              </w:rPr>
              <w:t>，生产工艺方面实际包含有短路测试、烘干、极耳焊接、装配等工序，由于上述工序主要属于测试和装配工序，不属于涉及产污的主要工序，因此未在备案中进行详细说明；生产设备方面无</w:t>
            </w:r>
            <w:r>
              <w:rPr>
                <w:rFonts w:hint="eastAsia" w:ascii="Times New Roman" w:hAnsi="Times New Roman" w:cs="Times New Roman"/>
                <w:color w:val="auto"/>
                <w:highlight w:val="none"/>
                <w:lang w:val="en-US" w:eastAsia="zh-CN"/>
              </w:rPr>
              <w:t>全自动面贴套膜电压内阻分选一体机</w:t>
            </w:r>
            <w:r>
              <w:rPr>
                <w:rFonts w:hint="eastAsia" w:cs="Times New Roman"/>
                <w:color w:val="auto"/>
                <w:highlight w:val="none"/>
                <w:lang w:val="en-US" w:eastAsia="zh-CN"/>
              </w:rPr>
              <w:t>，</w:t>
            </w:r>
            <w:r>
              <w:rPr>
                <w:rFonts w:hint="eastAsia" w:cs="Times New Roman"/>
                <w:color w:val="auto"/>
                <w:highlight w:val="none"/>
                <w:lang w:eastAsia="zh-CN"/>
              </w:rPr>
              <w:t>实际</w:t>
            </w:r>
            <w:r>
              <w:rPr>
                <w:rFonts w:hint="eastAsia" w:cs="Times New Roman"/>
                <w:color w:val="auto"/>
                <w:highlight w:val="none"/>
                <w:lang w:val="en-US" w:eastAsia="zh-CN"/>
              </w:rPr>
              <w:t>电压内测试采用</w:t>
            </w:r>
            <w:r>
              <w:rPr>
                <w:rFonts w:hint="eastAsia" w:ascii="Times New Roman" w:hAnsi="Times New Roman" w:cs="Times New Roman"/>
                <w:color w:val="auto"/>
                <w:highlight w:val="none"/>
                <w:lang w:eastAsia="zh-CN"/>
              </w:rPr>
              <w:t>绝缘内阻电压测试仪</w:t>
            </w:r>
            <w:r>
              <w:rPr>
                <w:rFonts w:hint="eastAsia" w:cs="Times New Roman"/>
                <w:color w:val="auto"/>
                <w:highlight w:val="none"/>
                <w:lang w:eastAsia="zh-CN"/>
              </w:rPr>
              <w:t>。经对照《河南省企业投资项目核准和备案管理办法》（豫政办〔2020〕23号），上述变动情况不属于重大变动</w:t>
            </w:r>
            <w:r>
              <w:rPr>
                <w:rFonts w:hint="default" w:ascii="Times New Roman" w:hAnsi="Times New Roman" w:cs="Times New Roman"/>
                <w:color w:val="auto"/>
                <w:highlight w:val="none"/>
              </w:rPr>
              <w:t>。</w:t>
            </w:r>
            <w:r>
              <w:rPr>
                <w:rFonts w:hint="eastAsia" w:cs="Times New Roman"/>
                <w:color w:val="auto"/>
                <w:highlight w:val="none"/>
                <w:lang w:eastAsia="zh-CN"/>
              </w:rPr>
              <w:t>项目其余建设</w:t>
            </w:r>
            <w:r>
              <w:rPr>
                <w:rFonts w:hint="default" w:ascii="Times New Roman" w:hAnsi="Times New Roman" w:cs="Times New Roman"/>
                <w:color w:val="auto"/>
                <w:highlight w:val="none"/>
                <w:lang w:eastAsia="zh-CN"/>
              </w:rPr>
              <w:t>内容</w:t>
            </w:r>
            <w:r>
              <w:rPr>
                <w:rFonts w:hint="default" w:ascii="Times New Roman" w:hAnsi="Times New Roman" w:cs="Times New Roman"/>
                <w:color w:val="auto"/>
                <w:highlight w:val="none"/>
              </w:rPr>
              <w:t>均与发改委备案基本一致</w:t>
            </w:r>
            <w:r>
              <w:rPr>
                <w:rFonts w:hint="eastAsia" w:cs="Times New Roman"/>
                <w:color w:val="auto"/>
                <w:highlight w:val="none"/>
                <w:lang w:eastAsia="zh-CN"/>
              </w:rPr>
              <w:t>。</w:t>
            </w:r>
          </w:p>
          <w:p>
            <w:pPr>
              <w:pStyle w:val="2"/>
              <w:keepNext/>
              <w:keepLines w:val="0"/>
              <w:pageBreakBefore w:val="0"/>
              <w:widowControl w:val="0"/>
              <w:kinsoku/>
              <w:wordWrap/>
              <w:overflowPunct w:val="0"/>
              <w:topLinePunct w:val="0"/>
              <w:autoSpaceDE/>
              <w:autoSpaceDN/>
              <w:bidi w:val="0"/>
              <w:adjustRightInd/>
              <w:snapToGrid w:val="0"/>
              <w:ind w:left="0" w:leftChars="0"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与《产业结构调整指导目录（201</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年本）》相符性分析</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right="0" w:rightChars="0" w:firstLine="420" w:firstLineChars="200"/>
              <w:textAlignment w:val="auto"/>
              <w:outlineLvl w:val="9"/>
              <w:rPr>
                <w:rFonts w:hint="default" w:ascii="Times New Roman" w:hAnsi="Times New Roman" w:cs="Times New Roman"/>
                <w:b w:val="0"/>
                <w:bCs w:val="0"/>
                <w:color w:val="auto"/>
                <w:sz w:val="21"/>
                <w:szCs w:val="21"/>
                <w:highlight w:val="none"/>
                <w:u w:val="none"/>
                <w:lang w:eastAsia="zh-CN"/>
              </w:rPr>
            </w:pPr>
            <w:r>
              <w:rPr>
                <w:rFonts w:hint="default" w:ascii="Times New Roman" w:hAnsi="Times New Roman" w:cs="Times New Roman"/>
                <w:b w:val="0"/>
                <w:bCs w:val="0"/>
                <w:color w:val="auto"/>
                <w:sz w:val="21"/>
                <w:szCs w:val="21"/>
                <w:highlight w:val="none"/>
                <w:u w:val="none"/>
                <w:lang w:eastAsia="zh-CN"/>
              </w:rPr>
              <w:t>本项目产品为锂离子电池，对照《产业结构调整指导目录（</w:t>
            </w:r>
            <w:r>
              <w:rPr>
                <w:rFonts w:hint="eastAsia" w:ascii="Times New Roman" w:hAnsi="Times New Roman" w:cs="Times New Roman"/>
                <w:b w:val="0"/>
                <w:bCs w:val="0"/>
                <w:color w:val="auto"/>
                <w:sz w:val="21"/>
                <w:szCs w:val="21"/>
                <w:highlight w:val="none"/>
                <w:u w:val="none"/>
                <w:lang w:val="en-US" w:eastAsia="zh-CN"/>
              </w:rPr>
              <w:t>2019</w:t>
            </w:r>
            <w:r>
              <w:rPr>
                <w:rFonts w:hint="default" w:ascii="Times New Roman" w:hAnsi="Times New Roman" w:cs="Times New Roman"/>
                <w:b w:val="0"/>
                <w:bCs w:val="0"/>
                <w:color w:val="auto"/>
                <w:sz w:val="21"/>
                <w:szCs w:val="21"/>
                <w:highlight w:val="none"/>
                <w:u w:val="none"/>
                <w:lang w:eastAsia="zh-CN"/>
              </w:rPr>
              <w:t>年本）》，属于第一类鼓励类、第十九条轻工第16项”锂二硫化铁、锂亚硫酰氯等新型锂原电池；锂离子电池、氢镍电池、新型结构（卷绕式、管式等）密封铅蓄电池等动力电池；储能用锂离子电池和新型大容量密封铅蓄电池；超级电池和超级电容器”，项目建设符合国家产业政策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bCs/>
                <w:color w:val="auto"/>
                <w:lang w:val="en-US" w:eastAsia="zh-CN"/>
              </w:rPr>
            </w:pPr>
            <w:r>
              <w:rPr>
                <w:rFonts w:hint="eastAsia" w:cs="Times New Roman"/>
                <w:b/>
                <w:bCs/>
                <w:color w:val="auto"/>
                <w:szCs w:val="24"/>
                <w:highlight w:val="none"/>
                <w:u w:val="none"/>
                <w:lang w:val="en-US" w:eastAsia="zh-CN"/>
              </w:rPr>
              <w:t>3、与《锂离子电池行业规范条件》（2021年本）相符性分析</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与《锂离子电池行业规范条件》（2021年本）对比分析</w:t>
            </w:r>
          </w:p>
          <w:tbl>
            <w:tblPr>
              <w:tblStyle w:val="22"/>
              <w:tblW w:w="49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46"/>
              <w:gridCol w:w="2553"/>
              <w:gridCol w:w="78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39"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eastAsiaTheme="minorEastAsia"/>
                      <w:b w:val="0"/>
                      <w:bCs/>
                      <w:color w:val="auto"/>
                      <w:kern w:val="0"/>
                      <w:sz w:val="18"/>
                      <w:szCs w:val="18"/>
                    </w:rPr>
                  </w:pPr>
                  <w:r>
                    <w:rPr>
                      <w:rFonts w:hint="default" w:ascii="Times New Roman" w:hAnsi="Times New Roman" w:cs="Times New Roman" w:eastAsiaTheme="minorEastAsia"/>
                      <w:b w:val="0"/>
                      <w:bCs/>
                      <w:color w:val="auto"/>
                      <w:kern w:val="0"/>
                      <w:sz w:val="18"/>
                      <w:szCs w:val="18"/>
                      <w:lang w:eastAsia="zh-CN"/>
                    </w:rPr>
                    <w:t>与本项目</w:t>
                  </w:r>
                  <w:r>
                    <w:rPr>
                      <w:rFonts w:hint="default" w:ascii="Times New Roman" w:hAnsi="Times New Roman" w:cs="Times New Roman" w:eastAsiaTheme="minorEastAsia"/>
                      <w:b w:val="0"/>
                      <w:bCs/>
                      <w:color w:val="auto"/>
                      <w:kern w:val="0"/>
                      <w:sz w:val="18"/>
                      <w:szCs w:val="18"/>
                    </w:rPr>
                    <w:t>相关条例</w:t>
                  </w:r>
                </w:p>
              </w:tc>
              <w:tc>
                <w:tcPr>
                  <w:tcW w:w="1881"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eastAsiaTheme="minorEastAsia"/>
                      <w:b w:val="0"/>
                      <w:bCs/>
                      <w:color w:val="auto"/>
                      <w:kern w:val="0"/>
                      <w:sz w:val="18"/>
                      <w:szCs w:val="18"/>
                    </w:rPr>
                  </w:pPr>
                  <w:r>
                    <w:rPr>
                      <w:rFonts w:hint="default" w:ascii="Times New Roman" w:hAnsi="Times New Roman" w:cs="Times New Roman" w:eastAsiaTheme="minorEastAsia"/>
                      <w:b w:val="0"/>
                      <w:bCs/>
                      <w:color w:val="auto"/>
                      <w:kern w:val="0"/>
                      <w:sz w:val="18"/>
                      <w:szCs w:val="18"/>
                    </w:rPr>
                    <w:t>本项目情况</w:t>
                  </w:r>
                </w:p>
              </w:tc>
              <w:tc>
                <w:tcPr>
                  <w:tcW w:w="579"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eastAsiaTheme="minorEastAsia"/>
                      <w:b w:val="0"/>
                      <w:bCs/>
                      <w:color w:val="auto"/>
                      <w:kern w:val="0"/>
                      <w:sz w:val="18"/>
                      <w:szCs w:val="18"/>
                      <w:lang w:eastAsia="zh-CN"/>
                    </w:rPr>
                  </w:pPr>
                  <w:r>
                    <w:rPr>
                      <w:rFonts w:hint="default" w:ascii="Times New Roman" w:hAnsi="Times New Roman" w:cs="Times New Roman" w:eastAsiaTheme="minorEastAsia"/>
                      <w:b w:val="0"/>
                      <w:bCs/>
                      <w:color w:val="auto"/>
                      <w:kern w:val="0"/>
                      <w:sz w:val="18"/>
                      <w:szCs w:val="18"/>
                      <w:lang w:eastAsia="zh-CN"/>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3"/>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left"/>
                    <w:textAlignment w:val="auto"/>
                    <w:rPr>
                      <w:rFonts w:hint="default" w:ascii="Times New Roman" w:hAnsi="Times New Roman" w:cs="Times New Roman" w:eastAsiaTheme="minorEastAsia"/>
                      <w:b w:val="0"/>
                      <w:bCs/>
                      <w:color w:val="auto"/>
                      <w:kern w:val="0"/>
                      <w:sz w:val="18"/>
                      <w:szCs w:val="18"/>
                      <w:lang w:eastAsia="zh-CN"/>
                    </w:rPr>
                  </w:pPr>
                  <w:r>
                    <w:rPr>
                      <w:rFonts w:hint="default" w:ascii="Times New Roman" w:hAnsi="Times New Roman" w:cs="Times New Roman" w:eastAsiaTheme="minorEastAsia"/>
                      <w:b/>
                      <w:bCs w:val="0"/>
                      <w:color w:val="auto"/>
                      <w:kern w:val="0"/>
                      <w:sz w:val="18"/>
                      <w:szCs w:val="18"/>
                      <w:lang w:eastAsia="zh-CN"/>
                    </w:rPr>
                    <w:t>一、产业布局和项目设立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shd w:val="clear" w:color="auto" w:fill="FFFFFF"/>
                    </w:rPr>
                    <w:t>（一）锂离子电池企业及项目应符合国家资源开发利用、生态环境保护、节能管理、安全生产等法律法规要求，符合国家产业政策和相关产业规划及布局要求，符合当地国土空间规划和生态环境保护专项规划等要求，符合“三线一单”生态环境分区管控要求。</w:t>
                  </w:r>
                </w:p>
              </w:tc>
              <w:tc>
                <w:tcPr>
                  <w:tcW w:w="1881"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eastAsia="宋体" w:cs="Times New Roman"/>
                      <w:color w:val="auto"/>
                      <w:kern w:val="0"/>
                      <w:sz w:val="18"/>
                      <w:szCs w:val="18"/>
                      <w:highlight w:val="green"/>
                      <w:lang w:eastAsia="zh-CN"/>
                    </w:rPr>
                  </w:pPr>
                  <w:r>
                    <w:rPr>
                      <w:rFonts w:hint="default" w:ascii="Times New Roman" w:hAnsi="Times New Roman" w:cs="Times New Roman"/>
                      <w:color w:val="auto"/>
                      <w:kern w:val="0"/>
                      <w:sz w:val="18"/>
                      <w:szCs w:val="18"/>
                      <w:highlight w:val="none"/>
                    </w:rPr>
                    <w:t>本项目属于“鼓励类”</w:t>
                  </w:r>
                  <w:r>
                    <w:rPr>
                      <w:rFonts w:hint="default" w:ascii="Times New Roman" w:hAnsi="Times New Roman" w:cs="Times New Roman" w:eastAsiaTheme="minorEastAsia"/>
                      <w:color w:val="auto"/>
                      <w:kern w:val="0"/>
                      <w:sz w:val="18"/>
                      <w:szCs w:val="18"/>
                      <w:highlight w:val="none"/>
                    </w:rPr>
                    <w:t>项目</w:t>
                  </w:r>
                  <w:r>
                    <w:rPr>
                      <w:rFonts w:hint="default" w:ascii="Times New Roman" w:hAnsi="Times New Roman" w:cs="Times New Roman"/>
                      <w:color w:val="auto"/>
                      <w:kern w:val="0"/>
                      <w:sz w:val="18"/>
                      <w:szCs w:val="18"/>
                      <w:highlight w:val="none"/>
                    </w:rPr>
                    <w:t>，</w:t>
                  </w:r>
                  <w:r>
                    <w:rPr>
                      <w:rFonts w:hint="default" w:ascii="Times New Roman" w:hAnsi="Times New Roman" w:cs="Times New Roman" w:eastAsiaTheme="minorEastAsia"/>
                      <w:color w:val="auto"/>
                      <w:kern w:val="0"/>
                      <w:sz w:val="18"/>
                      <w:szCs w:val="18"/>
                      <w:highlight w:val="none"/>
                    </w:rPr>
                    <w:t>且</w:t>
                  </w:r>
                  <w:r>
                    <w:rPr>
                      <w:rFonts w:hint="default" w:ascii="Times New Roman" w:hAnsi="Times New Roman" w:cs="Times New Roman"/>
                      <w:color w:val="auto"/>
                      <w:kern w:val="0"/>
                      <w:sz w:val="18"/>
                      <w:szCs w:val="18"/>
                      <w:highlight w:val="none"/>
                    </w:rPr>
                    <w:t>已通过了新乡市凤泉区发展和改革委员会备案，</w:t>
                  </w:r>
                  <w:r>
                    <w:rPr>
                      <w:rFonts w:hint="default" w:ascii="Times New Roman" w:hAnsi="Times New Roman" w:cs="Times New Roman"/>
                      <w:color w:val="auto"/>
                      <w:kern w:val="0"/>
                      <w:sz w:val="18"/>
                      <w:szCs w:val="18"/>
                      <w:highlight w:val="none"/>
                      <w:lang w:eastAsia="zh-CN"/>
                    </w:rPr>
                    <w:t>项目位于</w:t>
                  </w:r>
                  <w:r>
                    <w:rPr>
                      <w:rFonts w:hint="eastAsia" w:cs="Times New Roman"/>
                      <w:color w:val="auto"/>
                      <w:kern w:val="0"/>
                      <w:sz w:val="18"/>
                      <w:szCs w:val="18"/>
                      <w:highlight w:val="none"/>
                      <w:lang w:eastAsia="zh-CN"/>
                    </w:rPr>
                    <w:t>新乡市新能源电池专业园区东</w:t>
                  </w:r>
                  <w:r>
                    <w:rPr>
                      <w:rFonts w:hint="default" w:ascii="Times New Roman" w:hAnsi="Times New Roman" w:cs="Times New Roman"/>
                      <w:color w:val="auto"/>
                      <w:kern w:val="0"/>
                      <w:sz w:val="18"/>
                      <w:szCs w:val="18"/>
                      <w:highlight w:val="none"/>
                      <w:lang w:eastAsia="zh-CN"/>
                    </w:rPr>
                    <w:t>片区，符合园区产业布局规划和土地利用规划要求，符合</w:t>
                  </w:r>
                  <w:r>
                    <w:rPr>
                      <w:rFonts w:hint="default" w:ascii="Times New Roman" w:hAnsi="Times New Roman" w:cs="Times New Roman" w:eastAsiaTheme="minorEastAsia"/>
                      <w:color w:val="auto"/>
                      <w:kern w:val="0"/>
                      <w:sz w:val="18"/>
                      <w:szCs w:val="18"/>
                      <w:shd w:val="clear" w:color="auto" w:fill="FFFFFF"/>
                    </w:rPr>
                    <w:t>“三线一单”生态环境分区管控要求</w:t>
                  </w:r>
                </w:p>
              </w:tc>
              <w:tc>
                <w:tcPr>
                  <w:tcW w:w="579"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39"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cs="Times New Roman" w:eastAsiaTheme="minorEastAsia"/>
                      <w:color w:val="auto"/>
                      <w:kern w:val="0"/>
                      <w:sz w:val="18"/>
                      <w:szCs w:val="18"/>
                      <w:highlight w:val="none"/>
                      <w:shd w:val="clear" w:color="auto" w:fill="FFFFFF"/>
                    </w:rPr>
                  </w:pPr>
                  <w:r>
                    <w:rPr>
                      <w:rFonts w:hint="default" w:ascii="Times New Roman" w:hAnsi="Times New Roman" w:cs="Times New Roman" w:eastAsiaTheme="minorEastAsia"/>
                      <w:color w:val="auto"/>
                      <w:kern w:val="0"/>
                      <w:sz w:val="18"/>
                      <w:szCs w:val="18"/>
                      <w:highlight w:val="none"/>
                      <w:shd w:val="clear" w:color="auto" w:fill="FFFFFF"/>
                    </w:rPr>
                    <w:t>（二） 在规划确定的永久基本农田、生态保护红线，以及国家法律法规、规章规定禁止建设工业企业的区域不得建设锂离子电池及配套项目。上述区域内的现有企业应按照法律法规要求拆除关闭，或严格控制规模、逐步迁出。</w:t>
                  </w:r>
                </w:p>
              </w:tc>
              <w:tc>
                <w:tcPr>
                  <w:tcW w:w="1881"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cs="Times New Roman" w:eastAsiaTheme="minorEastAsia"/>
                      <w:color w:val="auto"/>
                      <w:kern w:val="2"/>
                      <w:sz w:val="18"/>
                      <w:szCs w:val="18"/>
                      <w:highlight w:val="none"/>
                    </w:rPr>
                  </w:pPr>
                  <w:r>
                    <w:rPr>
                      <w:rFonts w:hint="default" w:ascii="Times New Roman" w:hAnsi="Times New Roman" w:cs="Times New Roman" w:eastAsiaTheme="minorEastAsia"/>
                      <w:color w:val="auto"/>
                      <w:kern w:val="0"/>
                      <w:sz w:val="18"/>
                      <w:szCs w:val="18"/>
                      <w:highlight w:val="none"/>
                    </w:rPr>
                    <w:t>本项目</w:t>
                  </w:r>
                  <w:r>
                    <w:rPr>
                      <w:rFonts w:hint="default" w:ascii="Times New Roman" w:hAnsi="Times New Roman" w:cs="Times New Roman" w:eastAsiaTheme="minorEastAsia"/>
                      <w:color w:val="auto"/>
                      <w:kern w:val="0"/>
                      <w:sz w:val="18"/>
                      <w:szCs w:val="18"/>
                      <w:highlight w:val="none"/>
                      <w:lang w:eastAsia="zh-CN"/>
                    </w:rPr>
                    <w:t>选址</w:t>
                  </w:r>
                  <w:r>
                    <w:rPr>
                      <w:rFonts w:hint="default" w:ascii="Times New Roman" w:hAnsi="Times New Roman" w:cs="Times New Roman" w:eastAsiaTheme="minorEastAsia"/>
                      <w:color w:val="auto"/>
                      <w:kern w:val="0"/>
                      <w:sz w:val="18"/>
                      <w:szCs w:val="18"/>
                      <w:highlight w:val="none"/>
                    </w:rPr>
                    <w:t>位于</w:t>
                  </w:r>
                  <w:r>
                    <w:rPr>
                      <w:rFonts w:hint="eastAsia" w:cs="Times New Roman"/>
                      <w:color w:val="auto"/>
                      <w:kern w:val="0"/>
                      <w:sz w:val="18"/>
                      <w:szCs w:val="18"/>
                      <w:highlight w:val="none"/>
                      <w:lang w:eastAsia="zh-CN"/>
                    </w:rPr>
                    <w:t>新乡市新能源电池专业园区东</w:t>
                  </w:r>
                  <w:r>
                    <w:rPr>
                      <w:rFonts w:hint="default" w:ascii="Times New Roman" w:hAnsi="Times New Roman" w:cs="Times New Roman"/>
                      <w:color w:val="auto"/>
                      <w:kern w:val="0"/>
                      <w:sz w:val="18"/>
                      <w:szCs w:val="18"/>
                      <w:highlight w:val="none"/>
                      <w:lang w:eastAsia="zh-CN"/>
                    </w:rPr>
                    <w:t>片区，不在</w:t>
                  </w:r>
                  <w:r>
                    <w:rPr>
                      <w:rFonts w:hint="default" w:ascii="Times New Roman" w:hAnsi="Times New Roman" w:cs="Times New Roman" w:eastAsiaTheme="minorEastAsia"/>
                      <w:color w:val="auto"/>
                      <w:kern w:val="0"/>
                      <w:sz w:val="18"/>
                      <w:szCs w:val="18"/>
                      <w:highlight w:val="none"/>
                      <w:shd w:val="clear" w:color="auto" w:fill="FFFFFF"/>
                    </w:rPr>
                    <w:t>永久基本农田、生态保护红线，以及国家法律法规、规章规定禁止建设工业企业的区域</w:t>
                  </w:r>
                  <w:r>
                    <w:rPr>
                      <w:rFonts w:hint="default" w:ascii="Times New Roman" w:hAnsi="Times New Roman" w:cs="Times New Roman" w:eastAsiaTheme="minorEastAsia"/>
                      <w:color w:val="auto"/>
                      <w:kern w:val="2"/>
                      <w:sz w:val="18"/>
                      <w:szCs w:val="18"/>
                      <w:highlight w:val="none"/>
                    </w:rPr>
                    <w:t>。</w:t>
                  </w:r>
                </w:p>
              </w:tc>
              <w:tc>
                <w:tcPr>
                  <w:tcW w:w="579"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39"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cs="Times New Roman" w:eastAsiaTheme="minorEastAsia"/>
                      <w:color w:val="auto"/>
                      <w:kern w:val="0"/>
                      <w:sz w:val="18"/>
                      <w:szCs w:val="18"/>
                      <w:highlight w:val="none"/>
                      <w:shd w:val="clear" w:color="auto" w:fill="FFFFFF"/>
                    </w:rPr>
                  </w:pPr>
                  <w:r>
                    <w:rPr>
                      <w:rFonts w:hint="default" w:ascii="Times New Roman" w:hAnsi="Times New Roman" w:cs="Times New Roman" w:eastAsiaTheme="minorEastAsia"/>
                      <w:color w:val="auto"/>
                      <w:kern w:val="0"/>
                      <w:sz w:val="18"/>
                      <w:szCs w:val="18"/>
                      <w:highlight w:val="none"/>
                      <w:shd w:val="clear" w:color="auto" w:fill="FFFFFF"/>
                    </w:rPr>
                    <w:t>（三）引导企业减少单纯扩大产能的制造项目，加强技术创新、提高产品质量、降低生产成本。</w:t>
                  </w:r>
                </w:p>
              </w:tc>
              <w:tc>
                <w:tcPr>
                  <w:tcW w:w="1881"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cs="Times New Roman" w:eastAsiaTheme="minorEastAsia"/>
                      <w:color w:val="auto"/>
                      <w:kern w:val="0"/>
                      <w:sz w:val="18"/>
                      <w:szCs w:val="18"/>
                      <w:highlight w:val="none"/>
                    </w:rPr>
                  </w:pPr>
                  <w:r>
                    <w:rPr>
                      <w:rFonts w:hint="default" w:ascii="Times New Roman" w:hAnsi="Times New Roman" w:cs="Times New Roman" w:eastAsiaTheme="minorEastAsia"/>
                      <w:color w:val="auto"/>
                      <w:kern w:val="0"/>
                      <w:sz w:val="18"/>
                      <w:szCs w:val="18"/>
                      <w:highlight w:val="none"/>
                    </w:rPr>
                    <w:t>本项目使用设备及生产技术均为行业先进设备和生产技术，不属于单纯扩大产能、技术水平低的锂离子电池行业。</w:t>
                  </w:r>
                </w:p>
              </w:tc>
              <w:tc>
                <w:tcPr>
                  <w:tcW w:w="579"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eastAsiaTheme="minorEastAsia"/>
                      <w:color w:val="auto"/>
                      <w:kern w:val="0"/>
                      <w:sz w:val="18"/>
                      <w:szCs w:val="18"/>
                      <w:lang w:eastAsia="zh-CN"/>
                    </w:rPr>
                  </w:pPr>
                  <w:r>
                    <w:rPr>
                      <w:rFonts w:hint="default" w:ascii="Times New Roman" w:hAnsi="Times New Roman" w:cs="Times New Roman" w:eastAsiaTheme="minorEastAsia"/>
                      <w:color w:val="auto"/>
                      <w:kern w:val="0"/>
                      <w:sz w:val="18"/>
                      <w:szCs w:val="18"/>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3"/>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left"/>
                    <w:textAlignment w:val="auto"/>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b/>
                      <w:bCs/>
                      <w:color w:val="auto"/>
                      <w:kern w:val="0"/>
                      <w:sz w:val="18"/>
                      <w:szCs w:val="18"/>
                    </w:rPr>
                    <w:t>二、工艺技术和质量管理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39"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cs="Times New Roman" w:eastAsiaTheme="minorEastAsia"/>
                      <w:color w:val="auto"/>
                      <w:kern w:val="0"/>
                      <w:sz w:val="18"/>
                      <w:szCs w:val="18"/>
                      <w:highlight w:val="none"/>
                      <w:shd w:val="clear" w:color="auto" w:fill="FFFFFF"/>
                    </w:rPr>
                  </w:pPr>
                  <w:r>
                    <w:rPr>
                      <w:rFonts w:hint="default" w:ascii="Times New Roman" w:hAnsi="Times New Roman" w:cs="Times New Roman" w:eastAsiaTheme="minorEastAsia"/>
                      <w:color w:val="auto"/>
                      <w:kern w:val="0"/>
                      <w:sz w:val="18"/>
                      <w:szCs w:val="18"/>
                      <w:highlight w:val="none"/>
                      <w:shd w:val="clear" w:color="auto" w:fill="FFFFFF"/>
                    </w:rPr>
                    <w:t>（二）企业应采用技术先进、节能环保、安全稳定、智能化程度高的生产工艺和设备，并达到以下要求：</w:t>
                  </w:r>
                </w:p>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cs="Times New Roman" w:eastAsiaTheme="minorEastAsia"/>
                      <w:color w:val="auto"/>
                      <w:kern w:val="0"/>
                      <w:sz w:val="18"/>
                      <w:szCs w:val="18"/>
                      <w:highlight w:val="none"/>
                      <w:shd w:val="clear" w:color="auto" w:fill="FFFFFF"/>
                    </w:rPr>
                  </w:pPr>
                  <w:r>
                    <w:rPr>
                      <w:rFonts w:hint="default" w:ascii="Times New Roman" w:hAnsi="Times New Roman" w:cs="Times New Roman" w:eastAsiaTheme="minorEastAsia"/>
                      <w:color w:val="auto"/>
                      <w:kern w:val="0"/>
                      <w:sz w:val="18"/>
                      <w:szCs w:val="18"/>
                      <w:highlight w:val="none"/>
                      <w:shd w:val="clear" w:color="auto" w:fill="FFFFFF"/>
                    </w:rPr>
                    <w:t>1.锂离子电池企业应具有电极涂覆后均匀性的监测能力，电极涂覆厚度和长度的控制精度分别不低于2μm和1mm；应具有电极烘干工艺技术，含水量控制精度不低于10ppm。</w:t>
                  </w:r>
                </w:p>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cs="Times New Roman" w:eastAsiaTheme="minorEastAsia"/>
                      <w:color w:val="auto"/>
                      <w:kern w:val="0"/>
                      <w:sz w:val="18"/>
                      <w:szCs w:val="18"/>
                      <w:highlight w:val="none"/>
                      <w:shd w:val="clear" w:color="auto" w:fill="FFFFFF"/>
                    </w:rPr>
                  </w:pPr>
                  <w:r>
                    <w:rPr>
                      <w:rFonts w:hint="default" w:ascii="Times New Roman" w:hAnsi="Times New Roman" w:cs="Times New Roman" w:eastAsiaTheme="minorEastAsia"/>
                      <w:color w:val="auto"/>
                      <w:kern w:val="0"/>
                      <w:sz w:val="18"/>
                      <w:szCs w:val="18"/>
                      <w:highlight w:val="none"/>
                      <w:shd w:val="clear" w:color="auto" w:fill="FFFFFF"/>
                    </w:rPr>
                    <w:t>2.锂离子电池企业应具有注液过程中温湿度和洁净度等环境条件控制能力；应具有电池装配后的内部短路高压测试（HI-POT）在线检测能力。</w:t>
                  </w:r>
                </w:p>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cs="Times New Roman" w:eastAsiaTheme="minorEastAsia"/>
                      <w:color w:val="auto"/>
                      <w:kern w:val="0"/>
                      <w:sz w:val="18"/>
                      <w:szCs w:val="18"/>
                      <w:highlight w:val="none"/>
                      <w:shd w:val="clear" w:color="auto" w:fill="FFFFFF"/>
                    </w:rPr>
                  </w:pPr>
                  <w:r>
                    <w:rPr>
                      <w:rFonts w:hint="default" w:ascii="Times New Roman" w:hAnsi="Times New Roman" w:cs="Times New Roman" w:eastAsiaTheme="minorEastAsia"/>
                      <w:color w:val="auto"/>
                      <w:kern w:val="0"/>
                      <w:sz w:val="18"/>
                      <w:szCs w:val="18"/>
                      <w:highlight w:val="none"/>
                      <w:shd w:val="clear" w:color="auto" w:fill="FFFFFF"/>
                    </w:rPr>
                    <w:t>3.锂离子电池组企业应具有单体电池开路电压、内阻等一致性控制能力，控制精度分别不低于1mV和1mΩ；应具有电池组保护板功能在线检测能力。</w:t>
                  </w:r>
                </w:p>
              </w:tc>
              <w:tc>
                <w:tcPr>
                  <w:tcW w:w="1881"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cs="Times New Roman" w:eastAsiaTheme="minorEastAsia"/>
                      <w:color w:val="auto"/>
                      <w:kern w:val="0"/>
                      <w:sz w:val="18"/>
                      <w:szCs w:val="18"/>
                      <w:highlight w:val="none"/>
                      <w:lang w:val="en-US" w:eastAsia="zh-CN"/>
                    </w:rPr>
                  </w:pPr>
                  <w:r>
                    <w:rPr>
                      <w:rFonts w:hint="default" w:ascii="Times New Roman" w:hAnsi="Times New Roman" w:cs="Times New Roman" w:eastAsiaTheme="minorEastAsia"/>
                      <w:color w:val="auto"/>
                      <w:kern w:val="0"/>
                      <w:sz w:val="18"/>
                      <w:szCs w:val="18"/>
                      <w:highlight w:val="none"/>
                      <w:lang w:val="en-US" w:eastAsia="zh-CN"/>
                    </w:rPr>
                    <w:t>1、本项目不涉及电极涂覆工艺，外购成品电极</w:t>
                  </w:r>
                  <w:r>
                    <w:rPr>
                      <w:rFonts w:hint="eastAsia" w:cs="Times New Roman" w:eastAsiaTheme="minorEastAsia"/>
                      <w:color w:val="auto"/>
                      <w:kern w:val="0"/>
                      <w:sz w:val="18"/>
                      <w:szCs w:val="18"/>
                      <w:highlight w:val="none"/>
                      <w:lang w:val="en-US" w:eastAsia="zh-CN"/>
                    </w:rPr>
                    <w:t>片</w:t>
                  </w:r>
                  <w:r>
                    <w:rPr>
                      <w:rFonts w:hint="default" w:ascii="Times New Roman" w:hAnsi="Times New Roman" w:cs="Times New Roman" w:eastAsiaTheme="minorEastAsia"/>
                      <w:color w:val="auto"/>
                      <w:kern w:val="0"/>
                      <w:sz w:val="18"/>
                      <w:szCs w:val="18"/>
                      <w:highlight w:val="none"/>
                      <w:lang w:val="en-US" w:eastAsia="zh-CN"/>
                    </w:rPr>
                    <w:t>进行生产；</w:t>
                  </w:r>
                </w:p>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cs="Times New Roman" w:eastAsiaTheme="minorEastAsia"/>
                      <w:color w:val="auto"/>
                      <w:kern w:val="0"/>
                      <w:sz w:val="18"/>
                      <w:szCs w:val="18"/>
                      <w:highlight w:val="none"/>
                      <w:shd w:val="clear" w:color="auto" w:fill="FFFFFF"/>
                      <w:lang w:eastAsia="zh-CN"/>
                    </w:rPr>
                  </w:pPr>
                  <w:r>
                    <w:rPr>
                      <w:rFonts w:hint="default" w:ascii="Times New Roman" w:hAnsi="Times New Roman" w:cs="Times New Roman" w:eastAsiaTheme="minorEastAsia"/>
                      <w:color w:val="auto"/>
                      <w:kern w:val="0"/>
                      <w:sz w:val="18"/>
                      <w:szCs w:val="18"/>
                      <w:highlight w:val="none"/>
                      <w:lang w:val="en-US" w:eastAsia="zh-CN"/>
                    </w:rPr>
                    <w:t>2、项目注液工序均在手套箱内进行，具备温湿度和洁净度等环境条件控制能力，装配后电池具备</w:t>
                  </w:r>
                  <w:r>
                    <w:rPr>
                      <w:rFonts w:hint="default" w:ascii="Times New Roman" w:hAnsi="Times New Roman" w:cs="Times New Roman" w:eastAsiaTheme="minorEastAsia"/>
                      <w:color w:val="auto"/>
                      <w:kern w:val="0"/>
                      <w:sz w:val="18"/>
                      <w:szCs w:val="18"/>
                      <w:highlight w:val="none"/>
                      <w:shd w:val="clear" w:color="auto" w:fill="FFFFFF"/>
                    </w:rPr>
                    <w:t>内部短路高压测试在线检测能力</w:t>
                  </w:r>
                  <w:r>
                    <w:rPr>
                      <w:rFonts w:hint="default" w:ascii="Times New Roman" w:hAnsi="Times New Roman" w:cs="Times New Roman" w:eastAsiaTheme="minorEastAsia"/>
                      <w:color w:val="auto"/>
                      <w:kern w:val="0"/>
                      <w:sz w:val="18"/>
                      <w:szCs w:val="18"/>
                      <w:highlight w:val="none"/>
                      <w:shd w:val="clear" w:color="auto" w:fill="FFFFFF"/>
                      <w:lang w:eastAsia="zh-CN"/>
                    </w:rPr>
                    <w:t>；</w:t>
                  </w:r>
                  <w:r>
                    <w:rPr>
                      <w:rFonts w:hint="eastAsia" w:cs="Times New Roman" w:eastAsiaTheme="minorEastAsia"/>
                      <w:color w:val="auto"/>
                      <w:kern w:val="0"/>
                      <w:sz w:val="18"/>
                      <w:szCs w:val="18"/>
                      <w:highlight w:val="none"/>
                      <w:shd w:val="clear" w:color="auto" w:fill="FFFFFF"/>
                      <w:lang w:eastAsia="zh-CN"/>
                    </w:rPr>
                    <w:t>项目具备电极烘干工序，可通过配套烘干设备自动控制含水量，控精密度不低于</w:t>
                  </w:r>
                  <w:r>
                    <w:rPr>
                      <w:rFonts w:hint="default" w:ascii="Times New Roman" w:hAnsi="Times New Roman" w:cs="Times New Roman" w:eastAsiaTheme="minorEastAsia"/>
                      <w:color w:val="auto"/>
                      <w:kern w:val="0"/>
                      <w:sz w:val="18"/>
                      <w:szCs w:val="18"/>
                      <w:highlight w:val="none"/>
                      <w:shd w:val="clear" w:color="auto" w:fill="FFFFFF"/>
                    </w:rPr>
                    <w:t>10ppm。</w:t>
                  </w:r>
                </w:p>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cs="Times New Roman" w:eastAsiaTheme="minorEastAsia"/>
                      <w:color w:val="auto"/>
                      <w:kern w:val="0"/>
                      <w:sz w:val="18"/>
                      <w:szCs w:val="18"/>
                      <w:highlight w:val="none"/>
                      <w:lang w:val="en-US" w:eastAsia="zh-CN"/>
                    </w:rPr>
                  </w:pPr>
                  <w:r>
                    <w:rPr>
                      <w:rFonts w:hint="default" w:ascii="Times New Roman" w:hAnsi="Times New Roman" w:cs="Times New Roman" w:eastAsiaTheme="minorEastAsia"/>
                      <w:color w:val="auto"/>
                      <w:kern w:val="0"/>
                      <w:sz w:val="18"/>
                      <w:szCs w:val="18"/>
                      <w:highlight w:val="none"/>
                      <w:shd w:val="clear" w:color="auto" w:fill="FFFFFF"/>
                      <w:lang w:val="en-US" w:eastAsia="zh-CN"/>
                    </w:rPr>
                    <w:t>3、本项目产品为单体锂离子电池，不属于</w:t>
                  </w:r>
                  <w:r>
                    <w:rPr>
                      <w:rFonts w:hint="default" w:ascii="Times New Roman" w:hAnsi="Times New Roman" w:cs="Times New Roman" w:eastAsiaTheme="minorEastAsia"/>
                      <w:color w:val="auto"/>
                      <w:kern w:val="0"/>
                      <w:sz w:val="18"/>
                      <w:szCs w:val="18"/>
                      <w:highlight w:val="none"/>
                      <w:shd w:val="clear" w:color="auto" w:fill="FFFFFF"/>
                    </w:rPr>
                    <w:t>锂离子电池组</w:t>
                  </w:r>
                  <w:r>
                    <w:rPr>
                      <w:rFonts w:hint="default" w:ascii="Times New Roman" w:hAnsi="Times New Roman" w:cs="Times New Roman" w:eastAsiaTheme="minorEastAsia"/>
                      <w:color w:val="auto"/>
                      <w:kern w:val="0"/>
                      <w:sz w:val="18"/>
                      <w:szCs w:val="18"/>
                      <w:highlight w:val="none"/>
                      <w:shd w:val="clear" w:color="auto" w:fill="FFFFFF"/>
                      <w:lang w:eastAsia="zh-CN"/>
                    </w:rPr>
                    <w:t>制造企业。</w:t>
                  </w:r>
                </w:p>
              </w:tc>
              <w:tc>
                <w:tcPr>
                  <w:tcW w:w="579"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eastAsiaTheme="minorEastAsia"/>
                      <w:color w:val="auto"/>
                      <w:kern w:val="0"/>
                      <w:sz w:val="18"/>
                      <w:szCs w:val="18"/>
                      <w:lang w:eastAsia="zh-CN"/>
                    </w:rPr>
                  </w:pPr>
                  <w:r>
                    <w:rPr>
                      <w:rFonts w:hint="default" w:ascii="Times New Roman" w:hAnsi="Times New Roman" w:cs="Times New Roman" w:eastAsiaTheme="minorEastAsia"/>
                      <w:color w:val="auto"/>
                      <w:kern w:val="0"/>
                      <w:sz w:val="18"/>
                      <w:szCs w:val="18"/>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3"/>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left"/>
                    <w:textAlignment w:val="auto"/>
                    <w:rPr>
                      <w:rFonts w:hint="default" w:ascii="Times New Roman" w:hAnsi="Times New Roman" w:cs="Times New Roman" w:eastAsiaTheme="minorEastAsia"/>
                      <w:color w:val="auto"/>
                      <w:kern w:val="0"/>
                      <w:sz w:val="18"/>
                      <w:szCs w:val="18"/>
                      <w:lang w:eastAsia="zh-CN"/>
                    </w:rPr>
                  </w:pPr>
                  <w:r>
                    <w:rPr>
                      <w:rFonts w:hint="default" w:ascii="Times New Roman" w:hAnsi="Times New Roman" w:cs="Times New Roman" w:eastAsiaTheme="minorEastAsia"/>
                      <w:b/>
                      <w:bCs/>
                      <w:color w:val="auto"/>
                      <w:kern w:val="0"/>
                      <w:sz w:val="18"/>
                      <w:szCs w:val="18"/>
                      <w:lang w:eastAsia="zh-CN"/>
                    </w:rPr>
                    <w:t>三、产品性能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39"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cs="Times New Roman" w:eastAsiaTheme="minorEastAsia"/>
                      <w:color w:val="auto"/>
                      <w:kern w:val="0"/>
                      <w:sz w:val="18"/>
                      <w:szCs w:val="18"/>
                      <w:shd w:val="clear" w:color="auto" w:fill="FFFFFF"/>
                    </w:rPr>
                  </w:pPr>
                  <w:r>
                    <w:rPr>
                      <w:rFonts w:hint="default" w:ascii="Times New Roman" w:hAnsi="Times New Roman" w:cs="Times New Roman" w:eastAsiaTheme="minorEastAsia"/>
                      <w:color w:val="auto"/>
                      <w:kern w:val="0"/>
                      <w:sz w:val="18"/>
                      <w:szCs w:val="18"/>
                      <w:shd w:val="clear" w:color="auto" w:fill="FFFFFF"/>
                    </w:rPr>
                    <w:t>（一）电池</w:t>
                  </w:r>
                </w:p>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cs="Times New Roman" w:eastAsiaTheme="minorEastAsia"/>
                      <w:color w:val="auto"/>
                      <w:kern w:val="0"/>
                      <w:sz w:val="18"/>
                      <w:szCs w:val="18"/>
                      <w:shd w:val="clear" w:color="auto" w:fill="FFFFFF"/>
                    </w:rPr>
                  </w:pPr>
                  <w:r>
                    <w:rPr>
                      <w:rFonts w:hint="default" w:ascii="Times New Roman" w:hAnsi="Times New Roman" w:cs="Times New Roman" w:eastAsiaTheme="minorEastAsia"/>
                      <w:color w:val="auto"/>
                      <w:kern w:val="0"/>
                      <w:sz w:val="18"/>
                      <w:szCs w:val="18"/>
                      <w:shd w:val="clear" w:color="auto" w:fill="FFFFFF"/>
                    </w:rPr>
                    <w:t>1.消费型单体电池能量密度≥230Wh/kg，电池组能量密度≥180Wh/kg，聚合物单体电池体积能量密度≥500Wh/L。循环寿命≥500次且容量保持率≥80%。</w:t>
                  </w:r>
                </w:p>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cs="Times New Roman" w:eastAsiaTheme="minorEastAsia"/>
                      <w:color w:val="auto"/>
                      <w:kern w:val="0"/>
                      <w:sz w:val="18"/>
                      <w:szCs w:val="18"/>
                      <w:shd w:val="clear" w:color="auto" w:fill="FFFFFF"/>
                    </w:rPr>
                  </w:pPr>
                  <w:r>
                    <w:rPr>
                      <w:rFonts w:hint="default" w:ascii="Times New Roman" w:hAnsi="Times New Roman" w:cs="Times New Roman" w:eastAsiaTheme="minorEastAsia"/>
                      <w:color w:val="auto"/>
                      <w:kern w:val="0"/>
                      <w:sz w:val="18"/>
                      <w:szCs w:val="18"/>
                      <w:shd w:val="clear" w:color="auto" w:fill="FFFFFF"/>
                    </w:rPr>
                    <w:t>2.动力型电池分为能量型和功率型。其中，使用三元材料的能量型单体电池能量密度≥210Wh/kg，电池组能量密度≥150Wh/kg；其他能量型单体电池能量密度≥160Wh/kg，电池组能量密度≥115Wh/kg。功率型单体电池功率密度≥500W/kg，电池组功率密度≥350W/kg。循环寿命≥1000次且容量保持率≥80%。</w:t>
                  </w:r>
                </w:p>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cs="Times New Roman" w:eastAsiaTheme="minorEastAsia"/>
                      <w:color w:val="auto"/>
                      <w:kern w:val="0"/>
                      <w:sz w:val="18"/>
                      <w:szCs w:val="18"/>
                      <w:shd w:val="clear" w:color="auto" w:fill="FFFFFF"/>
                    </w:rPr>
                  </w:pPr>
                  <w:r>
                    <w:rPr>
                      <w:rFonts w:hint="default" w:ascii="Times New Roman" w:hAnsi="Times New Roman" w:cs="Times New Roman" w:eastAsiaTheme="minorEastAsia"/>
                      <w:color w:val="auto"/>
                      <w:kern w:val="0"/>
                      <w:sz w:val="18"/>
                      <w:szCs w:val="18"/>
                      <w:shd w:val="clear" w:color="auto" w:fill="FFFFFF"/>
                    </w:rPr>
                    <w:t>3.储能型单体电池能量密度≥145Wh/kg，电池组能量密度≥100Wh/kg。循环寿命≥5000次且容量保持率≥80%。</w:t>
                  </w:r>
                </w:p>
              </w:tc>
              <w:tc>
                <w:tcPr>
                  <w:tcW w:w="1881"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cs="Times New Roman" w:eastAsiaTheme="minorEastAsia"/>
                      <w:color w:val="auto"/>
                      <w:kern w:val="0"/>
                      <w:sz w:val="18"/>
                      <w:szCs w:val="18"/>
                      <w:highlight w:val="green"/>
                      <w:lang w:val="en-US" w:eastAsia="zh-CN"/>
                    </w:rPr>
                  </w:pPr>
                  <w:r>
                    <w:rPr>
                      <w:rFonts w:hint="default" w:ascii="Times New Roman" w:hAnsi="Times New Roman" w:cs="Times New Roman" w:eastAsiaTheme="minorEastAsia"/>
                      <w:color w:val="auto"/>
                      <w:kern w:val="0"/>
                      <w:sz w:val="18"/>
                      <w:szCs w:val="18"/>
                      <w:highlight w:val="none"/>
                      <w:lang w:eastAsia="zh-CN"/>
                    </w:rPr>
                    <w:t>本项目产品为</w:t>
                  </w:r>
                  <w:r>
                    <w:rPr>
                      <w:rFonts w:hint="eastAsia" w:ascii="Times New Roman" w:hAnsi="Times New Roman" w:cs="Times New Roman" w:eastAsiaTheme="minorEastAsia"/>
                      <w:color w:val="auto"/>
                      <w:kern w:val="0"/>
                      <w:sz w:val="18"/>
                      <w:szCs w:val="18"/>
                      <w:highlight w:val="none"/>
                      <w:lang w:eastAsia="zh-CN"/>
                    </w:rPr>
                    <w:t>单体的</w:t>
                  </w:r>
                  <w:r>
                    <w:rPr>
                      <w:rFonts w:hint="default" w:ascii="Times New Roman" w:hAnsi="Times New Roman" w:cs="Times New Roman" w:eastAsiaTheme="minorEastAsia"/>
                      <w:color w:val="auto"/>
                      <w:kern w:val="0"/>
                      <w:sz w:val="18"/>
                      <w:szCs w:val="18"/>
                      <w:highlight w:val="none"/>
                      <w:lang w:val="en-US" w:eastAsia="zh-CN"/>
                    </w:rPr>
                    <w:t>32700圆柱型锂离子电池</w:t>
                  </w:r>
                  <w:r>
                    <w:rPr>
                      <w:rFonts w:hint="eastAsia" w:ascii="Times New Roman" w:hAnsi="Times New Roman" w:cs="Times New Roman" w:eastAsiaTheme="minorEastAsia"/>
                      <w:color w:val="auto"/>
                      <w:kern w:val="0"/>
                      <w:sz w:val="18"/>
                      <w:szCs w:val="18"/>
                      <w:highlight w:val="none"/>
                      <w:lang w:val="en-US" w:eastAsia="zh-CN"/>
                    </w:rPr>
                    <w:t>（为磷酸铁锂电池，不属于</w:t>
                  </w:r>
                  <w:r>
                    <w:rPr>
                      <w:rFonts w:hint="default" w:ascii="Times New Roman" w:hAnsi="Times New Roman" w:cs="Times New Roman" w:eastAsiaTheme="minorEastAsia"/>
                      <w:color w:val="auto"/>
                      <w:kern w:val="0"/>
                      <w:sz w:val="18"/>
                      <w:szCs w:val="18"/>
                      <w:shd w:val="clear" w:color="auto" w:fill="FFFFFF"/>
                    </w:rPr>
                    <w:t>三元材料的</w:t>
                  </w:r>
                  <w:r>
                    <w:rPr>
                      <w:rFonts w:hint="eastAsia" w:cs="Times New Roman" w:eastAsiaTheme="minorEastAsia"/>
                      <w:color w:val="auto"/>
                      <w:kern w:val="0"/>
                      <w:sz w:val="18"/>
                      <w:szCs w:val="18"/>
                      <w:shd w:val="clear" w:color="auto" w:fill="FFFFFF"/>
                      <w:lang w:eastAsia="zh-CN"/>
                    </w:rPr>
                    <w:t>电池</w:t>
                  </w:r>
                  <w:r>
                    <w:rPr>
                      <w:rFonts w:hint="eastAsia" w:ascii="Times New Roman" w:hAnsi="Times New Roman" w:cs="Times New Roman" w:eastAsiaTheme="minorEastAsia"/>
                      <w:color w:val="auto"/>
                      <w:kern w:val="0"/>
                      <w:sz w:val="18"/>
                      <w:szCs w:val="18"/>
                      <w:highlight w:val="none"/>
                      <w:lang w:val="en-US" w:eastAsia="zh-CN"/>
                    </w:rPr>
                    <w:t>）</w:t>
                  </w:r>
                  <w:r>
                    <w:rPr>
                      <w:rFonts w:hint="default" w:ascii="Times New Roman" w:hAnsi="Times New Roman" w:cs="Times New Roman" w:eastAsiaTheme="minorEastAsia"/>
                      <w:color w:val="auto"/>
                      <w:kern w:val="0"/>
                      <w:sz w:val="18"/>
                      <w:szCs w:val="18"/>
                      <w:highlight w:val="none"/>
                      <w:lang w:val="en-US" w:eastAsia="zh-CN"/>
                    </w:rPr>
                    <w:t>，属于</w:t>
                  </w:r>
                  <w:r>
                    <w:rPr>
                      <w:rFonts w:hint="eastAsia" w:ascii="Times New Roman" w:hAnsi="Times New Roman" w:cs="Times New Roman" w:eastAsiaTheme="minorEastAsia"/>
                      <w:color w:val="auto"/>
                      <w:kern w:val="0"/>
                      <w:sz w:val="18"/>
                      <w:szCs w:val="18"/>
                      <w:highlight w:val="none"/>
                      <w:lang w:val="en-US" w:eastAsia="zh-CN"/>
                    </w:rPr>
                    <w:t>动力型</w:t>
                  </w:r>
                  <w:r>
                    <w:rPr>
                      <w:rFonts w:hint="default" w:ascii="Times New Roman" w:hAnsi="Times New Roman" w:cs="Times New Roman" w:eastAsiaTheme="minorEastAsia"/>
                      <w:color w:val="auto"/>
                      <w:kern w:val="0"/>
                      <w:sz w:val="18"/>
                      <w:szCs w:val="18"/>
                      <w:highlight w:val="none"/>
                      <w:lang w:val="en-US" w:eastAsia="zh-CN"/>
                    </w:rPr>
                    <w:t>单体电池，根据企业提供资料，本项目锂电池能量密度为</w:t>
                  </w:r>
                  <w:r>
                    <w:rPr>
                      <w:rFonts w:hint="eastAsia" w:cs="Times New Roman" w:eastAsiaTheme="minorEastAsia"/>
                      <w:color w:val="auto"/>
                      <w:kern w:val="0"/>
                      <w:sz w:val="18"/>
                      <w:szCs w:val="18"/>
                      <w:highlight w:val="none"/>
                      <w:lang w:val="en-US" w:eastAsia="zh-CN"/>
                    </w:rPr>
                    <w:t>165Wh/kg</w:t>
                  </w:r>
                  <w:r>
                    <w:rPr>
                      <w:rFonts w:hint="default" w:ascii="Times New Roman" w:hAnsi="Times New Roman" w:cs="Times New Roman" w:eastAsiaTheme="minorEastAsia"/>
                      <w:color w:val="auto"/>
                      <w:kern w:val="0"/>
                      <w:sz w:val="18"/>
                      <w:szCs w:val="18"/>
                      <w:highlight w:val="none"/>
                      <w:lang w:val="en-US" w:eastAsia="zh-CN"/>
                    </w:rPr>
                    <w:t>，循环寿命</w:t>
                  </w:r>
                  <w:r>
                    <w:rPr>
                      <w:rFonts w:hint="default" w:ascii="Times New Roman" w:hAnsi="Times New Roman" w:cs="Times New Roman" w:eastAsiaTheme="minorEastAsia"/>
                      <w:color w:val="auto"/>
                      <w:kern w:val="0"/>
                      <w:sz w:val="18"/>
                      <w:szCs w:val="18"/>
                      <w:highlight w:val="none"/>
                      <w:shd w:val="clear" w:color="auto" w:fill="FFFFFF"/>
                    </w:rPr>
                    <w:t>≥</w:t>
                  </w:r>
                  <w:r>
                    <w:rPr>
                      <w:rFonts w:hint="eastAsia" w:cs="Times New Roman" w:eastAsiaTheme="minorEastAsia"/>
                      <w:color w:val="auto"/>
                      <w:kern w:val="0"/>
                      <w:sz w:val="18"/>
                      <w:szCs w:val="18"/>
                      <w:highlight w:val="none"/>
                      <w:shd w:val="clear" w:color="auto" w:fill="FFFFFF"/>
                      <w:lang w:val="en-US" w:eastAsia="zh-CN"/>
                    </w:rPr>
                    <w:t>15</w:t>
                  </w:r>
                  <w:r>
                    <w:rPr>
                      <w:rFonts w:hint="default" w:ascii="Times New Roman" w:hAnsi="Times New Roman" w:cs="Times New Roman" w:eastAsiaTheme="minorEastAsia"/>
                      <w:color w:val="auto"/>
                      <w:kern w:val="0"/>
                      <w:sz w:val="18"/>
                      <w:szCs w:val="18"/>
                      <w:highlight w:val="none"/>
                      <w:shd w:val="clear" w:color="auto" w:fill="FFFFFF"/>
                    </w:rPr>
                    <w:t>00次</w:t>
                  </w:r>
                  <w:r>
                    <w:rPr>
                      <w:rFonts w:hint="eastAsia" w:cs="Times New Roman" w:eastAsiaTheme="minorEastAsia"/>
                      <w:color w:val="auto"/>
                      <w:kern w:val="0"/>
                      <w:sz w:val="18"/>
                      <w:szCs w:val="18"/>
                      <w:highlight w:val="none"/>
                      <w:shd w:val="clear" w:color="auto" w:fill="FFFFFF"/>
                      <w:lang w:eastAsia="zh-CN"/>
                    </w:rPr>
                    <w:t>且容量保持率</w:t>
                  </w:r>
                  <w:r>
                    <w:rPr>
                      <w:rFonts w:hint="default" w:ascii="Times New Roman" w:hAnsi="Times New Roman" w:cs="Times New Roman" w:eastAsiaTheme="minorEastAsia"/>
                      <w:color w:val="auto"/>
                      <w:kern w:val="0"/>
                      <w:sz w:val="18"/>
                      <w:szCs w:val="18"/>
                      <w:shd w:val="clear" w:color="auto" w:fill="FFFFFF"/>
                    </w:rPr>
                    <w:t>≥80%</w:t>
                  </w:r>
                </w:p>
              </w:tc>
              <w:tc>
                <w:tcPr>
                  <w:tcW w:w="579"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eastAsiaTheme="minorEastAsia"/>
                      <w:color w:val="auto"/>
                      <w:kern w:val="0"/>
                      <w:sz w:val="18"/>
                      <w:szCs w:val="18"/>
                      <w:lang w:eastAsia="zh-CN"/>
                    </w:rPr>
                  </w:pPr>
                  <w:r>
                    <w:rPr>
                      <w:rFonts w:hint="default" w:ascii="Times New Roman" w:hAnsi="Times New Roman" w:cs="Times New Roman" w:eastAsiaTheme="minorEastAsia"/>
                      <w:color w:val="auto"/>
                      <w:kern w:val="0"/>
                      <w:sz w:val="18"/>
                      <w:szCs w:val="18"/>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3"/>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left"/>
                    <w:textAlignment w:val="auto"/>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b/>
                      <w:bCs/>
                      <w:color w:val="auto"/>
                      <w:kern w:val="0"/>
                      <w:sz w:val="18"/>
                      <w:szCs w:val="18"/>
                    </w:rPr>
                    <w:t>五、资源综合利用和生态环境保护</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39"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cs="Times New Roman" w:eastAsiaTheme="minorEastAsia"/>
                      <w:color w:val="auto"/>
                      <w:kern w:val="0"/>
                      <w:sz w:val="18"/>
                      <w:szCs w:val="18"/>
                      <w:highlight w:val="none"/>
                      <w:shd w:val="clear" w:color="auto" w:fill="FFFFFF"/>
                    </w:rPr>
                  </w:pPr>
                  <w:r>
                    <w:rPr>
                      <w:rFonts w:hint="default" w:ascii="Times New Roman" w:hAnsi="Times New Roman" w:cs="Times New Roman" w:eastAsiaTheme="minorEastAsia"/>
                      <w:color w:val="auto"/>
                      <w:kern w:val="0"/>
                      <w:sz w:val="18"/>
                      <w:szCs w:val="18"/>
                      <w:highlight w:val="none"/>
                      <w:shd w:val="clear" w:color="auto" w:fill="FFFFFF"/>
                    </w:rPr>
                    <w:t>（一）企业及项目应符合国家出台的土地使用标准，严格保护耕地，节约集约用地。</w:t>
                  </w:r>
                </w:p>
              </w:tc>
              <w:tc>
                <w:tcPr>
                  <w:tcW w:w="1881"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eastAsiaTheme="minorEastAsia"/>
                      <w:color w:val="auto"/>
                      <w:kern w:val="0"/>
                      <w:sz w:val="18"/>
                      <w:szCs w:val="18"/>
                      <w:highlight w:val="none"/>
                      <w:lang w:eastAsia="zh-CN"/>
                    </w:rPr>
                  </w:pPr>
                  <w:r>
                    <w:rPr>
                      <w:rFonts w:hint="default" w:ascii="Times New Roman" w:hAnsi="Times New Roman" w:cs="Times New Roman" w:eastAsiaTheme="minorEastAsia"/>
                      <w:color w:val="auto"/>
                      <w:kern w:val="0"/>
                      <w:sz w:val="18"/>
                      <w:szCs w:val="18"/>
                      <w:highlight w:val="none"/>
                      <w:lang w:eastAsia="zh-CN"/>
                    </w:rPr>
                    <w:t>项目选址位于</w:t>
                  </w:r>
                  <w:r>
                    <w:rPr>
                      <w:rFonts w:hint="eastAsia" w:cs="Times New Roman" w:eastAsiaTheme="minorEastAsia"/>
                      <w:color w:val="auto"/>
                      <w:kern w:val="0"/>
                      <w:sz w:val="18"/>
                      <w:szCs w:val="18"/>
                      <w:highlight w:val="none"/>
                      <w:lang w:eastAsia="zh-CN"/>
                    </w:rPr>
                    <w:t>新乡市新能源电池专业园区东</w:t>
                  </w:r>
                  <w:r>
                    <w:rPr>
                      <w:rFonts w:hint="default" w:ascii="Times New Roman" w:hAnsi="Times New Roman" w:cs="Times New Roman" w:eastAsiaTheme="minorEastAsia"/>
                      <w:color w:val="auto"/>
                      <w:kern w:val="0"/>
                      <w:sz w:val="18"/>
                      <w:szCs w:val="18"/>
                      <w:highlight w:val="none"/>
                      <w:lang w:eastAsia="zh-CN"/>
                    </w:rPr>
                    <w:t>片区，经对照《</w:t>
                  </w:r>
                  <w:r>
                    <w:rPr>
                      <w:rFonts w:hint="eastAsia" w:cs="Times New Roman" w:eastAsiaTheme="minorEastAsia"/>
                      <w:color w:val="auto"/>
                      <w:kern w:val="0"/>
                      <w:sz w:val="18"/>
                      <w:szCs w:val="18"/>
                      <w:highlight w:val="none"/>
                      <w:lang w:eastAsia="zh-CN"/>
                    </w:rPr>
                    <w:t>新乡市新能源电池专业园区发展规划（</w:t>
                  </w:r>
                  <w:r>
                    <w:rPr>
                      <w:rFonts w:hint="eastAsia" w:cs="Times New Roman" w:eastAsiaTheme="minorEastAsia"/>
                      <w:color w:val="auto"/>
                      <w:kern w:val="0"/>
                      <w:sz w:val="18"/>
                      <w:szCs w:val="18"/>
                      <w:highlight w:val="none"/>
                      <w:lang w:val="en-US" w:eastAsia="zh-CN"/>
                    </w:rPr>
                    <w:t>2017-2020年</w:t>
                  </w:r>
                  <w:r>
                    <w:rPr>
                      <w:rFonts w:hint="eastAsia" w:cs="Times New Roman" w:eastAsiaTheme="minorEastAsia"/>
                      <w:color w:val="auto"/>
                      <w:kern w:val="0"/>
                      <w:sz w:val="18"/>
                      <w:szCs w:val="18"/>
                      <w:highlight w:val="none"/>
                      <w:lang w:eastAsia="zh-CN"/>
                    </w:rPr>
                    <w:t>）—用地规划图</w:t>
                  </w:r>
                  <w:r>
                    <w:rPr>
                      <w:rFonts w:hint="default" w:ascii="Times New Roman" w:hAnsi="Times New Roman" w:cs="Times New Roman" w:eastAsiaTheme="minorEastAsia"/>
                      <w:color w:val="auto"/>
                      <w:kern w:val="0"/>
                      <w:sz w:val="18"/>
                      <w:szCs w:val="18"/>
                      <w:highlight w:val="none"/>
                      <w:lang w:eastAsia="zh-CN"/>
                    </w:rPr>
                    <w:t>》</w:t>
                  </w:r>
                  <w:r>
                    <w:rPr>
                      <w:rFonts w:hint="eastAsia" w:ascii="Times New Roman" w:hAnsi="Times New Roman" w:cs="Times New Roman" w:eastAsiaTheme="minorEastAsia"/>
                      <w:color w:val="auto"/>
                      <w:kern w:val="0"/>
                      <w:sz w:val="18"/>
                      <w:szCs w:val="18"/>
                      <w:highlight w:val="none"/>
                      <w:lang w:eastAsia="zh-CN"/>
                    </w:rPr>
                    <w:t>，项目用地属于</w:t>
                  </w:r>
                  <w:r>
                    <w:rPr>
                      <w:rFonts w:hint="eastAsia" w:cs="Times New Roman" w:eastAsiaTheme="minorEastAsia"/>
                      <w:color w:val="auto"/>
                      <w:kern w:val="0"/>
                      <w:sz w:val="18"/>
                      <w:szCs w:val="18"/>
                      <w:highlight w:val="none"/>
                      <w:lang w:eastAsia="zh-CN"/>
                    </w:rPr>
                    <w:t>二类</w:t>
                  </w:r>
                  <w:r>
                    <w:rPr>
                      <w:rFonts w:hint="eastAsia" w:ascii="Times New Roman" w:hAnsi="Times New Roman" w:cs="Times New Roman" w:eastAsiaTheme="minorEastAsia"/>
                      <w:color w:val="auto"/>
                      <w:kern w:val="0"/>
                      <w:sz w:val="18"/>
                      <w:szCs w:val="18"/>
                      <w:highlight w:val="none"/>
                      <w:lang w:eastAsia="zh-CN"/>
                    </w:rPr>
                    <w:t>工业用地</w:t>
                  </w:r>
                </w:p>
              </w:tc>
              <w:tc>
                <w:tcPr>
                  <w:tcW w:w="579"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eastAsiaTheme="minorEastAsia"/>
                      <w:color w:val="auto"/>
                      <w:kern w:val="0"/>
                      <w:sz w:val="18"/>
                      <w:szCs w:val="18"/>
                      <w:highlight w:val="none"/>
                      <w:lang w:eastAsia="zh-CN"/>
                    </w:rPr>
                  </w:pPr>
                  <w:r>
                    <w:rPr>
                      <w:rFonts w:hint="default" w:ascii="Times New Roman" w:hAnsi="Times New Roman" w:cs="Times New Roman" w:eastAsiaTheme="minorEastAsia"/>
                      <w:color w:val="auto"/>
                      <w:kern w:val="0"/>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39"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cs="Times New Roman" w:eastAsiaTheme="minorEastAsia"/>
                      <w:color w:val="auto"/>
                      <w:kern w:val="0"/>
                      <w:sz w:val="18"/>
                      <w:szCs w:val="18"/>
                      <w:highlight w:val="none"/>
                      <w:shd w:val="clear" w:color="auto" w:fill="FFFFFF"/>
                    </w:rPr>
                  </w:pPr>
                  <w:r>
                    <w:rPr>
                      <w:rFonts w:hint="default" w:ascii="Times New Roman" w:hAnsi="Times New Roman" w:cs="Times New Roman" w:eastAsiaTheme="minorEastAsia"/>
                      <w:color w:val="auto"/>
                      <w:kern w:val="0"/>
                      <w:sz w:val="18"/>
                      <w:szCs w:val="18"/>
                      <w:highlight w:val="none"/>
                      <w:shd w:val="clear" w:color="auto" w:fill="FFFFFF"/>
                    </w:rPr>
                    <w:t>（二）企业应制定产品单耗指标和能耗台帐，不得使用国家明令淘汰的、严重污染环境的落后用能设备和生产工艺。鼓励企业调整用能结构，使用光伏等清洁能源，开展节能技术应用研究，制定节能规章制度，开发节能共性和关键技术，促进节能技术创新与成果转化。锂离子电池企业综合能耗应≤400kgce/万Ah。</w:t>
                  </w:r>
                </w:p>
              </w:tc>
              <w:tc>
                <w:tcPr>
                  <w:tcW w:w="1881"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eastAsiaTheme="minorEastAsia"/>
                      <w:color w:val="auto"/>
                      <w:kern w:val="0"/>
                      <w:sz w:val="18"/>
                      <w:szCs w:val="18"/>
                      <w:highlight w:val="none"/>
                      <w:lang w:val="en-US" w:eastAsia="zh-CN"/>
                    </w:rPr>
                  </w:pPr>
                  <w:r>
                    <w:rPr>
                      <w:rFonts w:hint="default" w:ascii="Times New Roman" w:hAnsi="Times New Roman" w:cs="Times New Roman" w:eastAsiaTheme="minorEastAsia"/>
                      <w:color w:val="auto"/>
                      <w:kern w:val="0"/>
                      <w:sz w:val="18"/>
                      <w:szCs w:val="18"/>
                      <w:highlight w:val="none"/>
                    </w:rPr>
                    <w:t>企业</w:t>
                  </w:r>
                  <w:r>
                    <w:rPr>
                      <w:rFonts w:hint="default" w:ascii="Times New Roman" w:hAnsi="Times New Roman" w:cs="Times New Roman" w:eastAsiaTheme="minorEastAsia"/>
                      <w:color w:val="auto"/>
                      <w:kern w:val="0"/>
                      <w:sz w:val="18"/>
                      <w:szCs w:val="18"/>
                      <w:highlight w:val="none"/>
                      <w:lang w:eastAsia="zh-CN"/>
                    </w:rPr>
                    <w:t>按要求制定</w:t>
                  </w:r>
                  <w:r>
                    <w:rPr>
                      <w:rFonts w:hint="default" w:ascii="Times New Roman" w:hAnsi="Times New Roman" w:cs="Times New Roman" w:eastAsiaTheme="minorEastAsia"/>
                      <w:color w:val="auto"/>
                      <w:kern w:val="0"/>
                      <w:sz w:val="18"/>
                      <w:szCs w:val="18"/>
                      <w:highlight w:val="none"/>
                    </w:rPr>
                    <w:t>产品单耗指标和能耗台帐，不使用国家明令淘汰的、严重污染环境的落后用能设备和生产工艺</w:t>
                  </w:r>
                  <w:r>
                    <w:rPr>
                      <w:rFonts w:hint="default" w:ascii="Times New Roman" w:hAnsi="Times New Roman" w:cs="Times New Roman" w:eastAsiaTheme="minorEastAsia"/>
                      <w:color w:val="auto"/>
                      <w:kern w:val="0"/>
                      <w:sz w:val="18"/>
                      <w:szCs w:val="18"/>
                      <w:highlight w:val="none"/>
                      <w:lang w:eastAsia="zh-CN"/>
                    </w:rPr>
                    <w:t>；项目生产过程所用能源为电能，</w:t>
                  </w:r>
                  <w:r>
                    <w:rPr>
                      <w:rFonts w:hint="eastAsia" w:cs="Times New Roman" w:eastAsiaTheme="minorEastAsia"/>
                      <w:color w:val="auto"/>
                      <w:kern w:val="0"/>
                      <w:sz w:val="18"/>
                      <w:szCs w:val="18"/>
                      <w:highlight w:val="none"/>
                      <w:lang w:eastAsia="zh-CN"/>
                    </w:rPr>
                    <w:t>年用电量约为</w:t>
                  </w:r>
                  <w:r>
                    <w:rPr>
                      <w:rFonts w:hint="eastAsia" w:cs="Times New Roman" w:eastAsiaTheme="minorEastAsia"/>
                      <w:color w:val="auto"/>
                      <w:kern w:val="0"/>
                      <w:sz w:val="18"/>
                      <w:szCs w:val="18"/>
                      <w:highlight w:val="none"/>
                      <w:lang w:val="en-US" w:eastAsia="zh-CN"/>
                    </w:rPr>
                    <w:t>150万kWh，年产500万只锂电池（折合6000Ah），经计算综合能耗为86</w:t>
                  </w:r>
                  <w:r>
                    <w:rPr>
                      <w:rFonts w:hint="default" w:ascii="Times New Roman" w:hAnsi="Times New Roman" w:cs="Times New Roman" w:eastAsiaTheme="minorEastAsia"/>
                      <w:color w:val="auto"/>
                      <w:kern w:val="0"/>
                      <w:sz w:val="18"/>
                      <w:szCs w:val="18"/>
                      <w:highlight w:val="none"/>
                      <w:shd w:val="clear" w:color="auto" w:fill="FFFFFF"/>
                    </w:rPr>
                    <w:t>kgce/万Ah</w:t>
                  </w:r>
                </w:p>
              </w:tc>
              <w:tc>
                <w:tcPr>
                  <w:tcW w:w="579"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eastAsiaTheme="minorEastAsia"/>
                      <w:color w:val="auto"/>
                      <w:kern w:val="0"/>
                      <w:sz w:val="18"/>
                      <w:szCs w:val="18"/>
                      <w:lang w:eastAsia="zh-CN"/>
                    </w:rPr>
                  </w:pPr>
                  <w:r>
                    <w:rPr>
                      <w:rFonts w:hint="default" w:ascii="Times New Roman" w:hAnsi="Times New Roman" w:cs="Times New Roman" w:eastAsiaTheme="minorEastAsia"/>
                      <w:color w:val="auto"/>
                      <w:kern w:val="0"/>
                      <w:sz w:val="18"/>
                      <w:szCs w:val="18"/>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39"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cs="Times New Roman" w:eastAsiaTheme="minorEastAsia"/>
                      <w:color w:val="auto"/>
                      <w:kern w:val="0"/>
                      <w:sz w:val="18"/>
                      <w:szCs w:val="18"/>
                      <w:highlight w:val="none"/>
                      <w:shd w:val="clear" w:color="auto" w:fill="FFFFFF"/>
                    </w:rPr>
                  </w:pPr>
                  <w:r>
                    <w:rPr>
                      <w:rFonts w:hint="default" w:ascii="Times New Roman" w:hAnsi="Times New Roman" w:cs="Times New Roman" w:eastAsiaTheme="minorEastAsia"/>
                      <w:color w:val="auto"/>
                      <w:kern w:val="0"/>
                      <w:sz w:val="18"/>
                      <w:szCs w:val="18"/>
                      <w:highlight w:val="none"/>
                      <w:shd w:val="clear" w:color="auto" w:fill="FFFFFF"/>
                    </w:rPr>
                    <w:t>（四）企业应依法开展建设项目环境影响评价，严格执行环境保护设施“三同时”制度，并按规定开展竣工环境保护设施验收</w:t>
                  </w:r>
                </w:p>
              </w:tc>
              <w:tc>
                <w:tcPr>
                  <w:tcW w:w="1881"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eastAsiaTheme="minorEastAsia"/>
                      <w:color w:val="auto"/>
                      <w:kern w:val="0"/>
                      <w:sz w:val="18"/>
                      <w:szCs w:val="18"/>
                      <w:highlight w:val="none"/>
                    </w:rPr>
                  </w:pPr>
                  <w:r>
                    <w:rPr>
                      <w:rFonts w:hint="default" w:ascii="Times New Roman" w:hAnsi="Times New Roman" w:cs="Times New Roman" w:eastAsiaTheme="minorEastAsia"/>
                      <w:color w:val="auto"/>
                      <w:kern w:val="0"/>
                      <w:sz w:val="18"/>
                      <w:szCs w:val="18"/>
                      <w:highlight w:val="none"/>
                    </w:rPr>
                    <w:t>本项目为新建项目，企业会严格执行环境保护设施“三同时”制度，并按规定开展竣工环境保护设施验收。</w:t>
                  </w:r>
                </w:p>
              </w:tc>
              <w:tc>
                <w:tcPr>
                  <w:tcW w:w="579"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eastAsiaTheme="minorEastAsia"/>
                      <w:color w:val="auto"/>
                      <w:kern w:val="0"/>
                      <w:sz w:val="18"/>
                      <w:szCs w:val="18"/>
                      <w:highlight w:val="none"/>
                      <w:lang w:eastAsia="zh-CN"/>
                    </w:rPr>
                  </w:pPr>
                  <w:r>
                    <w:rPr>
                      <w:rFonts w:hint="default" w:ascii="Times New Roman" w:hAnsi="Times New Roman" w:cs="Times New Roman" w:eastAsiaTheme="minorEastAsia"/>
                      <w:color w:val="auto"/>
                      <w:kern w:val="0"/>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39"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cs="Times New Roman" w:eastAsiaTheme="minorEastAsia"/>
                      <w:color w:val="auto"/>
                      <w:kern w:val="0"/>
                      <w:sz w:val="18"/>
                      <w:szCs w:val="18"/>
                      <w:highlight w:val="none"/>
                      <w:shd w:val="clear" w:color="auto" w:fill="FFFFFF"/>
                    </w:rPr>
                  </w:pPr>
                  <w:r>
                    <w:rPr>
                      <w:rFonts w:hint="default" w:ascii="Times New Roman" w:hAnsi="Times New Roman" w:cs="Times New Roman" w:eastAsiaTheme="minorEastAsia"/>
                      <w:color w:val="auto"/>
                      <w:kern w:val="0"/>
                      <w:sz w:val="18"/>
                      <w:szCs w:val="18"/>
                      <w:highlight w:val="none"/>
                      <w:shd w:val="clear" w:color="auto" w:fill="FFFFFF"/>
                    </w:rPr>
                    <w:t>（五）锂离子电池生产企业应依法申领排污许可证，按照排污许可证排放污染物并落实各项环境管理要求，采取有效措施防止污染土壤和地下水，废有机溶剂、废电池等固体废物应依法分类贮存、收集、运输、综合利用或无害化处理。</w:t>
                  </w:r>
                </w:p>
              </w:tc>
              <w:tc>
                <w:tcPr>
                  <w:tcW w:w="1881"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cs="Times New Roman" w:eastAsiaTheme="minorEastAsia"/>
                      <w:color w:val="auto"/>
                      <w:kern w:val="0"/>
                      <w:sz w:val="18"/>
                      <w:szCs w:val="18"/>
                      <w:highlight w:val="none"/>
                    </w:rPr>
                  </w:pPr>
                  <w:r>
                    <w:rPr>
                      <w:rFonts w:hint="default" w:ascii="Times New Roman" w:hAnsi="Times New Roman" w:cs="Times New Roman" w:eastAsiaTheme="minorEastAsia"/>
                      <w:color w:val="auto"/>
                      <w:kern w:val="0"/>
                      <w:sz w:val="18"/>
                      <w:szCs w:val="18"/>
                      <w:highlight w:val="none"/>
                    </w:rPr>
                    <w:t>企业建设完成后依法申领排污许可证，按照排污许可证排放污染物并落实各项环境管理要求；产生的工业固体废物依法贮存、处置或综合利用。</w:t>
                  </w:r>
                </w:p>
              </w:tc>
              <w:tc>
                <w:tcPr>
                  <w:tcW w:w="579"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eastAsiaTheme="minorEastAsia"/>
                      <w:color w:val="auto"/>
                      <w:kern w:val="0"/>
                      <w:sz w:val="18"/>
                      <w:szCs w:val="18"/>
                      <w:highlight w:val="none"/>
                      <w:lang w:eastAsia="zh-CN"/>
                    </w:rPr>
                  </w:pPr>
                  <w:r>
                    <w:rPr>
                      <w:rFonts w:hint="default" w:ascii="Times New Roman" w:hAnsi="Times New Roman" w:cs="Times New Roman" w:eastAsiaTheme="minorEastAsia"/>
                      <w:color w:val="auto"/>
                      <w:kern w:val="0"/>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39"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cs="Times New Roman" w:eastAsiaTheme="minorEastAsia"/>
                      <w:color w:val="auto"/>
                      <w:kern w:val="0"/>
                      <w:sz w:val="18"/>
                      <w:szCs w:val="18"/>
                      <w:highlight w:val="none"/>
                      <w:shd w:val="clear" w:color="auto" w:fill="FFFFFF"/>
                    </w:rPr>
                  </w:pPr>
                  <w:r>
                    <w:rPr>
                      <w:rFonts w:hint="default" w:ascii="Times New Roman" w:hAnsi="Times New Roman" w:cs="Times New Roman" w:eastAsiaTheme="minorEastAsia"/>
                      <w:color w:val="auto"/>
                      <w:kern w:val="0"/>
                      <w:sz w:val="18"/>
                      <w:szCs w:val="18"/>
                      <w:highlight w:val="none"/>
                      <w:shd w:val="clear" w:color="auto" w:fill="FFFFFF"/>
                    </w:rPr>
                    <w:t>（六）企业应按照国家有关规定制定突发环境事件应急预案，妥善处理突发环境事件。企业应按照《环境信息依法披露制度改革方案》有关要求，依法披露环境信息。</w:t>
                  </w:r>
                </w:p>
              </w:tc>
              <w:tc>
                <w:tcPr>
                  <w:tcW w:w="1881"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cs="Times New Roman" w:eastAsiaTheme="minorEastAsia"/>
                      <w:color w:val="auto"/>
                      <w:kern w:val="0"/>
                      <w:sz w:val="18"/>
                      <w:szCs w:val="18"/>
                      <w:highlight w:val="none"/>
                    </w:rPr>
                  </w:pPr>
                  <w:r>
                    <w:rPr>
                      <w:rFonts w:hint="default" w:ascii="Times New Roman" w:hAnsi="Times New Roman" w:cs="Times New Roman" w:eastAsiaTheme="minorEastAsia"/>
                      <w:color w:val="auto"/>
                      <w:kern w:val="0"/>
                      <w:sz w:val="18"/>
                      <w:szCs w:val="18"/>
                      <w:highlight w:val="none"/>
                    </w:rPr>
                    <w:t>企业会加强环境风险防控工作，制定突发环境事件应急预案，及时报告并有效应对废气、废水正常排放等造成的突发环境事件。</w:t>
                  </w:r>
                </w:p>
              </w:tc>
              <w:tc>
                <w:tcPr>
                  <w:tcW w:w="579"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eastAsiaTheme="minorEastAsia"/>
                      <w:color w:val="auto"/>
                      <w:kern w:val="0"/>
                      <w:sz w:val="18"/>
                      <w:szCs w:val="18"/>
                      <w:highlight w:val="none"/>
                      <w:lang w:eastAsia="zh-CN"/>
                    </w:rPr>
                  </w:pPr>
                  <w:r>
                    <w:rPr>
                      <w:rFonts w:hint="default" w:ascii="Times New Roman" w:hAnsi="Times New Roman" w:cs="Times New Roman" w:eastAsiaTheme="minorEastAsia"/>
                      <w:color w:val="auto"/>
                      <w:kern w:val="0"/>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39"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cs="Times New Roman" w:eastAsiaTheme="minorEastAsia"/>
                      <w:color w:val="auto"/>
                      <w:kern w:val="0"/>
                      <w:sz w:val="18"/>
                      <w:szCs w:val="18"/>
                      <w:highlight w:val="none"/>
                      <w:shd w:val="clear" w:color="auto" w:fill="FFFFFF"/>
                    </w:rPr>
                  </w:pPr>
                  <w:r>
                    <w:rPr>
                      <w:rFonts w:hint="default" w:ascii="Times New Roman" w:hAnsi="Times New Roman" w:cs="Times New Roman" w:eastAsiaTheme="minorEastAsia"/>
                      <w:color w:val="auto"/>
                      <w:kern w:val="0"/>
                      <w:sz w:val="18"/>
                      <w:szCs w:val="18"/>
                      <w:highlight w:val="none"/>
                      <w:shd w:val="clear" w:color="auto" w:fill="FFFFFF"/>
                    </w:rPr>
                    <w:t>（七）企业应建立环境管理体系，鼓励通过第三方认证。鼓励企业持续开展清洁生产审核工作，清洁生产指标宜达到《电池行业清洁生产评价指标体系》中Ⅲ级及以上水平。</w:t>
                  </w:r>
                </w:p>
              </w:tc>
              <w:tc>
                <w:tcPr>
                  <w:tcW w:w="1881"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cs="Times New Roman" w:eastAsiaTheme="minorEastAsia"/>
                      <w:color w:val="auto"/>
                      <w:kern w:val="0"/>
                      <w:sz w:val="18"/>
                      <w:szCs w:val="18"/>
                      <w:highlight w:val="none"/>
                    </w:rPr>
                  </w:pPr>
                  <w:r>
                    <w:rPr>
                      <w:rFonts w:hint="default" w:ascii="Times New Roman" w:hAnsi="Times New Roman" w:cs="Times New Roman" w:eastAsiaTheme="minorEastAsia"/>
                      <w:color w:val="auto"/>
                      <w:kern w:val="0"/>
                      <w:sz w:val="18"/>
                      <w:szCs w:val="18"/>
                      <w:highlight w:val="none"/>
                    </w:rPr>
                    <w:t>企业</w:t>
                  </w:r>
                  <w:r>
                    <w:rPr>
                      <w:rFonts w:hint="default" w:ascii="Times New Roman" w:hAnsi="Times New Roman" w:cs="Times New Roman" w:eastAsiaTheme="minorEastAsia"/>
                      <w:color w:val="auto"/>
                      <w:kern w:val="0"/>
                      <w:sz w:val="18"/>
                      <w:szCs w:val="18"/>
                      <w:highlight w:val="none"/>
                      <w:lang w:eastAsia="zh-CN"/>
                    </w:rPr>
                    <w:t>建成后按照要求</w:t>
                  </w:r>
                  <w:r>
                    <w:rPr>
                      <w:rFonts w:hint="default" w:ascii="Times New Roman" w:hAnsi="Times New Roman" w:cs="Times New Roman" w:eastAsiaTheme="minorEastAsia"/>
                      <w:color w:val="auto"/>
                      <w:kern w:val="0"/>
                      <w:sz w:val="18"/>
                      <w:szCs w:val="18"/>
                      <w:highlight w:val="none"/>
                    </w:rPr>
                    <w:t>建立环境管理体系，并持续开展清洁生产审核工作。</w:t>
                  </w:r>
                </w:p>
              </w:tc>
              <w:tc>
                <w:tcPr>
                  <w:tcW w:w="579"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eastAsiaTheme="minorEastAsia"/>
                      <w:color w:val="auto"/>
                      <w:kern w:val="0"/>
                      <w:sz w:val="18"/>
                      <w:szCs w:val="18"/>
                      <w:highlight w:val="none"/>
                      <w:lang w:eastAsia="zh-CN"/>
                    </w:rPr>
                  </w:pPr>
                  <w:r>
                    <w:rPr>
                      <w:rFonts w:hint="default" w:ascii="Times New Roman" w:hAnsi="Times New Roman" w:cs="Times New Roman" w:eastAsiaTheme="minorEastAsia"/>
                      <w:color w:val="auto"/>
                      <w:kern w:val="0"/>
                      <w:sz w:val="18"/>
                      <w:szCs w:val="18"/>
                      <w:highlight w:val="none"/>
                      <w:lang w:eastAsia="zh-CN"/>
                    </w:rPr>
                    <w:t>符合</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olor w:val="auto"/>
                <w:highlight w:val="none"/>
                <w:lang w:val="en-US" w:eastAsia="zh-CN"/>
              </w:rPr>
            </w:pPr>
            <w:r>
              <w:rPr>
                <w:rFonts w:hint="eastAsia" w:cs="Times New Roman"/>
                <w:b/>
                <w:bCs/>
                <w:color w:val="auto"/>
                <w:szCs w:val="24"/>
                <w:highlight w:val="none"/>
                <w:u w:val="none"/>
                <w:lang w:val="en-US" w:eastAsia="zh-CN"/>
              </w:rPr>
              <w:t>4、与《新乡市深入打好秋冬季重污染天气消除、夏季臭氧污染防治和柴油货车污染治理攻坚战行动方案》（新环攻坚办〔2023〕73号）对比</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与《新环攻坚办〔2023〕73号》对比分析一览表</w:t>
            </w:r>
          </w:p>
          <w:tbl>
            <w:tblPr>
              <w:tblStyle w:val="21"/>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0"/>
              <w:gridCol w:w="3051"/>
              <w:gridCol w:w="2365"/>
              <w:gridCol w:w="6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5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与本项目有关的内容</w:t>
                  </w:r>
                </w:p>
              </w:tc>
              <w:tc>
                <w:tcPr>
                  <w:tcW w:w="174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本项目情况</w:t>
                  </w:r>
                </w:p>
              </w:tc>
              <w:tc>
                <w:tcPr>
                  <w:tcW w:w="5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对照情况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sz w:val="18"/>
                      <w:szCs w:val="18"/>
                      <w:highlight w:val="green"/>
                    </w:rPr>
                  </w:pPr>
                  <w:r>
                    <w:rPr>
                      <w:rFonts w:hint="default" w:ascii="Times New Roman" w:hAnsi="Times New Roman" w:cs="Times New Roman"/>
                      <w:color w:val="auto"/>
                      <w:sz w:val="18"/>
                      <w:szCs w:val="18"/>
                      <w:highlight w:val="none"/>
                    </w:rPr>
                    <w:t>秋冬季重污染天气消除攻坚战</w:t>
                  </w:r>
                  <w:r>
                    <w:rPr>
                      <w:rFonts w:hint="eastAsia" w:cs="Times New Roman"/>
                      <w:color w:val="auto"/>
                      <w:sz w:val="18"/>
                      <w:szCs w:val="18"/>
                      <w:highlight w:val="none"/>
                      <w:lang w:eastAsia="zh-CN"/>
                    </w:rPr>
                    <w:t>实施</w:t>
                  </w:r>
                  <w:r>
                    <w:rPr>
                      <w:rFonts w:hint="default" w:ascii="Times New Roman" w:hAnsi="Times New Roman" w:cs="Times New Roman"/>
                      <w:color w:val="auto"/>
                      <w:sz w:val="18"/>
                      <w:szCs w:val="18"/>
                      <w:highlight w:val="none"/>
                    </w:rPr>
                    <w:t>方案</w:t>
                  </w:r>
                </w:p>
              </w:tc>
              <w:tc>
                <w:tcPr>
                  <w:tcW w:w="224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both"/>
                    <w:textAlignment w:val="auto"/>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二、大气减污降碳协同增效行动</w:t>
                  </w:r>
                </w:p>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both"/>
                    <w:textAlignment w:val="auto"/>
                    <w:rPr>
                      <w:rFonts w:hint="eastAsia" w:cs="Times New Roman"/>
                      <w:color w:val="auto"/>
                      <w:sz w:val="18"/>
                      <w:szCs w:val="18"/>
                      <w:highlight w:val="none"/>
                      <w:lang w:eastAsia="zh-CN"/>
                    </w:rPr>
                  </w:pPr>
                  <w:r>
                    <w:rPr>
                      <w:rFonts w:hint="eastAsia" w:cs="Times New Roman"/>
                      <w:color w:val="auto"/>
                      <w:sz w:val="18"/>
                      <w:szCs w:val="18"/>
                      <w:highlight w:val="none"/>
                      <w:lang w:eastAsia="zh-CN"/>
                    </w:rPr>
                    <w:t>（</w:t>
                  </w:r>
                  <w:r>
                    <w:rPr>
                      <w:rFonts w:hint="eastAsia" w:cs="Times New Roman"/>
                      <w:color w:val="auto"/>
                      <w:sz w:val="18"/>
                      <w:szCs w:val="18"/>
                      <w:highlight w:val="none"/>
                      <w:lang w:val="en-US" w:eastAsia="zh-CN"/>
                    </w:rPr>
                    <w:t>1</w:t>
                  </w:r>
                  <w:r>
                    <w:rPr>
                      <w:rFonts w:hint="eastAsia" w:cs="Times New Roman"/>
                      <w:color w:val="auto"/>
                      <w:sz w:val="18"/>
                      <w:szCs w:val="18"/>
                      <w:highlight w:val="none"/>
                      <w:lang w:eastAsia="zh-CN"/>
                    </w:rPr>
                    <w:t>）加快产业结构优化调整</w:t>
                  </w:r>
                </w:p>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both"/>
                    <w:textAlignment w:val="auto"/>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遏制“两高”项目盲目发展。严格落实国家</w:t>
                  </w:r>
                  <w:r>
                    <w:rPr>
                      <w:rFonts w:hint="eastAsia" w:cs="Times New Roman"/>
                      <w:color w:val="auto"/>
                      <w:sz w:val="18"/>
                      <w:szCs w:val="18"/>
                      <w:highlight w:val="none"/>
                      <w:lang w:eastAsia="zh-CN"/>
                    </w:rPr>
                    <w:t>、省</w:t>
                  </w:r>
                  <w:r>
                    <w:rPr>
                      <w:rFonts w:hint="eastAsia" w:ascii="Times New Roman" w:hAnsi="Times New Roman" w:eastAsia="宋体" w:cs="Times New Roman"/>
                      <w:color w:val="auto"/>
                      <w:sz w:val="18"/>
                      <w:szCs w:val="18"/>
                      <w:highlight w:val="none"/>
                      <w:lang w:eastAsia="zh-CN"/>
                    </w:rPr>
                    <w:t>产业规划、产业政策、“三线一单”、规划环评，以及产能置换、煤炭消费减量替代、区域污染物削减等要求，严把高耗能、高排放、低水平项目准入关口。</w:t>
                  </w:r>
                  <w:r>
                    <w:rPr>
                      <w:rFonts w:hint="eastAsia" w:cs="Times New Roman"/>
                      <w:color w:val="auto"/>
                      <w:sz w:val="18"/>
                      <w:szCs w:val="18"/>
                      <w:highlight w:val="none"/>
                      <w:lang w:eastAsia="zh-CN"/>
                    </w:rPr>
                    <w:t>全市</w:t>
                  </w:r>
                  <w:r>
                    <w:rPr>
                      <w:rFonts w:hint="eastAsia" w:ascii="Times New Roman" w:hAnsi="Times New Roman" w:eastAsia="宋体" w:cs="Times New Roman"/>
                      <w:color w:val="auto"/>
                      <w:sz w:val="18"/>
                      <w:szCs w:val="18"/>
                      <w:highlight w:val="none"/>
                      <w:lang w:eastAsia="zh-CN"/>
                    </w:rPr>
                    <w:t>禁止新增钢铁、电解铝、氧化铝、水泥熟料、平板玻璃（光伏压延玻璃除外）、煤化工、焦化、铝用炭素、含烧结工序的耐火材料和砖瓦制品等行业产能，合理控制煤制油气产能规模，严控新增炼油产能。强化项目环评及“三同时”管理，国家、省绩效分级重点行业以及涉及锅炉炉窑的其他行业，新建、扩建项目污染物排放限值、污染治理措施、无组织排放控制水平、运输方式等达到A级绩效水平，改建项目污染物排放限值、污染治理措施、无组织排放控制水平、运输方式等达到B级以上绩效水平。新建、改建、扩建项目大宗货物年货运量150万吨及以上的，原则上要接入铁路专用线或管道；具有铁路专用线的，大宗货物铁路运输比例应达到80%以上。</w:t>
                  </w:r>
                </w:p>
              </w:tc>
              <w:tc>
                <w:tcPr>
                  <w:tcW w:w="174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both"/>
                    <w:textAlignment w:val="auto"/>
                    <w:rPr>
                      <w:rFonts w:hint="default" w:ascii="Times New Roman" w:hAnsi="Times New Roman" w:eastAsia="宋体" w:cs="Times New Roman"/>
                      <w:color w:val="auto"/>
                      <w:spacing w:val="-4"/>
                      <w:sz w:val="18"/>
                      <w:szCs w:val="18"/>
                      <w:highlight w:val="none"/>
                      <w:lang w:val="en-US" w:eastAsia="zh-CN"/>
                    </w:rPr>
                  </w:pPr>
                  <w:r>
                    <w:rPr>
                      <w:rFonts w:hint="eastAsia" w:cs="Times New Roman"/>
                      <w:color w:val="auto"/>
                      <w:spacing w:val="-4"/>
                      <w:sz w:val="18"/>
                      <w:szCs w:val="18"/>
                      <w:highlight w:val="none"/>
                      <w:lang w:val="en-US" w:eastAsia="zh-CN"/>
                    </w:rPr>
                    <w:t>经对照《关于印发河南省“两高”项目管理名录（2023年修订）的通知》（豫发改环资（2023）38号），本项目不属于“两高”类项目。本项目不属于</w:t>
                  </w:r>
                  <w:r>
                    <w:rPr>
                      <w:rFonts w:hint="eastAsia" w:ascii="Times New Roman" w:hAnsi="Times New Roman" w:eastAsia="宋体" w:cs="Times New Roman"/>
                      <w:color w:val="auto"/>
                      <w:sz w:val="18"/>
                      <w:szCs w:val="18"/>
                      <w:highlight w:val="none"/>
                      <w:lang w:eastAsia="zh-CN"/>
                    </w:rPr>
                    <w:t>钢铁、电解铝、氧化铝、水泥熟料、平板玻璃（光伏压延玻璃除外）、煤化工、焦化、铝用炭素、含烧结工序的耐火材料和砖瓦制品等行业</w:t>
                  </w:r>
                  <w:r>
                    <w:rPr>
                      <w:rFonts w:hint="eastAsia" w:cs="Times New Roman"/>
                      <w:color w:val="auto"/>
                      <w:sz w:val="18"/>
                      <w:szCs w:val="18"/>
                      <w:highlight w:val="none"/>
                      <w:lang w:eastAsia="zh-CN"/>
                    </w:rPr>
                    <w:t>。本项目属于新建项目，建成后达到《河南省重污染天气重点行业应急减排措施制定技术指南》（</w:t>
                  </w:r>
                  <w:r>
                    <w:rPr>
                      <w:rFonts w:hint="eastAsia" w:cs="Times New Roman"/>
                      <w:color w:val="auto"/>
                      <w:sz w:val="18"/>
                      <w:szCs w:val="18"/>
                      <w:highlight w:val="none"/>
                      <w:lang w:val="en-US" w:eastAsia="zh-CN"/>
                    </w:rPr>
                    <w:t>2021修订版</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lang w:eastAsia="zh-CN"/>
                    </w:rPr>
                    <w:t>中“十、</w:t>
                  </w:r>
                  <w:r>
                    <w:rPr>
                      <w:rFonts w:hint="eastAsia" w:cs="Times New Roman"/>
                      <w:color w:val="auto"/>
                      <w:sz w:val="18"/>
                      <w:szCs w:val="18"/>
                      <w:highlight w:val="none"/>
                      <w:lang w:eastAsia="zh-CN"/>
                    </w:rPr>
                    <w:t>电池制造</w:t>
                  </w:r>
                  <w:r>
                    <w:rPr>
                      <w:rFonts w:hint="default" w:ascii="Times New Roman" w:hAnsi="Times New Roman" w:cs="Times New Roman"/>
                      <w:color w:val="auto"/>
                      <w:sz w:val="18"/>
                      <w:szCs w:val="18"/>
                      <w:highlight w:val="none"/>
                      <w:lang w:eastAsia="zh-CN"/>
                    </w:rPr>
                    <w:t>”类</w:t>
                  </w:r>
                  <w:r>
                    <w:rPr>
                      <w:rFonts w:hint="eastAsia" w:ascii="Times New Roman" w:hAnsi="Times New Roman" w:cs="Times New Roman"/>
                      <w:color w:val="auto"/>
                      <w:sz w:val="18"/>
                      <w:szCs w:val="18"/>
                      <w:highlight w:val="none"/>
                      <w:lang w:val="en-US" w:eastAsia="zh-CN"/>
                    </w:rPr>
                    <w:t>A级</w:t>
                  </w:r>
                  <w:r>
                    <w:rPr>
                      <w:rFonts w:hint="eastAsia" w:cs="Times New Roman"/>
                      <w:color w:val="auto"/>
                      <w:sz w:val="18"/>
                      <w:szCs w:val="18"/>
                      <w:highlight w:val="none"/>
                      <w:lang w:val="en-US" w:eastAsia="zh-CN"/>
                    </w:rPr>
                    <w:t>绩效水平</w:t>
                  </w:r>
                  <w:r>
                    <w:rPr>
                      <w:rFonts w:hint="eastAsia" w:ascii="Times New Roman" w:hAnsi="Times New Roman" w:cs="Times New Roman"/>
                      <w:color w:val="auto"/>
                      <w:sz w:val="18"/>
                      <w:szCs w:val="18"/>
                      <w:highlight w:val="none"/>
                      <w:lang w:val="en-US" w:eastAsia="zh-CN"/>
                    </w:rPr>
                    <w:t>要求</w:t>
                  </w:r>
                  <w:r>
                    <w:rPr>
                      <w:rFonts w:hint="eastAsia" w:cs="Times New Roman"/>
                      <w:color w:val="auto"/>
                      <w:sz w:val="18"/>
                      <w:szCs w:val="18"/>
                      <w:highlight w:val="none"/>
                      <w:lang w:val="en-US" w:eastAsia="zh-CN"/>
                    </w:rPr>
                    <w:t>。本项目不涉及大宗物料使用。</w:t>
                  </w:r>
                </w:p>
              </w:tc>
              <w:tc>
                <w:tcPr>
                  <w:tcW w:w="5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sz w:val="18"/>
                      <w:szCs w:val="18"/>
                      <w:highlight w:val="green"/>
                    </w:rPr>
                  </w:pPr>
                </w:p>
              </w:tc>
              <w:tc>
                <w:tcPr>
                  <w:tcW w:w="2249" w:type="pct"/>
                  <w:noWrap w:val="0"/>
                  <w:vAlign w:val="center"/>
                </w:tcPr>
                <w:p>
                  <w:pPr>
                    <w:keepNext w:val="0"/>
                    <w:keepLines w:val="0"/>
                    <w:pageBreakBefore w:val="0"/>
                    <w:widowControl w:val="0"/>
                    <w:numPr>
                      <w:ilvl w:val="0"/>
                      <w:numId w:val="5"/>
                    </w:numPr>
                    <w:kinsoku/>
                    <w:wordWrap/>
                    <w:overflowPunct/>
                    <w:topLinePunct w:val="0"/>
                    <w:autoSpaceDE/>
                    <w:autoSpaceDN/>
                    <w:bidi w:val="0"/>
                    <w:adjustRightInd/>
                    <w:snapToGrid/>
                    <w:spacing w:line="320" w:lineRule="exact"/>
                    <w:ind w:left="0" w:right="0" w:rightChars="0"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重污染天气联合应对行动</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right="0" w:rightChars="0"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提升污染源监测监控能力。全面落实排污许可发证单位自行监测及信息公开制度，持续推进污染源自动监控设施建设</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大气环境重点排污单位、排污许可证载明实施自动监测的排污单位，应依法安装自动监控设施，并与生态环境部门联网和规范稳定运行。根据空气质量改善需要，</w:t>
                  </w:r>
                  <w:r>
                    <w:rPr>
                      <w:rFonts w:hint="eastAsia" w:cs="Times New Roman"/>
                      <w:color w:val="auto"/>
                      <w:sz w:val="18"/>
                      <w:szCs w:val="18"/>
                      <w:highlight w:val="none"/>
                      <w:lang w:eastAsia="zh-CN"/>
                    </w:rPr>
                    <w:t>必要时</w:t>
                  </w:r>
                  <w:r>
                    <w:rPr>
                      <w:rFonts w:hint="default" w:ascii="Times New Roman" w:hAnsi="Times New Roman" w:cs="Times New Roman"/>
                      <w:color w:val="auto"/>
                      <w:sz w:val="18"/>
                      <w:szCs w:val="18"/>
                      <w:highlight w:val="none"/>
                    </w:rPr>
                    <w:t>可</w:t>
                  </w:r>
                  <w:r>
                    <w:rPr>
                      <w:rFonts w:hint="eastAsia" w:cs="Times New Roman"/>
                      <w:color w:val="auto"/>
                      <w:sz w:val="18"/>
                      <w:szCs w:val="18"/>
                      <w:highlight w:val="none"/>
                      <w:lang w:eastAsia="zh-CN"/>
                    </w:rPr>
                    <w:t>酌情</w:t>
                  </w:r>
                  <w:r>
                    <w:rPr>
                      <w:rFonts w:hint="default" w:ascii="Times New Roman" w:hAnsi="Times New Roman" w:cs="Times New Roman"/>
                      <w:color w:val="auto"/>
                      <w:sz w:val="18"/>
                      <w:szCs w:val="18"/>
                      <w:highlight w:val="none"/>
                    </w:rPr>
                    <w:t>扩大自动监控设施安装联网范围和增加监测因子，并将自动监测要求载入排污许可证。大力推进涉气排污单位自动监控设施数据采集传输系统升级改造，确保监控数据传输稳定性和准确性。持续推进用电量监控、视频监控能力提升，强化生产状况、污染治理设施运行情况和污染排放联合监控。加强电力、水泥等重点行业氨逃逸监测监管。</w:t>
                  </w:r>
                </w:p>
              </w:tc>
              <w:tc>
                <w:tcPr>
                  <w:tcW w:w="174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both"/>
                    <w:textAlignment w:val="auto"/>
                    <w:rPr>
                      <w:rFonts w:hint="default" w:ascii="Times New Roman" w:hAnsi="Times New Roman" w:eastAsia="宋体" w:cs="Times New Roman"/>
                      <w:color w:val="auto"/>
                      <w:spacing w:val="-4"/>
                      <w:sz w:val="18"/>
                      <w:szCs w:val="18"/>
                      <w:highlight w:val="none"/>
                      <w:lang w:val="en-US" w:eastAsia="zh-CN"/>
                    </w:rPr>
                  </w:pPr>
                  <w:r>
                    <w:rPr>
                      <w:rFonts w:hint="eastAsia" w:cs="Times New Roman"/>
                      <w:color w:val="auto"/>
                      <w:spacing w:val="-4"/>
                      <w:sz w:val="18"/>
                      <w:szCs w:val="18"/>
                      <w:highlight w:val="none"/>
                      <w:lang w:val="en-US" w:eastAsia="zh-CN"/>
                    </w:rPr>
                    <w:t>本项目建成后，将按照《排污单位自行监测技术指南-电池工业》（HJ1204-2021）相关要求开展自行监测，并按照要求安装用电监控、视频监控等设施。</w:t>
                  </w:r>
                </w:p>
              </w:tc>
              <w:tc>
                <w:tcPr>
                  <w:tcW w:w="5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green"/>
                    </w:rPr>
                  </w:pPr>
                  <w:r>
                    <w:rPr>
                      <w:rFonts w:hint="default" w:ascii="Times New Roman" w:hAnsi="Times New Roman" w:cs="Times New Roman"/>
                      <w:color w:val="auto"/>
                      <w:sz w:val="18"/>
                      <w:szCs w:val="18"/>
                      <w:highlight w:val="none"/>
                    </w:rPr>
                    <w:t>夏季臭氧污染防治攻坚战行动方案</w:t>
                  </w:r>
                </w:p>
              </w:tc>
              <w:tc>
                <w:tcPr>
                  <w:tcW w:w="2249" w:type="pct"/>
                  <w:noWrap w:val="0"/>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含VOCs原辅材料源头替代行动</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firstLine="0" w:firstLineChars="0"/>
                    <w:jc w:val="both"/>
                    <w:textAlignment w:val="auto"/>
                    <w:rPr>
                      <w:rFonts w:hint="default" w:ascii="Times New Roman" w:hAnsi="Times New Roman" w:cs="Times New Roman"/>
                      <w:color w:val="auto"/>
                      <w:sz w:val="18"/>
                      <w:szCs w:val="18"/>
                      <w:highlight w:val="none"/>
                    </w:rPr>
                  </w:pPr>
                  <w:r>
                    <w:rPr>
                      <w:rFonts w:hint="eastAsia" w:cs="Times New Roman"/>
                      <w:color w:val="auto"/>
                      <w:sz w:val="18"/>
                      <w:szCs w:val="18"/>
                      <w:highlight w:val="none"/>
                      <w:lang w:eastAsia="zh-CN"/>
                    </w:rPr>
                    <w:t>推进</w:t>
                  </w:r>
                  <w:r>
                    <w:rPr>
                      <w:rFonts w:hint="default" w:ascii="Times New Roman" w:hAnsi="Times New Roman" w:cs="Times New Roman"/>
                      <w:color w:val="auto"/>
                      <w:sz w:val="18"/>
                      <w:szCs w:val="18"/>
                      <w:highlight w:val="none"/>
                    </w:rPr>
                    <w:t>实施低VOCs含量原辅材料替代。全面排查使用涂料、油墨、胶粘剂、清洗剂等原辅材料的企业，摸清涉 VOCs 产品类型、原辅材料使用量，建立清单台账，每年指导企业制定低 VOCs原辅材料替代计划。工程机械制造、家具制造、钢结构、包装印刷、制鞋、人造板及其他含涂装工序行业，按照“可替尽替、应代尽代”的原则，全面推进使用低VOCs原辅材料；房屋建筑和市政工程全面推广使用低VOCs含量涂料和胶粘剂，除特殊功能要求外，室内地坪施工、室外构筑物防护和城市道路交通标志基本使用低VOCs含量涂料。城市建成区严格控制生产和使用溶剂型涂料、油墨、胶粘剂、清洗剂等建设项目。原辅材料VOCs含量应满足低VOCs原辅材料含量限值（附表1）</w:t>
                  </w:r>
                </w:p>
              </w:tc>
              <w:tc>
                <w:tcPr>
                  <w:tcW w:w="174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both"/>
                    <w:textAlignment w:val="auto"/>
                    <w:rPr>
                      <w:rFonts w:hint="eastAsia" w:ascii="Times New Roman" w:hAnsi="Times New Roman" w:eastAsia="宋体" w:cs="Times New Roman"/>
                      <w:color w:val="auto"/>
                      <w:spacing w:val="-4"/>
                      <w:sz w:val="18"/>
                      <w:szCs w:val="18"/>
                      <w:highlight w:val="none"/>
                      <w:lang w:val="en-US" w:eastAsia="zh-CN"/>
                    </w:rPr>
                  </w:pPr>
                  <w:r>
                    <w:rPr>
                      <w:rFonts w:hint="eastAsia" w:cs="Times New Roman"/>
                      <w:color w:val="auto"/>
                      <w:spacing w:val="-4"/>
                      <w:sz w:val="18"/>
                      <w:szCs w:val="18"/>
                      <w:highlight w:val="none"/>
                      <w:lang w:val="en-US" w:eastAsia="zh-CN"/>
                    </w:rPr>
                    <w:t>本项目涉及的含</w:t>
                  </w:r>
                  <w:r>
                    <w:rPr>
                      <w:rFonts w:hint="default" w:ascii="Times New Roman" w:hAnsi="Times New Roman" w:cs="Times New Roman"/>
                      <w:color w:val="auto"/>
                      <w:sz w:val="18"/>
                      <w:szCs w:val="18"/>
                      <w:highlight w:val="none"/>
                    </w:rPr>
                    <w:t>VOCs原辅材料</w:t>
                  </w:r>
                  <w:r>
                    <w:rPr>
                      <w:rFonts w:hint="eastAsia" w:cs="Times New Roman"/>
                      <w:color w:val="auto"/>
                      <w:sz w:val="18"/>
                      <w:szCs w:val="18"/>
                      <w:highlight w:val="none"/>
                      <w:lang w:eastAsia="zh-CN"/>
                    </w:rPr>
                    <w:t>主要为电解液，均采用密闭吨桶包装，生产时通过密闭管道负压抽入注液设备配套密闭缓存箱内使用。项目属于锂电子电池制造，不涉及工业涂装工序。</w:t>
                  </w:r>
                </w:p>
              </w:tc>
              <w:tc>
                <w:tcPr>
                  <w:tcW w:w="5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green"/>
                    </w:rPr>
                  </w:pPr>
                </w:p>
              </w:tc>
              <w:tc>
                <w:tcPr>
                  <w:tcW w:w="2249" w:type="pct"/>
                  <w:noWrap w:val="0"/>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eastAsia" w:cs="Times New Roman"/>
                      <w:color w:val="auto"/>
                      <w:sz w:val="18"/>
                      <w:szCs w:val="18"/>
                      <w:highlight w:val="none"/>
                      <w:lang w:eastAsia="zh-CN"/>
                    </w:rPr>
                  </w:pPr>
                  <w:r>
                    <w:rPr>
                      <w:rFonts w:hint="eastAsia" w:cs="Times New Roman"/>
                      <w:color w:val="auto"/>
                      <w:sz w:val="18"/>
                      <w:szCs w:val="18"/>
                      <w:highlight w:val="none"/>
                      <w:lang w:eastAsia="zh-CN"/>
                    </w:rPr>
                    <w:t>VOCs污染治理达标行动</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firstLine="0" w:firstLineChars="0"/>
                    <w:jc w:val="both"/>
                    <w:textAlignment w:val="auto"/>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持续开展</w:t>
                  </w:r>
                  <w:r>
                    <w:rPr>
                      <w:rFonts w:hint="eastAsia" w:cs="Times New Roman"/>
                      <w:color w:val="auto"/>
                      <w:sz w:val="18"/>
                      <w:szCs w:val="18"/>
                      <w:highlight w:val="none"/>
                      <w:lang w:val="en-US" w:eastAsia="zh-CN"/>
                    </w:rPr>
                    <w:t>VOCs治理设施提级增效</w:t>
                  </w:r>
                  <w:r>
                    <w:rPr>
                      <w:rFonts w:hint="eastAsia" w:cs="Times New Roman"/>
                      <w:color w:val="auto"/>
                      <w:sz w:val="18"/>
                      <w:szCs w:val="18"/>
                      <w:highlight w:val="none"/>
                      <w:lang w:eastAsia="zh-CN"/>
                    </w:rPr>
                    <w:t>。全面排查VOCs治理设施，动态更新治理设施清单台账，分析治理技术与VOCs废气排放特征、组分等匹配性。低浓度、大风量有机废气，采用沸石转轮吸附、活性炭吸附、减风增浓等浓缩技术，提高VOCs浓度后采用高温焚烧、催化燃烧等技术；高浓度废气，优先进行溶剂回收预处理，难以回收的，采用高温焚烧、催化燃烧等技术。采用催化燃烧工艺的企业使用合格的催化剂并足额添加，高温焚烧温度不低于760摄氏度，催化燃烧装置燃烧温度不低于300摄氏度，相关温度参数自动记录存储，储存时间不少于1年。采用活性炭吸附工艺的，原则上VOCs产生浓度不超过300毫克/立方米，废气中涉及颗粒物、油烟（油雾）、水分等影响吸附过程物质的，应采取相应的预处理措施，颗粒状、柱状活性炭碘值不低于800毫克/克，蜂窝状活性炭碘值不低于650毫克/克，活性炭填充量、更换频次满足环评要求，活性炭购买发票、更换记录、碘值报告等支撑材料保存3年以上；每年开展活性炭监督抽查，每年夏季对活性炭质量进行抽检，对活性炭质量不合格的企业依法追究责任。</w:t>
                  </w:r>
                </w:p>
              </w:tc>
              <w:tc>
                <w:tcPr>
                  <w:tcW w:w="174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both"/>
                    <w:textAlignment w:val="auto"/>
                    <w:rPr>
                      <w:rFonts w:hint="default" w:ascii="Times New Roman" w:hAnsi="Times New Roman" w:eastAsia="宋体" w:cs="Times New Roman"/>
                      <w:color w:val="auto"/>
                      <w:spacing w:val="-4"/>
                      <w:sz w:val="18"/>
                      <w:szCs w:val="18"/>
                      <w:highlight w:val="none"/>
                      <w:lang w:val="en-US" w:eastAsia="zh-CN"/>
                    </w:rPr>
                  </w:pPr>
                  <w:r>
                    <w:rPr>
                      <w:rFonts w:hint="eastAsia" w:cs="Times New Roman"/>
                      <w:color w:val="auto"/>
                      <w:spacing w:val="-4"/>
                      <w:sz w:val="18"/>
                      <w:szCs w:val="18"/>
                      <w:highlight w:val="none"/>
                      <w:lang w:val="en-US" w:eastAsia="zh-CN"/>
                    </w:rPr>
                    <w:t>本项目涉及的含</w:t>
                  </w:r>
                  <w:r>
                    <w:rPr>
                      <w:rFonts w:hint="default" w:ascii="Times New Roman" w:hAnsi="Times New Roman" w:cs="Times New Roman"/>
                      <w:color w:val="auto"/>
                      <w:sz w:val="18"/>
                      <w:szCs w:val="18"/>
                      <w:highlight w:val="none"/>
                    </w:rPr>
                    <w:t>VOCs原辅材料</w:t>
                  </w:r>
                  <w:r>
                    <w:rPr>
                      <w:rFonts w:hint="eastAsia" w:cs="Times New Roman"/>
                      <w:color w:val="auto"/>
                      <w:sz w:val="18"/>
                      <w:szCs w:val="18"/>
                      <w:highlight w:val="none"/>
                      <w:lang w:eastAsia="zh-CN"/>
                    </w:rPr>
                    <w:t>主要为电解液，均采用密闭吨桶包装，且本项目注液采用真空注液方式，注液机抽真空尾气通过密闭管道排入1套“UV光催化氧化+活性炭吸附”处理后，通过15m高排气筒排放。企业废气设施</w:t>
                  </w:r>
                  <w:r>
                    <w:rPr>
                      <w:rFonts w:hint="eastAsia" w:cs="Times New Roman"/>
                      <w:color w:val="auto"/>
                      <w:spacing w:val="-4"/>
                      <w:sz w:val="18"/>
                      <w:szCs w:val="18"/>
                      <w:highlight w:val="none"/>
                      <w:lang w:val="en-US" w:eastAsia="zh-CN"/>
                    </w:rPr>
                    <w:t>将按照要求采用碘值不低于800</w:t>
                  </w:r>
                  <w:r>
                    <w:rPr>
                      <w:rFonts w:hint="eastAsia" w:cs="Times New Roman"/>
                      <w:color w:val="auto"/>
                      <w:sz w:val="18"/>
                      <w:szCs w:val="18"/>
                      <w:highlight w:val="none"/>
                      <w:lang w:eastAsia="zh-CN"/>
                    </w:rPr>
                    <w:t>毫克/克</w:t>
                  </w:r>
                  <w:r>
                    <w:rPr>
                      <w:rFonts w:hint="eastAsia" w:cs="Times New Roman"/>
                      <w:color w:val="auto"/>
                      <w:spacing w:val="-4"/>
                      <w:sz w:val="18"/>
                      <w:szCs w:val="18"/>
                      <w:highlight w:val="none"/>
                      <w:lang w:val="en-US" w:eastAsia="zh-CN"/>
                    </w:rPr>
                    <w:t>的柱状活性炭，并按照要求进行台账记录和质量抽检。</w:t>
                  </w:r>
                </w:p>
              </w:tc>
              <w:tc>
                <w:tcPr>
                  <w:tcW w:w="5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sz w:val="18"/>
                      <w:szCs w:val="18"/>
                      <w:highlight w:val="none"/>
                      <w:lang w:eastAsia="zh-CN"/>
                    </w:rPr>
                  </w:pPr>
                  <w:r>
                    <w:rPr>
                      <w:rFonts w:hint="eastAsia" w:cs="Times New Roman"/>
                      <w:color w:val="auto"/>
                      <w:sz w:val="18"/>
                      <w:szCs w:val="18"/>
                      <w:highlight w:val="none"/>
                      <w:lang w:eastAsia="zh-CN"/>
                    </w:rPr>
                    <w:t>符合</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cs="Times New Roman"/>
                <w:color w:val="auto"/>
                <w:highlight w:val="none"/>
                <w:lang w:val="en-US" w:eastAsia="zh-CN"/>
              </w:rPr>
            </w:pPr>
            <w:r>
              <w:rPr>
                <w:rFonts w:hint="eastAsia" w:cs="Times New Roman"/>
                <w:b w:val="0"/>
                <w:bCs w:val="0"/>
                <w:color w:val="auto"/>
                <w:szCs w:val="24"/>
                <w:highlight w:val="none"/>
                <w:u w:val="none"/>
                <w:lang w:val="en-US" w:eastAsia="zh-CN"/>
              </w:rPr>
              <w:t>由上表可知，本项目符合《新乡市深入打好秋冬季重污染天气消除、夏季臭氧污染防治和柴油货车污染治理攻坚战行动方案》（新环攻坚办〔2023〕73号）相关要求。</w:t>
            </w:r>
          </w:p>
          <w:p>
            <w:pPr>
              <w:pStyle w:val="2"/>
              <w:keepNext/>
              <w:keepLines w:val="0"/>
              <w:pageBreakBefore w:val="0"/>
              <w:widowControl w:val="0"/>
              <w:numPr>
                <w:ilvl w:val="0"/>
                <w:numId w:val="0"/>
              </w:numPr>
              <w:kinsoku/>
              <w:wordWrap/>
              <w:overflowPunct w:val="0"/>
              <w:topLinePunct w:val="0"/>
              <w:autoSpaceDE/>
              <w:autoSpaceDN/>
              <w:bidi w:val="0"/>
              <w:adjustRightInd/>
              <w:snapToGrid/>
              <w:textAlignment w:val="auto"/>
              <w:rPr>
                <w:rFonts w:hint="default"/>
                <w:color w:val="auto"/>
                <w:lang w:val="en-US" w:eastAsia="zh-CN"/>
              </w:rPr>
            </w:pP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与《河南省2023年蓝天保卫战实施方案》的通知（豫环委办〔2023〕4 号）相符性分析</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与《豫环委办〔2023〕4号》对比分析一览表</w:t>
            </w:r>
          </w:p>
          <w:tbl>
            <w:tblPr>
              <w:tblStyle w:val="21"/>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1"/>
              <w:gridCol w:w="3420"/>
              <w:gridCol w:w="1848"/>
              <w:gridCol w:w="80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44" w:type="pct"/>
                  <w:gridSpan w:val="2"/>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与本项目有关的内容</w:t>
                  </w:r>
                </w:p>
              </w:tc>
              <w:tc>
                <w:tcPr>
                  <w:tcW w:w="1362"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本项目情况</w:t>
                  </w:r>
                </w:p>
              </w:tc>
              <w:tc>
                <w:tcPr>
                  <w:tcW w:w="592"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对照情况说明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4"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（五）推进工业企业综合治理</w:t>
                  </w:r>
                </w:p>
              </w:tc>
              <w:tc>
                <w:tcPr>
                  <w:tcW w:w="2520" w:type="pct"/>
                  <w:noWrap w:val="0"/>
                  <w:vAlign w:val="center"/>
                </w:tcPr>
                <w:p>
                  <w:pPr>
                    <w:pStyle w:val="57"/>
                    <w:bidi w:val="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17.实施工业污染排放深度治理。以钢铁、水泥、焦化、电解铝、氧化铝、砖瓦窑、玻璃、陶瓷、炭素、耐火材料、石灰窑等行业工业窑炉为重点，全面提升污染物治理设施、无组织排放管控和在线监控设施运行管理水平，加强物料运输、装卸储存及生产过程中的无组织排放控制，推进实施清洁生产改造，确保污染物稳定达标排放。2023年5月底前，全面排查除尘脱硫一体化、简易碱法脱硫、简易氨法脱硫脱硝、湿法脱硝、氧化法脱硝等低效治理设施以及低温等离子、光催化、光氧化等VOCs简易低效治理设施；取缔直接向烟道内喷洒脱硫脱硝剂等敷衍式治理工艺。10月底前，对无法稳定达标排放的通过更换适宜高效治理工艺、提升现有治污设施处理能力、清洁能源替代等方式完成分类整治，对人工投加脱硫脱硝剂的简易设施实施自动化改造。</w:t>
                  </w:r>
                </w:p>
              </w:tc>
              <w:tc>
                <w:tcPr>
                  <w:tcW w:w="1362" w:type="pct"/>
                  <w:noWrap w:val="0"/>
                  <w:vAlign w:val="center"/>
                </w:tcPr>
                <w:p>
                  <w:pPr>
                    <w:pStyle w:val="57"/>
                    <w:bidi w:val="0"/>
                    <w:jc w:val="both"/>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本项目属于锂电子电池制造，不属于</w:t>
                  </w:r>
                  <w:r>
                    <w:rPr>
                      <w:rFonts w:hint="default" w:ascii="Times New Roman" w:hAnsi="Times New Roman" w:cs="Times New Roman"/>
                      <w:color w:val="auto"/>
                      <w:highlight w:val="none"/>
                      <w:lang w:eastAsia="zh-CN"/>
                    </w:rPr>
                    <w:t>钢铁、水泥、焦化、电解铝、氧化铝、砖瓦窑、玻璃、陶瓷、炭素、耐火材料、石灰窑等行业</w:t>
                  </w:r>
                  <w:r>
                    <w:rPr>
                      <w:rFonts w:hint="eastAsia" w:ascii="Times New Roman" w:hAnsi="Times New Roman" w:cs="Times New Roman"/>
                      <w:color w:val="auto"/>
                      <w:highlight w:val="none"/>
                      <w:lang w:eastAsia="zh-CN"/>
                    </w:rPr>
                    <w:t>。</w:t>
                  </w:r>
                  <w:r>
                    <w:rPr>
                      <w:rFonts w:hint="eastAsia" w:cs="Times New Roman"/>
                      <w:color w:val="auto"/>
                      <w:spacing w:val="-4"/>
                      <w:sz w:val="18"/>
                      <w:szCs w:val="18"/>
                      <w:highlight w:val="none"/>
                      <w:lang w:val="en-US" w:eastAsia="zh-CN"/>
                    </w:rPr>
                    <w:t>本项目涉及的含</w:t>
                  </w:r>
                  <w:r>
                    <w:rPr>
                      <w:rFonts w:hint="default" w:ascii="Times New Roman" w:hAnsi="Times New Roman" w:cs="Times New Roman"/>
                      <w:color w:val="auto"/>
                      <w:sz w:val="18"/>
                      <w:szCs w:val="18"/>
                      <w:highlight w:val="none"/>
                    </w:rPr>
                    <w:t>VOCs原辅材料</w:t>
                  </w:r>
                  <w:r>
                    <w:rPr>
                      <w:rFonts w:hint="eastAsia" w:cs="Times New Roman"/>
                      <w:color w:val="auto"/>
                      <w:sz w:val="18"/>
                      <w:szCs w:val="18"/>
                      <w:highlight w:val="none"/>
                      <w:lang w:eastAsia="zh-CN"/>
                    </w:rPr>
                    <w:t>主要为电解液，注液采用真空注液方式，注液机抽真空尾气通过密闭管道排入1套“UV光催化氧化+活性炭吸附”处理后，通过15m高排气筒排放。</w:t>
                  </w:r>
                </w:p>
              </w:tc>
              <w:tc>
                <w:tcPr>
                  <w:tcW w:w="592" w:type="pct"/>
                  <w:noWrap w:val="0"/>
                  <w:vAlign w:val="center"/>
                </w:tcPr>
                <w:p>
                  <w:pPr>
                    <w:pStyle w:val="57"/>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4" w:type="pct"/>
                  <w:vMerge w:val="restar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（六）加快挥发性有机物治理</w:t>
                  </w:r>
                </w:p>
              </w:tc>
              <w:tc>
                <w:tcPr>
                  <w:tcW w:w="2520" w:type="pct"/>
                  <w:noWrap w:val="0"/>
                  <w:vAlign w:val="center"/>
                </w:tcPr>
                <w:p>
                  <w:pPr>
                    <w:pStyle w:val="57"/>
                    <w:bidi w:val="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22. 推进低 VOCs 含量原辅材料源头替代。按照“可替尽替、应代尽代”的原则，开展汽车制造、工业涂装、家具制造、包装印刷、钢结构制造、工程机械等行业溶剂型涂料、油墨、胶粘剂、清洗剂使用低 VOCs 含量原辅材料替代，明确治理任务，动态更新清单台账。汽车整车制造行业大力提升底漆、中涂、色漆低VOCs 含量涂料使用比例；房屋建筑和市政工程全面推广使用低VOCs 含量涂料和胶粘剂，除特殊功能要求外，室内地坪施工、室外构筑物防护和城市道路交通标志基本使用低 VOCs 含量涂料。城市建成区严格控制生产和使用溶剂型涂料、油墨、胶粘剂、清洗剂等建设项目。</w:t>
                  </w:r>
                </w:p>
              </w:tc>
              <w:tc>
                <w:tcPr>
                  <w:tcW w:w="1362" w:type="pct"/>
                  <w:noWrap w:val="0"/>
                  <w:vAlign w:val="center"/>
                </w:tcPr>
                <w:p>
                  <w:pPr>
                    <w:pStyle w:val="57"/>
                    <w:bidi w:val="0"/>
                    <w:jc w:val="both"/>
                    <w:rPr>
                      <w:rFonts w:hint="default" w:ascii="Times New Roman" w:hAnsi="Times New Roman" w:cs="Times New Roman"/>
                      <w:color w:val="auto"/>
                      <w:highlight w:val="none"/>
                      <w:lang w:val="en-US" w:eastAsia="zh-CN"/>
                    </w:rPr>
                  </w:pPr>
                  <w:r>
                    <w:rPr>
                      <w:rFonts w:hint="eastAsia" w:cs="Times New Roman"/>
                      <w:color w:val="auto"/>
                      <w:spacing w:val="-4"/>
                      <w:sz w:val="18"/>
                      <w:szCs w:val="18"/>
                      <w:highlight w:val="none"/>
                      <w:lang w:val="en-US" w:eastAsia="zh-CN"/>
                    </w:rPr>
                    <w:t>本项目涉及的含</w:t>
                  </w:r>
                  <w:r>
                    <w:rPr>
                      <w:rFonts w:hint="default" w:ascii="Times New Roman" w:hAnsi="Times New Roman" w:cs="Times New Roman"/>
                      <w:color w:val="auto"/>
                      <w:sz w:val="18"/>
                      <w:szCs w:val="18"/>
                      <w:highlight w:val="none"/>
                    </w:rPr>
                    <w:t>VOCs原辅材料</w:t>
                  </w:r>
                  <w:r>
                    <w:rPr>
                      <w:rFonts w:hint="eastAsia" w:cs="Times New Roman"/>
                      <w:color w:val="auto"/>
                      <w:sz w:val="18"/>
                      <w:szCs w:val="18"/>
                      <w:highlight w:val="none"/>
                      <w:lang w:eastAsia="zh-CN"/>
                    </w:rPr>
                    <w:t>主要为电解液，均采用密闭吨桶包装。项目属于锂电子电池制造，</w:t>
                  </w:r>
                  <w:r>
                    <w:rPr>
                      <w:rFonts w:hint="eastAsia" w:cs="Times New Roman"/>
                      <w:color w:val="auto"/>
                      <w:spacing w:val="-4"/>
                      <w:sz w:val="18"/>
                      <w:szCs w:val="18"/>
                      <w:highlight w:val="none"/>
                      <w:lang w:val="en-US" w:eastAsia="zh-CN"/>
                    </w:rPr>
                    <w:t>不涉及使用涂料、油墨、胶粘剂、清洗剂等原辅料。</w:t>
                  </w:r>
                </w:p>
              </w:tc>
              <w:tc>
                <w:tcPr>
                  <w:tcW w:w="592" w:type="pct"/>
                  <w:noWrap w:val="0"/>
                  <w:vAlign w:val="center"/>
                </w:tcPr>
                <w:p>
                  <w:pPr>
                    <w:pStyle w:val="57"/>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4" w:type="pct"/>
                  <w:vMerge w:val="continue"/>
                  <w:noWrap w:val="0"/>
                  <w:vAlign w:val="center"/>
                </w:tcPr>
                <w:p>
                  <w:pPr>
                    <w:pStyle w:val="57"/>
                    <w:bidi w:val="0"/>
                    <w:rPr>
                      <w:rFonts w:hint="default" w:ascii="Times New Roman" w:hAnsi="Times New Roman" w:cs="Times New Roman"/>
                      <w:color w:val="auto"/>
                      <w:highlight w:val="none"/>
                      <w:lang w:eastAsia="zh-CN"/>
                    </w:rPr>
                  </w:pPr>
                </w:p>
              </w:tc>
              <w:tc>
                <w:tcPr>
                  <w:tcW w:w="2520" w:type="pct"/>
                  <w:noWrap w:val="0"/>
                  <w:vAlign w:val="center"/>
                </w:tcPr>
                <w:p>
                  <w:pPr>
                    <w:pStyle w:val="57"/>
                    <w:bidi w:val="0"/>
                    <w:jc w:val="both"/>
                    <w:rPr>
                      <w:rFonts w:hint="default" w:ascii="Times New Roman" w:hAnsi="Times New Roman" w:cs="Times New Roman"/>
                      <w:color w:val="auto"/>
                      <w:highlight w:val="none"/>
                      <w:lang w:eastAsia="zh-CN"/>
                    </w:rPr>
                  </w:pPr>
                  <w:r>
                    <w:rPr>
                      <w:rFonts w:hint="eastAsia" w:ascii="Times New Roman" w:hAnsi="Times New Roman" w:cs="Times New Roman"/>
                      <w:color w:val="auto"/>
                      <w:highlight w:val="none"/>
                      <w:lang w:val="en-US" w:eastAsia="zh-CN"/>
                    </w:rPr>
                    <w:t>23</w:t>
                  </w:r>
                  <w:r>
                    <w:rPr>
                      <w:rFonts w:hint="default" w:ascii="Times New Roman" w:hAnsi="Times New Roman" w:cs="Times New Roman"/>
                      <w:color w:val="auto"/>
                      <w:highlight w:val="none"/>
                      <w:lang w:eastAsia="zh-CN"/>
                    </w:rPr>
                    <w:t>持续加大无组织排放整治力度。2023 年 5 月底前，排查含 VOCs 物料储存、转移和输送、设备与管线组件泄漏、敞开液面逸散以及工艺过程等五类排放源，在保证安全生产前提下，督促企业通过采取设备与场所密闭、工艺改进、废气有效收集等措施，对 VOCs 无组织排放废气进行综合治理，将需要集气罩收集无组织排放的集气流速测量监控纳入日常管理工作中监督落实；按要求对气态、液态 VOCs 物料的设备与管线组件密封点大于等于 1000 个的企业开展泄漏检测与修复工作；焦化行业使用红外热成像仪、火焰离子化检测仪（FID）等设备定期对酚氰废水处理池密闭设施、煤气管线及焦炉等装置进行巡检修护，防止逸散泄漏；产生含挥发性有机物废水的企业，采取密闭管道等措施逐步替代地漏、沟、渠、井等敞开式集输方式，减少挥发性有机物无组织排放。</w:t>
                  </w:r>
                </w:p>
              </w:tc>
              <w:tc>
                <w:tcPr>
                  <w:tcW w:w="1362" w:type="pct"/>
                  <w:noWrap w:val="0"/>
                  <w:vAlign w:val="center"/>
                </w:tcPr>
                <w:p>
                  <w:pPr>
                    <w:pStyle w:val="57"/>
                    <w:bidi w:val="0"/>
                    <w:jc w:val="both"/>
                    <w:rPr>
                      <w:rFonts w:hint="eastAsia" w:cs="Times New Roman"/>
                      <w:color w:val="auto"/>
                      <w:spacing w:val="-4"/>
                      <w:sz w:val="18"/>
                      <w:szCs w:val="18"/>
                      <w:highlight w:val="none"/>
                      <w:lang w:val="en-US" w:eastAsia="zh-CN"/>
                    </w:rPr>
                  </w:pPr>
                  <w:r>
                    <w:rPr>
                      <w:rFonts w:hint="eastAsia" w:cs="Times New Roman"/>
                      <w:color w:val="auto"/>
                      <w:spacing w:val="-4"/>
                      <w:sz w:val="18"/>
                      <w:szCs w:val="18"/>
                      <w:highlight w:val="none"/>
                      <w:lang w:val="en-US" w:eastAsia="zh-CN"/>
                    </w:rPr>
                    <w:t>本项目生产过程涉及的含VOCs原辅材料主要为电解液，且本项目注液采用真空注液，注液机抽真空尾气通过密闭管道排入1套“UV光催化氧化+活性炭吸附”处理，日常生产过程按照要求定期对电解液储存、使用等过程涉及到的管线、工艺设备等进行检修</w:t>
                  </w:r>
                </w:p>
              </w:tc>
              <w:tc>
                <w:tcPr>
                  <w:tcW w:w="592" w:type="pct"/>
                  <w:noWrap w:val="0"/>
                  <w:vAlign w:val="center"/>
                </w:tcPr>
                <w:p>
                  <w:pPr>
                    <w:pStyle w:val="57"/>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符合</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cs="Times New Roman"/>
                <w:color w:val="auto"/>
                <w:highlight w:val="none"/>
                <w:lang w:val="en-US" w:eastAsia="zh-CN"/>
              </w:rPr>
            </w:pPr>
            <w:r>
              <w:rPr>
                <w:rFonts w:hint="eastAsia" w:cs="Times New Roman"/>
                <w:b w:val="0"/>
                <w:bCs w:val="0"/>
                <w:color w:val="auto"/>
                <w:szCs w:val="24"/>
                <w:highlight w:val="none"/>
                <w:u w:val="none"/>
                <w:lang w:val="en-US" w:eastAsia="zh-CN"/>
              </w:rPr>
              <w:t>由上表可知，本项目符合《河南省2023年蓝天保卫战实施方案》的通知》（豫环委办〔2023〕4 号）相关要求。</w:t>
            </w:r>
          </w:p>
          <w:p>
            <w:pPr>
              <w:pStyle w:val="2"/>
              <w:keepNext/>
              <w:keepLines w:val="0"/>
              <w:pageBreakBefore w:val="0"/>
              <w:widowControl w:val="0"/>
              <w:kinsoku/>
              <w:wordWrap/>
              <w:overflowPunct w:val="0"/>
              <w:topLinePunct w:val="0"/>
              <w:autoSpaceDE/>
              <w:autoSpaceDN/>
              <w:bidi w:val="0"/>
              <w:adjustRightInd/>
              <w:snapToGrid w:val="0"/>
              <w:ind w:left="0" w:leftChars="0" w:firstLine="0" w:firstLineChars="0"/>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与《</w:t>
            </w:r>
            <w:r>
              <w:rPr>
                <w:rFonts w:hint="eastAsia" w:cs="Times New Roman"/>
                <w:color w:val="auto"/>
                <w:highlight w:val="none"/>
                <w:lang w:val="en-US" w:eastAsia="zh-CN"/>
              </w:rPr>
              <w:t>新乡市</w:t>
            </w:r>
            <w:r>
              <w:rPr>
                <w:rFonts w:hint="default" w:ascii="Times New Roman" w:hAnsi="Times New Roman" w:cs="Times New Roman"/>
                <w:color w:val="auto"/>
                <w:highlight w:val="none"/>
                <w:lang w:val="en-US" w:eastAsia="zh-CN"/>
              </w:rPr>
              <w:t>2023年碧水保卫战实施方案》（</w:t>
            </w:r>
            <w:r>
              <w:rPr>
                <w:rFonts w:hint="eastAsia" w:cs="Times New Roman"/>
                <w:color w:val="auto"/>
                <w:highlight w:val="none"/>
                <w:lang w:val="en-US" w:eastAsia="zh-CN"/>
              </w:rPr>
              <w:t>新环攻坚</w:t>
            </w:r>
            <w:r>
              <w:rPr>
                <w:rFonts w:hint="default" w:ascii="Times New Roman" w:hAnsi="Times New Roman" w:cs="Times New Roman"/>
                <w:color w:val="auto"/>
                <w:highlight w:val="none"/>
                <w:lang w:val="en-US" w:eastAsia="zh-CN"/>
              </w:rPr>
              <w:t>办〔2023〕</w:t>
            </w:r>
            <w:r>
              <w:rPr>
                <w:rFonts w:hint="eastAsia" w:cs="Times New Roman"/>
                <w:color w:val="auto"/>
                <w:highlight w:val="none"/>
                <w:lang w:val="en-US" w:eastAsia="zh-CN"/>
              </w:rPr>
              <w:t>66</w:t>
            </w:r>
            <w:r>
              <w:rPr>
                <w:rFonts w:hint="default" w:ascii="Times New Roman" w:hAnsi="Times New Roman" w:cs="Times New Roman"/>
                <w:color w:val="auto"/>
                <w:highlight w:val="none"/>
                <w:lang w:val="en-US" w:eastAsia="zh-CN"/>
              </w:rPr>
              <w:t>号）相符性分析</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与《新环攻坚办〔2023〕66号》对比分析一览表</w:t>
            </w:r>
          </w:p>
          <w:tbl>
            <w:tblPr>
              <w:tblStyle w:val="21"/>
              <w:tblW w:w="499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1"/>
              <w:gridCol w:w="3449"/>
              <w:gridCol w:w="1848"/>
              <w:gridCol w:w="8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4" w:type="pct"/>
                  <w:gridSpan w:val="2"/>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与本项目有关的内容</w:t>
                  </w:r>
                </w:p>
              </w:tc>
              <w:tc>
                <w:tcPr>
                  <w:tcW w:w="1362"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本项目情况</w:t>
                  </w:r>
                </w:p>
              </w:tc>
              <w:tc>
                <w:tcPr>
                  <w:tcW w:w="592"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对照情况说明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dxa"/>
                  <w:noWrap w:val="0"/>
                  <w:vAlign w:val="center"/>
                </w:tcPr>
                <w:p>
                  <w:pPr>
                    <w:pStyle w:val="57"/>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highlight w:val="green"/>
                    </w:rPr>
                  </w:pPr>
                  <w:r>
                    <w:rPr>
                      <w:rFonts w:hint="default" w:ascii="Times New Roman" w:hAnsi="Times New Roman" w:cs="Times New Roman"/>
                      <w:color w:val="auto"/>
                      <w:sz w:val="18"/>
                      <w:szCs w:val="18"/>
                      <w:highlight w:val="none"/>
                    </w:rPr>
                    <w:t>（六）开展污水资源化利用</w:t>
                  </w:r>
                </w:p>
              </w:tc>
              <w:tc>
                <w:tcPr>
                  <w:tcW w:w="3449" w:type="dxa"/>
                  <w:noWrap w:val="0"/>
                  <w:vAlign w:val="center"/>
                </w:tcPr>
                <w:p>
                  <w:pPr>
                    <w:pStyle w:val="57"/>
                    <w:keepNext w:val="0"/>
                    <w:keepLines w:val="0"/>
                    <w:pageBreakBefore w:val="0"/>
                    <w:widowControl/>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sz w:val="18"/>
                      <w:szCs w:val="18"/>
                      <w:highlight w:val="none"/>
                      <w:lang w:eastAsia="zh-CN"/>
                    </w:rPr>
                    <w:t>22.实施工业废水循环利用工程。推进企业、工业园区根据内部废水水质特点，围绕过程循环和回用，实施废水循环利用技术改造，完善废水循环利用装备和设施，促进企业间串联用水、分质用水、一水多用和梯级利用，提升企业水重复利用率。新建企业和园区要在规划布局时，统筹供排水、水处理及循环利用设施建设，推动企业间的用水系统集成优化。开展工业废水再生利用水质监测评价和用水管理，推动地方和重点用水企业搭建工业废水循环利用智慧管理平台。</w:t>
                  </w:r>
                </w:p>
              </w:tc>
              <w:tc>
                <w:tcPr>
                  <w:tcW w:w="1362" w:type="pct"/>
                  <w:noWrap w:val="0"/>
                  <w:vAlign w:val="center"/>
                </w:tcPr>
                <w:p>
                  <w:pPr>
                    <w:pStyle w:val="57"/>
                    <w:bidi w:val="0"/>
                    <w:jc w:val="both"/>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无生产废水产生，项目废水主要为生活污水，目前经自建一体化污水处理设施处理后，通过污水管网排入新乡市小尚庄污水处理厂进行进一步处理。待后期区域规划新乡市凤泉区污水处理厂建成后排入新乡市凤泉区污水处理厂处理。</w:t>
                  </w:r>
                </w:p>
              </w:tc>
              <w:tc>
                <w:tcPr>
                  <w:tcW w:w="592" w:type="pct"/>
                  <w:noWrap w:val="0"/>
                  <w:vAlign w:val="center"/>
                </w:tcPr>
                <w:p>
                  <w:pPr>
                    <w:pStyle w:val="57"/>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dxa"/>
                  <w:noWrap w:val="0"/>
                  <w:vAlign w:val="center"/>
                </w:tcPr>
                <w:p>
                  <w:pPr>
                    <w:pStyle w:val="57"/>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highlight w:val="green"/>
                    </w:rPr>
                  </w:pPr>
                  <w:r>
                    <w:rPr>
                      <w:rFonts w:hint="default" w:ascii="Times New Roman" w:hAnsi="Times New Roman" w:cs="Times New Roman"/>
                      <w:color w:val="auto"/>
                      <w:sz w:val="18"/>
                      <w:szCs w:val="18"/>
                      <w:highlight w:val="none"/>
                    </w:rPr>
                    <w:t>（七）统筹做好其他水生态环境保护工作</w:t>
                  </w:r>
                </w:p>
              </w:tc>
              <w:tc>
                <w:tcPr>
                  <w:tcW w:w="3449" w:type="dxa"/>
                  <w:noWrap w:val="0"/>
                  <w:vAlign w:val="center"/>
                </w:tcPr>
                <w:p>
                  <w:pPr>
                    <w:pStyle w:val="57"/>
                    <w:keepNext w:val="0"/>
                    <w:keepLines w:val="0"/>
                    <w:pageBreakBefore w:val="0"/>
                    <w:widowControl/>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sz w:val="18"/>
                      <w:szCs w:val="18"/>
                      <w:highlight w:val="none"/>
                      <w:lang w:eastAsia="zh-CN"/>
                    </w:rPr>
                    <w:t>24. 推动企业绿色转型发展。严格落实环境准入，落实“三线一单”生态环境分区管控体系，构建以“三线一单”为空间管控基础、环境影响评价为环境准入把关、排污许可为企业运行守法依据的生态环境管理框架。在造纸、焦化、氮肥、农副食品加工、皮革、印染、有色、原料药制造、电镀等重点水污染物排放行业，深入推进清洁生产审核，推动清洁生产改造，减少单位产品耗水量和单位产品排污量，促进企业废水厂内回用。</w:t>
                  </w:r>
                </w:p>
              </w:tc>
              <w:tc>
                <w:tcPr>
                  <w:tcW w:w="1362" w:type="pct"/>
                  <w:noWrap w:val="0"/>
                  <w:vAlign w:val="center"/>
                </w:tcPr>
                <w:p>
                  <w:pPr>
                    <w:pStyle w:val="57"/>
                    <w:bidi w:val="0"/>
                    <w:jc w:val="both"/>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本项目无生产废水产生，项目废水主要为生活污水，项目属于锂离子电池制造，不属于</w:t>
                  </w:r>
                  <w:r>
                    <w:rPr>
                      <w:rFonts w:hint="default" w:ascii="Times New Roman" w:hAnsi="Times New Roman" w:cs="Times New Roman"/>
                      <w:color w:val="auto"/>
                      <w:highlight w:val="none"/>
                      <w:lang w:eastAsia="zh-CN"/>
                    </w:rPr>
                    <w:t>造纸、氮肥、农副食品加工、皮革、印染、有色、原料药制造、电镀等重点水污染物排放行业</w:t>
                  </w:r>
                </w:p>
              </w:tc>
              <w:tc>
                <w:tcPr>
                  <w:tcW w:w="592" w:type="pct"/>
                  <w:noWrap w:val="0"/>
                  <w:vAlign w:val="center"/>
                </w:tcPr>
                <w:p>
                  <w:pPr>
                    <w:pStyle w:val="57"/>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不涉及</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cs="Times New Roman"/>
                <w:color w:val="auto"/>
                <w:highlight w:val="none"/>
                <w:lang w:val="en-US" w:eastAsia="zh-CN"/>
              </w:rPr>
            </w:pPr>
            <w:r>
              <w:rPr>
                <w:rFonts w:hint="eastAsia" w:cs="Times New Roman"/>
                <w:b w:val="0"/>
                <w:bCs w:val="0"/>
                <w:color w:val="auto"/>
                <w:szCs w:val="24"/>
                <w:highlight w:val="none"/>
                <w:u w:val="none"/>
                <w:lang w:val="en-US" w:eastAsia="zh-CN"/>
              </w:rPr>
              <w:t>由上表可知，本项目符合《新乡市2023年碧水保卫战实施方案》（新环攻坚办〔2023〕66号）相关要求。</w:t>
            </w:r>
          </w:p>
          <w:p>
            <w:pPr>
              <w:pStyle w:val="2"/>
              <w:keepNext/>
              <w:keepLines w:val="0"/>
              <w:pageBreakBefore w:val="0"/>
              <w:widowControl w:val="0"/>
              <w:numPr>
                <w:ilvl w:val="0"/>
                <w:numId w:val="0"/>
              </w:numPr>
              <w:kinsoku/>
              <w:wordWrap/>
              <w:overflowPunct w:val="0"/>
              <w:topLinePunct w:val="0"/>
              <w:autoSpaceDE/>
              <w:autoSpaceDN/>
              <w:bidi w:val="0"/>
              <w:adjustRightInd/>
              <w:snapToGrid w:val="0"/>
              <w:textAlignment w:val="auto"/>
              <w:rPr>
                <w:rFonts w:hint="default"/>
                <w:color w:val="auto"/>
                <w:lang w:val="en-US" w:eastAsia="zh-CN"/>
              </w:rPr>
            </w:pPr>
            <w:r>
              <w:rPr>
                <w:rFonts w:hint="eastAsia" w:cs="Times New Roman"/>
                <w:color w:val="auto"/>
                <w:highlight w:val="none"/>
                <w:lang w:val="en-US" w:eastAsia="zh-CN"/>
              </w:rPr>
              <w:t>7、</w:t>
            </w:r>
            <w:r>
              <w:rPr>
                <w:rFonts w:hint="default" w:ascii="Times New Roman" w:hAnsi="Times New Roman" w:cs="Times New Roman"/>
                <w:color w:val="auto"/>
                <w:highlight w:val="none"/>
                <w:lang w:val="en-US" w:eastAsia="zh-CN"/>
              </w:rPr>
              <w:t>与《</w:t>
            </w:r>
            <w:r>
              <w:rPr>
                <w:rFonts w:hint="eastAsia" w:cs="Times New Roman"/>
                <w:color w:val="auto"/>
                <w:highlight w:val="none"/>
                <w:lang w:val="en-US" w:eastAsia="zh-CN"/>
              </w:rPr>
              <w:t>新乡市</w:t>
            </w:r>
            <w:r>
              <w:rPr>
                <w:rFonts w:hint="default" w:ascii="Times New Roman" w:hAnsi="Times New Roman" w:cs="Times New Roman"/>
                <w:color w:val="auto"/>
                <w:highlight w:val="none"/>
                <w:lang w:val="en-US" w:eastAsia="zh-CN"/>
              </w:rPr>
              <w:t>2023年净土保卫战实施方案》（</w:t>
            </w:r>
            <w:r>
              <w:rPr>
                <w:rFonts w:hint="eastAsia" w:cs="Times New Roman"/>
                <w:color w:val="auto"/>
                <w:highlight w:val="none"/>
                <w:lang w:val="en-US" w:eastAsia="zh-CN"/>
              </w:rPr>
              <w:t>新环攻坚</w:t>
            </w:r>
            <w:r>
              <w:rPr>
                <w:rFonts w:hint="default" w:ascii="Times New Roman" w:hAnsi="Times New Roman" w:cs="Times New Roman"/>
                <w:color w:val="auto"/>
                <w:highlight w:val="none"/>
                <w:lang w:val="en-US" w:eastAsia="zh-CN"/>
              </w:rPr>
              <w:t>办〔2023〕</w:t>
            </w:r>
            <w:r>
              <w:rPr>
                <w:rFonts w:hint="eastAsia" w:cs="Times New Roman"/>
                <w:color w:val="auto"/>
                <w:highlight w:val="none"/>
                <w:lang w:val="en-US" w:eastAsia="zh-CN"/>
              </w:rPr>
              <w:t>65</w:t>
            </w:r>
            <w:r>
              <w:rPr>
                <w:rFonts w:hint="default" w:ascii="Times New Roman" w:hAnsi="Times New Roman" w:cs="Times New Roman"/>
                <w:color w:val="auto"/>
                <w:highlight w:val="none"/>
                <w:lang w:val="en-US" w:eastAsia="zh-CN"/>
              </w:rPr>
              <w:t>号）相符性分析</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与《新环攻坚办〔2023〕65号》对比分析一览表</w:t>
            </w:r>
          </w:p>
          <w:tbl>
            <w:tblPr>
              <w:tblStyle w:val="21"/>
              <w:tblW w:w="499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397"/>
              <w:gridCol w:w="1863"/>
              <w:gridCol w:w="8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23" w:type="pct"/>
                  <w:gridSpan w:val="2"/>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与本项目有关的内容</w:t>
                  </w:r>
                </w:p>
              </w:tc>
              <w:tc>
                <w:tcPr>
                  <w:tcW w:w="1373"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本项目情况</w:t>
                  </w:r>
                </w:p>
              </w:tc>
              <w:tc>
                <w:tcPr>
                  <w:tcW w:w="603"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对照情况说明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9" w:type="pct"/>
                  <w:noWrap w:val="0"/>
                  <w:vAlign w:val="center"/>
                </w:tcPr>
                <w:p>
                  <w:pPr>
                    <w:pStyle w:val="57"/>
                    <w:bidi w:val="0"/>
                    <w:rPr>
                      <w:rFonts w:hint="default" w:ascii="Times New Roman" w:hAnsi="Times New Roman" w:cs="Times New Roman"/>
                      <w:color w:val="auto"/>
                      <w:highlight w:val="green"/>
                    </w:rPr>
                  </w:pPr>
                  <w:r>
                    <w:rPr>
                      <w:rFonts w:hint="default" w:ascii="Times New Roman" w:hAnsi="Times New Roman" w:cs="Times New Roman"/>
                      <w:color w:val="auto"/>
                      <w:highlight w:val="none"/>
                    </w:rPr>
                    <w:t>（一）</w:t>
                  </w:r>
                  <w:r>
                    <w:rPr>
                      <w:rFonts w:hint="eastAsia" w:ascii="Times New Roman" w:hAnsi="Times New Roman" w:cs="Times New Roman"/>
                      <w:color w:val="auto"/>
                      <w:highlight w:val="none"/>
                      <w:lang w:eastAsia="zh-CN"/>
                    </w:rPr>
                    <w:t>推进</w:t>
                  </w:r>
                  <w:r>
                    <w:rPr>
                      <w:rFonts w:hint="default" w:ascii="Times New Roman" w:hAnsi="Times New Roman" w:cs="Times New Roman"/>
                      <w:color w:val="auto"/>
                      <w:highlight w:val="none"/>
                    </w:rPr>
                    <w:t>土壤污染风险管控</w:t>
                  </w:r>
                </w:p>
              </w:tc>
              <w:tc>
                <w:tcPr>
                  <w:tcW w:w="2504" w:type="pct"/>
                  <w:noWrap w:val="0"/>
                  <w:vAlign w:val="center"/>
                </w:tcPr>
                <w:p>
                  <w:pPr>
                    <w:pStyle w:val="57"/>
                    <w:bidi w:val="0"/>
                    <w:jc w:val="both"/>
                    <w:rPr>
                      <w:rFonts w:hint="default" w:ascii="Times New Roman" w:hAnsi="Times New Roman" w:cs="Times New Roman"/>
                      <w:color w:val="auto"/>
                      <w:highlight w:val="none"/>
                      <w:lang w:eastAsia="zh-CN"/>
                    </w:rPr>
                  </w:pP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lang w:eastAsia="zh-CN"/>
                    </w:rPr>
                    <w:t>.全面加强固体废物监管。持续开展危险废物排查整治，全面提升危险废物环境监管、利用处置和环境风险防范“三个能力”，推动危险废物监管和利用处置能力改革工作。动态更新涉危险废物企业“四个清单”，有序推进固废监管信息化建设，强化危险废物源头管控和收集转运等过程监管。持续开展小微企业危险废物收集和废铅酸蓄电池收集转运试点工作。</w:t>
                  </w:r>
                </w:p>
              </w:tc>
              <w:tc>
                <w:tcPr>
                  <w:tcW w:w="1373" w:type="pct"/>
                  <w:noWrap w:val="0"/>
                  <w:vAlign w:val="center"/>
                </w:tcPr>
                <w:p>
                  <w:pPr>
                    <w:pStyle w:val="57"/>
                    <w:bidi w:val="0"/>
                    <w:jc w:val="both"/>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本项目属于锂电子电池制造，项目生产过程中产生的危险废物按要求收集后暂存于危废暂存间，定期委托有资质的单位安全处置。</w:t>
                  </w:r>
                </w:p>
              </w:tc>
              <w:tc>
                <w:tcPr>
                  <w:tcW w:w="603" w:type="pct"/>
                  <w:noWrap w:val="0"/>
                  <w:vAlign w:val="center"/>
                </w:tcPr>
                <w:p>
                  <w:pPr>
                    <w:pStyle w:val="57"/>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符合</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cs="Times New Roman"/>
                <w:color w:val="auto"/>
                <w:highlight w:val="none"/>
                <w:lang w:val="en-US" w:eastAsia="zh-CN"/>
              </w:rPr>
            </w:pPr>
            <w:r>
              <w:rPr>
                <w:rFonts w:hint="eastAsia" w:cs="Times New Roman"/>
                <w:b w:val="0"/>
                <w:bCs w:val="0"/>
                <w:color w:val="auto"/>
                <w:szCs w:val="24"/>
                <w:highlight w:val="none"/>
                <w:u w:val="none"/>
                <w:lang w:val="en-US" w:eastAsia="zh-CN"/>
              </w:rPr>
              <w:t>由上表可知，本项目符合《新乡市2023年净土保卫战实施方案》（新环攻坚办〔2023〕65号）相关要求。</w:t>
            </w:r>
          </w:p>
          <w:p>
            <w:pPr>
              <w:pStyle w:val="2"/>
              <w:keepNext/>
              <w:keepLines w:val="0"/>
              <w:pageBreakBefore w:val="0"/>
              <w:widowControl w:val="0"/>
              <w:numPr>
                <w:ilvl w:val="0"/>
                <w:numId w:val="0"/>
              </w:numPr>
              <w:kinsoku/>
              <w:wordWrap/>
              <w:overflowPunct w:val="0"/>
              <w:topLinePunct w:val="0"/>
              <w:autoSpaceDE/>
              <w:autoSpaceDN/>
              <w:bidi w:val="0"/>
              <w:adjustRightInd/>
              <w:snapToGrid w:val="0"/>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8、</w:t>
            </w:r>
            <w:r>
              <w:rPr>
                <w:rFonts w:hint="default" w:ascii="Times New Roman" w:hAnsi="Times New Roman" w:cs="Times New Roman"/>
                <w:color w:val="auto"/>
                <w:highlight w:val="none"/>
                <w:lang w:val="en-US" w:eastAsia="zh-CN"/>
              </w:rPr>
              <w:t>与《河南省重污染天气重点行业应急减排措施制定技术指南》（2021修订版）</w:t>
            </w:r>
            <w:r>
              <w:rPr>
                <w:rFonts w:hint="eastAsia" w:cs="Times New Roman"/>
                <w:color w:val="auto"/>
                <w:highlight w:val="none"/>
                <w:lang w:val="en-US" w:eastAsia="zh-CN"/>
              </w:rPr>
              <w:t>对照分析</w:t>
            </w:r>
          </w:p>
          <w:p>
            <w:pPr>
              <w:pStyle w:val="27"/>
              <w:keepNext w:val="0"/>
              <w:keepLines w:val="0"/>
              <w:pageBreakBefore w:val="0"/>
              <w:widowControl w:val="0"/>
              <w:numPr>
                <w:ilvl w:val="0"/>
                <w:numId w:val="0"/>
              </w:numPr>
              <w:kinsoku/>
              <w:wordWrap/>
              <w:overflowPunct/>
              <w:topLinePunct w:val="0"/>
              <w:bidi w:val="0"/>
              <w:adjustRightInd/>
              <w:snapToGrid/>
              <w:spacing w:line="360" w:lineRule="auto"/>
              <w:ind w:firstLine="420" w:firstLineChars="200"/>
              <w:jc w:val="both"/>
              <w:textAlignment w:val="auto"/>
              <w:rPr>
                <w:rFonts w:hint="default"/>
                <w:color w:val="auto"/>
                <w:highlight w:val="none"/>
                <w:lang w:val="en-US" w:eastAsia="zh-CN"/>
              </w:rPr>
            </w:pPr>
            <w:r>
              <w:rPr>
                <w:rFonts w:hint="eastAsia" w:ascii="Times New Roman" w:eastAsia="宋体" w:cs="Times New Roman"/>
                <w:color w:val="auto"/>
                <w:kern w:val="2"/>
                <w:sz w:val="21"/>
                <w:szCs w:val="24"/>
                <w:highlight w:val="none"/>
                <w:lang w:val="en-US" w:eastAsia="zh-CN" w:bidi="ar-SA"/>
              </w:rPr>
              <w:t>本项目属于锂离子电池制造项目</w:t>
            </w:r>
            <w:r>
              <w:rPr>
                <w:rFonts w:hint="default" w:ascii="Times New Roman" w:hAnsi="Times New Roman" w:eastAsia="宋体" w:cs="Times New Roman"/>
                <w:color w:val="auto"/>
                <w:kern w:val="2"/>
                <w:sz w:val="21"/>
                <w:szCs w:val="24"/>
                <w:highlight w:val="none"/>
                <w:lang w:val="en-US" w:eastAsia="zh-CN" w:bidi="ar-SA"/>
              </w:rPr>
              <w:t>，经查</w:t>
            </w:r>
            <w:r>
              <w:rPr>
                <w:rFonts w:hint="default" w:ascii="Times New Roman" w:eastAsia="宋体" w:cs="Times New Roman"/>
                <w:color w:val="auto"/>
                <w:kern w:val="2"/>
                <w:sz w:val="21"/>
                <w:szCs w:val="24"/>
                <w:highlight w:val="none"/>
                <w:lang w:val="en-US" w:eastAsia="zh-CN" w:bidi="ar-SA"/>
              </w:rPr>
              <w:t>阅</w:t>
            </w:r>
            <w:r>
              <w:rPr>
                <w:rFonts w:hint="eastAsia" w:ascii="Times New Roman" w:eastAsia="宋体" w:cs="Times New Roman"/>
                <w:color w:val="auto"/>
                <w:kern w:val="2"/>
                <w:sz w:val="21"/>
                <w:szCs w:val="24"/>
                <w:highlight w:val="none"/>
                <w:lang w:val="en-US" w:eastAsia="zh-CN" w:bidi="ar-SA"/>
              </w:rPr>
              <w:t>《河南省重污染天气重点行业应急减排措施制定技术指南》（2021修订版）</w:t>
            </w:r>
            <w:r>
              <w:rPr>
                <w:rFonts w:hint="default" w:ascii="Times New Roman" w:eastAsia="宋体" w:cs="Times New Roman"/>
                <w:color w:val="auto"/>
                <w:kern w:val="2"/>
                <w:sz w:val="21"/>
                <w:szCs w:val="24"/>
                <w:highlight w:val="none"/>
                <w:lang w:val="en-US" w:eastAsia="zh-CN" w:bidi="ar-SA"/>
              </w:rPr>
              <w:t>，</w:t>
            </w:r>
            <w:r>
              <w:rPr>
                <w:rFonts w:hint="eastAsia" w:ascii="Times New Roman" w:eastAsia="宋体" w:cs="Times New Roman"/>
                <w:color w:val="auto"/>
                <w:kern w:val="2"/>
                <w:sz w:val="21"/>
                <w:szCs w:val="24"/>
                <w:highlight w:val="none"/>
                <w:lang w:val="en-US" w:eastAsia="zh-CN" w:bidi="ar-SA"/>
              </w:rPr>
              <w:t>属于</w:t>
            </w:r>
            <w:r>
              <w:rPr>
                <w:rFonts w:hint="default" w:ascii="Times New Roman" w:hAnsi="Times New Roman" w:eastAsia="宋体" w:cs="Times New Roman"/>
                <w:color w:val="auto"/>
                <w:kern w:val="2"/>
                <w:sz w:val="21"/>
                <w:szCs w:val="24"/>
                <w:highlight w:val="none"/>
                <w:lang w:val="en-US" w:eastAsia="zh-CN" w:bidi="ar-SA"/>
              </w:rPr>
              <w:t>“</w:t>
            </w:r>
            <w:r>
              <w:rPr>
                <w:rFonts w:hint="eastAsia" w:ascii="Times New Roman" w:eastAsia="宋体" w:cs="Times New Roman"/>
                <w:color w:val="auto"/>
                <w:kern w:val="2"/>
                <w:sz w:val="21"/>
                <w:szCs w:val="24"/>
                <w:highlight w:val="none"/>
                <w:lang w:val="en-US" w:eastAsia="zh-CN" w:bidi="ar-SA"/>
              </w:rPr>
              <w:t>十</w:t>
            </w:r>
            <w:r>
              <w:rPr>
                <w:rFonts w:hint="default" w:ascii="Times New Roman" w:hAnsi="Times New Roman" w:eastAsia="宋体" w:cs="Times New Roman"/>
                <w:color w:val="auto"/>
                <w:kern w:val="2"/>
                <w:sz w:val="21"/>
                <w:szCs w:val="24"/>
                <w:highlight w:val="none"/>
                <w:lang w:val="en-US" w:eastAsia="zh-CN" w:bidi="ar-SA"/>
              </w:rPr>
              <w:t>、</w:t>
            </w:r>
            <w:r>
              <w:rPr>
                <w:rFonts w:hint="eastAsia" w:ascii="Times New Roman" w:eastAsia="宋体" w:cs="Times New Roman"/>
                <w:color w:val="auto"/>
                <w:kern w:val="2"/>
                <w:sz w:val="21"/>
                <w:szCs w:val="24"/>
                <w:highlight w:val="none"/>
                <w:lang w:val="en-US" w:eastAsia="zh-CN" w:bidi="ar-SA"/>
              </w:rPr>
              <w:t>电池制造</w:t>
            </w:r>
            <w:r>
              <w:rPr>
                <w:rFonts w:hint="default" w:ascii="Times New Roman" w:hAnsi="Times New Roman" w:eastAsia="宋体" w:cs="Times New Roman"/>
                <w:color w:val="auto"/>
                <w:kern w:val="2"/>
                <w:sz w:val="21"/>
                <w:szCs w:val="24"/>
                <w:highlight w:val="none"/>
                <w:lang w:val="en-US" w:eastAsia="zh-CN" w:bidi="ar-SA"/>
              </w:rPr>
              <w:t>”类项目，本次按照文件中“表</w:t>
            </w:r>
            <w:r>
              <w:rPr>
                <w:rFonts w:hint="eastAsia" w:ascii="Times New Roman" w:eastAsia="宋体" w:cs="Times New Roman"/>
                <w:color w:val="auto"/>
                <w:kern w:val="2"/>
                <w:sz w:val="21"/>
                <w:szCs w:val="24"/>
                <w:highlight w:val="none"/>
                <w:lang w:val="en-US" w:eastAsia="zh-CN" w:bidi="ar-SA"/>
              </w:rPr>
              <w:t>10</w:t>
            </w:r>
            <w:r>
              <w:rPr>
                <w:rFonts w:hint="default" w:ascii="Times New Roman" w:hAnsi="Times New Roman" w:eastAsia="宋体" w:cs="Times New Roman"/>
                <w:color w:val="auto"/>
                <w:kern w:val="2"/>
                <w:sz w:val="21"/>
                <w:szCs w:val="24"/>
                <w:highlight w:val="none"/>
                <w:lang w:val="en-US" w:eastAsia="zh-CN" w:bidi="ar-SA"/>
              </w:rPr>
              <w:t>-</w:t>
            </w:r>
            <w:r>
              <w:rPr>
                <w:rFonts w:hint="eastAsia" w:ascii="Times New Roman" w:eastAsia="宋体" w:cs="Times New Roman"/>
                <w:color w:val="auto"/>
                <w:kern w:val="2"/>
                <w:sz w:val="21"/>
                <w:szCs w:val="24"/>
                <w:highlight w:val="none"/>
                <w:lang w:val="en-US" w:eastAsia="zh-CN" w:bidi="ar-SA"/>
              </w:rPr>
              <w:t>1</w:t>
            </w:r>
            <w:r>
              <w:rPr>
                <w:rFonts w:hint="default" w:ascii="Times New Roman" w:hAnsi="Times New Roman" w:eastAsia="宋体" w:cs="Times New Roman"/>
                <w:color w:val="auto"/>
                <w:kern w:val="2"/>
                <w:sz w:val="21"/>
                <w:szCs w:val="24"/>
                <w:highlight w:val="none"/>
                <w:lang w:val="en-US" w:eastAsia="zh-CN" w:bidi="ar-SA"/>
              </w:rPr>
              <w:t xml:space="preserve"> </w:t>
            </w:r>
            <w:r>
              <w:rPr>
                <w:rFonts w:hint="eastAsia" w:ascii="Times New Roman" w:eastAsia="宋体" w:cs="Times New Roman"/>
                <w:color w:val="auto"/>
                <w:kern w:val="2"/>
                <w:sz w:val="21"/>
                <w:szCs w:val="24"/>
                <w:highlight w:val="none"/>
                <w:lang w:val="en-US" w:eastAsia="zh-CN" w:bidi="ar-SA"/>
              </w:rPr>
              <w:t>电池制造企业绩效分级指标</w:t>
            </w:r>
            <w:r>
              <w:rPr>
                <w:rFonts w:hint="default" w:ascii="Times New Roman" w:hAnsi="Times New Roman" w:eastAsia="宋体" w:cs="Times New Roman"/>
                <w:color w:val="auto"/>
                <w:kern w:val="2"/>
                <w:sz w:val="21"/>
                <w:szCs w:val="24"/>
                <w:highlight w:val="none"/>
                <w:lang w:val="en-US" w:eastAsia="zh-CN" w:bidi="ar-SA"/>
              </w:rPr>
              <w:t>”中“</w:t>
            </w:r>
            <w:r>
              <w:rPr>
                <w:rFonts w:hint="eastAsia" w:ascii="Times New Roman" w:eastAsia="宋体" w:cs="Times New Roman"/>
                <w:color w:val="auto"/>
                <w:kern w:val="2"/>
                <w:sz w:val="21"/>
                <w:szCs w:val="24"/>
                <w:highlight w:val="none"/>
                <w:lang w:val="en-US" w:eastAsia="zh-CN" w:bidi="ar-SA"/>
              </w:rPr>
              <w:t>A</w:t>
            </w:r>
            <w:r>
              <w:rPr>
                <w:rFonts w:hint="default" w:ascii="Times New Roman" w:hAnsi="Times New Roman" w:eastAsia="宋体" w:cs="Times New Roman"/>
                <w:color w:val="auto"/>
                <w:kern w:val="2"/>
                <w:sz w:val="21"/>
                <w:szCs w:val="24"/>
                <w:highlight w:val="none"/>
                <w:lang w:val="en-US" w:eastAsia="zh-CN" w:bidi="ar-SA"/>
              </w:rPr>
              <w:t>级企业”对应指标进行对照分析。</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与《河南省重污染天气重点行业应急减排措施制定技术指南》对比分析一览表</w:t>
            </w:r>
          </w:p>
          <w:tbl>
            <w:tblPr>
              <w:tblStyle w:val="21"/>
              <w:tblW w:w="68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61"/>
              <w:gridCol w:w="465"/>
              <w:gridCol w:w="3002"/>
              <w:gridCol w:w="1988"/>
              <w:gridCol w:w="83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938" w:type="pct"/>
                  <w:gridSpan w:val="3"/>
                  <w:tcBorders>
                    <w:tl2br w:val="nil"/>
                    <w:tr2bl w:val="nil"/>
                  </w:tcBorders>
                  <w:vAlign w:val="center"/>
                </w:tcPr>
                <w:p>
                  <w:pPr>
                    <w:pStyle w:val="69"/>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cs="Times New Roman"/>
                      <w:b w:val="0"/>
                      <w:bCs/>
                      <w:color w:val="auto"/>
                      <w:sz w:val="18"/>
                      <w:szCs w:val="18"/>
                      <w:highlight w:val="none"/>
                    </w:rPr>
                  </w:pPr>
                  <w:r>
                    <w:rPr>
                      <w:rFonts w:cs="Times New Roman"/>
                      <w:b w:val="0"/>
                      <w:bCs/>
                      <w:color w:val="auto"/>
                      <w:sz w:val="18"/>
                      <w:szCs w:val="18"/>
                      <w:highlight w:val="none"/>
                    </w:rPr>
                    <w:t>A</w:t>
                  </w:r>
                  <w:r>
                    <w:rPr>
                      <w:rFonts w:hint="eastAsia" w:cs="Times New Roman"/>
                      <w:b w:val="0"/>
                      <w:bCs/>
                      <w:color w:val="auto"/>
                      <w:sz w:val="18"/>
                      <w:szCs w:val="18"/>
                      <w:highlight w:val="none"/>
                    </w:rPr>
                    <w:t>级企业</w:t>
                  </w:r>
                </w:p>
              </w:tc>
              <w:tc>
                <w:tcPr>
                  <w:tcW w:w="1450" w:type="pct"/>
                  <w:tcBorders>
                    <w:tl2br w:val="nil"/>
                    <w:tr2bl w:val="nil"/>
                  </w:tcBorders>
                  <w:vAlign w:val="center"/>
                </w:tcPr>
                <w:p>
                  <w:pPr>
                    <w:pStyle w:val="69"/>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cs="Times New Roman"/>
                      <w:b w:val="0"/>
                      <w:bCs/>
                      <w:color w:val="auto"/>
                      <w:sz w:val="18"/>
                      <w:szCs w:val="18"/>
                      <w:highlight w:val="none"/>
                    </w:rPr>
                  </w:pPr>
                  <w:r>
                    <w:rPr>
                      <w:rFonts w:cs="Times New Roman"/>
                      <w:b w:val="0"/>
                      <w:bCs/>
                      <w:color w:val="auto"/>
                      <w:sz w:val="18"/>
                      <w:szCs w:val="18"/>
                      <w:highlight w:val="none"/>
                    </w:rPr>
                    <w:t>本项目拟建设情况</w:t>
                  </w:r>
                </w:p>
              </w:tc>
              <w:tc>
                <w:tcPr>
                  <w:tcW w:w="611" w:type="pct"/>
                  <w:tcBorders>
                    <w:tl2br w:val="nil"/>
                    <w:tr2bl w:val="nil"/>
                  </w:tcBorders>
                  <w:vAlign w:val="center"/>
                </w:tcPr>
                <w:p>
                  <w:pPr>
                    <w:pStyle w:val="69"/>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能源类型</w:t>
                  </w:r>
                </w:p>
              </w:tc>
              <w:tc>
                <w:tcPr>
                  <w:tcW w:w="2529" w:type="pct"/>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使用天然气、电等能源。</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本项目</w:t>
                  </w:r>
                  <w:r>
                    <w:rPr>
                      <w:rFonts w:hint="eastAsia" w:cs="Times New Roman"/>
                      <w:b w:val="0"/>
                      <w:bCs/>
                      <w:color w:val="auto"/>
                      <w:sz w:val="18"/>
                      <w:szCs w:val="18"/>
                      <w:highlight w:val="none"/>
                      <w:lang w:eastAsia="zh-CN"/>
                    </w:rPr>
                    <w:t>均</w:t>
                  </w:r>
                  <w:r>
                    <w:rPr>
                      <w:rFonts w:hint="eastAsia" w:ascii="Times New Roman" w:hAnsi="Times New Roman" w:cs="Times New Roman"/>
                      <w:b w:val="0"/>
                      <w:bCs/>
                      <w:color w:val="auto"/>
                      <w:sz w:val="18"/>
                      <w:szCs w:val="18"/>
                      <w:highlight w:val="none"/>
                    </w:rPr>
                    <w:t>以电为能源。</w:t>
                  </w:r>
                </w:p>
              </w:tc>
              <w:tc>
                <w:tcPr>
                  <w:tcW w:w="611" w:type="pc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eastAsia="宋体"/>
                      <w:b w:val="0"/>
                      <w:bCs/>
                      <w:color w:val="auto"/>
                      <w:sz w:val="18"/>
                      <w:szCs w:val="18"/>
                      <w:highlight w:val="none"/>
                      <w:lang w:eastAsia="zh-CN"/>
                    </w:rPr>
                  </w:pPr>
                  <w:r>
                    <w:rPr>
                      <w:rFonts w:hint="eastAsia"/>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生产工艺及装备水平</w:t>
                  </w:r>
                </w:p>
              </w:tc>
              <w:tc>
                <w:tcPr>
                  <w:tcW w:w="2529" w:type="pct"/>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1</w:t>
                  </w:r>
                  <w:r>
                    <w:rPr>
                      <w:rFonts w:hint="eastAsia" w:ascii="Times New Roman" w:hAnsi="Times New Roman" w:cs="Times New Roman"/>
                      <w:b w:val="0"/>
                      <w:bCs/>
                      <w:color w:val="auto"/>
                      <w:sz w:val="18"/>
                      <w:szCs w:val="18"/>
                      <w:highlight w:val="none"/>
                    </w:rPr>
                    <w:t>.属于《产业结构调整指导目录（</w:t>
                  </w:r>
                  <w:r>
                    <w:rPr>
                      <w:rFonts w:ascii="Times New Roman" w:hAnsi="Times New Roman" w:cs="Times New Roman"/>
                      <w:b w:val="0"/>
                      <w:bCs/>
                      <w:color w:val="auto"/>
                      <w:sz w:val="18"/>
                      <w:szCs w:val="18"/>
                      <w:highlight w:val="none"/>
                    </w:rPr>
                    <w:t>2019</w:t>
                  </w:r>
                  <w:r>
                    <w:rPr>
                      <w:rFonts w:hint="eastAsia" w:ascii="Times New Roman" w:hAnsi="Times New Roman" w:cs="Times New Roman"/>
                      <w:b w:val="0"/>
                      <w:bCs/>
                      <w:color w:val="auto"/>
                      <w:sz w:val="18"/>
                      <w:szCs w:val="18"/>
                      <w:highlight w:val="none"/>
                    </w:rPr>
                    <w:t>年版）》鼓励类和允许类；</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本项目属于《产业结构调整指导目录（</w:t>
                  </w:r>
                  <w:r>
                    <w:rPr>
                      <w:rFonts w:ascii="Times New Roman" w:hAnsi="Times New Roman" w:cs="Times New Roman"/>
                      <w:b w:val="0"/>
                      <w:bCs/>
                      <w:color w:val="auto"/>
                      <w:sz w:val="18"/>
                      <w:szCs w:val="18"/>
                      <w:highlight w:val="none"/>
                    </w:rPr>
                    <w:t>2019</w:t>
                  </w:r>
                  <w:r>
                    <w:rPr>
                      <w:rFonts w:hint="eastAsia" w:ascii="Times New Roman" w:hAnsi="Times New Roman" w:cs="Times New Roman"/>
                      <w:b w:val="0"/>
                      <w:bCs/>
                      <w:color w:val="auto"/>
                      <w:sz w:val="18"/>
                      <w:szCs w:val="18"/>
                      <w:highlight w:val="none"/>
                    </w:rPr>
                    <w:t>年本）鼓励类；</w:t>
                  </w:r>
                </w:p>
              </w:tc>
              <w:tc>
                <w:tcPr>
                  <w:tcW w:w="611" w:type="pc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eastAsia="宋体"/>
                      <w:b w:val="0"/>
                      <w:bCs/>
                      <w:color w:val="auto"/>
                      <w:sz w:val="18"/>
                      <w:szCs w:val="18"/>
                      <w:highlight w:val="none"/>
                      <w:lang w:eastAsia="zh-CN"/>
                    </w:rPr>
                  </w:pPr>
                  <w:r>
                    <w:rPr>
                      <w:rFonts w:hint="eastAsia"/>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p>
              </w:tc>
              <w:tc>
                <w:tcPr>
                  <w:tcW w:w="2529" w:type="pct"/>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2.</w:t>
                  </w:r>
                  <w:r>
                    <w:rPr>
                      <w:rFonts w:hint="eastAsia" w:ascii="Times New Roman" w:hAnsi="Times New Roman" w:cs="Times New Roman"/>
                      <w:b w:val="0"/>
                      <w:bCs/>
                      <w:color w:val="auto"/>
                      <w:sz w:val="18"/>
                      <w:szCs w:val="18"/>
                      <w:highlight w:val="none"/>
                    </w:rPr>
                    <w:t>符合相关行业产业政策；</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本项目符合相关行业产业政策；</w:t>
                  </w:r>
                </w:p>
              </w:tc>
              <w:tc>
                <w:tcPr>
                  <w:tcW w:w="611" w:type="pc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r>
                    <w:rPr>
                      <w:rFonts w:hint="eastAsia"/>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s="Times New Roman"/>
                      <w:b w:val="0"/>
                      <w:bCs/>
                      <w:color w:val="auto"/>
                      <w:sz w:val="18"/>
                      <w:szCs w:val="18"/>
                      <w:highlight w:val="none"/>
                    </w:rPr>
                  </w:pPr>
                </w:p>
              </w:tc>
              <w:tc>
                <w:tcPr>
                  <w:tcW w:w="2529" w:type="pct"/>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3.</w:t>
                  </w:r>
                  <w:r>
                    <w:rPr>
                      <w:rFonts w:hint="eastAsia" w:ascii="Times New Roman" w:hAnsi="Times New Roman" w:cs="Times New Roman"/>
                      <w:b w:val="0"/>
                      <w:bCs/>
                      <w:color w:val="auto"/>
                      <w:sz w:val="18"/>
                      <w:szCs w:val="18"/>
                      <w:highlight w:val="none"/>
                    </w:rPr>
                    <w:t>符合河南省相关政策要求；</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本项目符合《新乡市</w:t>
                  </w:r>
                  <w:r>
                    <w:rPr>
                      <w:rFonts w:hint="eastAsia" w:ascii="Times New Roman" w:hAnsi="Times New Roman" w:cs="Times New Roman"/>
                      <w:b w:val="0"/>
                      <w:bCs/>
                      <w:color w:val="auto"/>
                      <w:sz w:val="18"/>
                      <w:szCs w:val="18"/>
                      <w:highlight w:val="none"/>
                    </w:rPr>
                    <w:t>“</w:t>
                  </w:r>
                  <w:r>
                    <w:rPr>
                      <w:rFonts w:ascii="Times New Roman" w:hAnsi="Times New Roman" w:cs="Times New Roman"/>
                      <w:b w:val="0"/>
                      <w:bCs/>
                      <w:color w:val="auto"/>
                      <w:sz w:val="18"/>
                      <w:szCs w:val="18"/>
                      <w:highlight w:val="none"/>
                    </w:rPr>
                    <w:t>三线一单</w:t>
                  </w:r>
                  <w:r>
                    <w:rPr>
                      <w:rFonts w:hint="eastAsia" w:ascii="Times New Roman" w:hAnsi="Times New Roman" w:cs="Times New Roman"/>
                      <w:b w:val="0"/>
                      <w:bCs/>
                      <w:color w:val="auto"/>
                      <w:sz w:val="18"/>
                      <w:szCs w:val="18"/>
                      <w:highlight w:val="none"/>
                    </w:rPr>
                    <w:t>”</w:t>
                  </w:r>
                  <w:r>
                    <w:rPr>
                      <w:rFonts w:ascii="Times New Roman" w:hAnsi="Times New Roman" w:cs="Times New Roman"/>
                      <w:b w:val="0"/>
                      <w:bCs/>
                      <w:color w:val="auto"/>
                      <w:sz w:val="18"/>
                      <w:szCs w:val="18"/>
                      <w:highlight w:val="none"/>
                    </w:rPr>
                    <w:t>生态环境准入清单（试行）-</w:t>
                  </w:r>
                  <w:r>
                    <w:rPr>
                      <w:rFonts w:hint="eastAsia" w:ascii="Times New Roman" w:hAnsi="Times New Roman" w:cs="Times New Roman"/>
                      <w:b w:val="0"/>
                      <w:bCs/>
                      <w:color w:val="auto"/>
                      <w:sz w:val="18"/>
                      <w:szCs w:val="18"/>
                      <w:highlight w:val="none"/>
                    </w:rPr>
                    <w:t>新乡市凤泉区大块镇</w:t>
                  </w:r>
                  <w:r>
                    <w:rPr>
                      <w:rFonts w:ascii="Times New Roman" w:hAnsi="Times New Roman" w:cs="Times New Roman"/>
                      <w:b w:val="0"/>
                      <w:bCs/>
                      <w:color w:val="auto"/>
                      <w:sz w:val="18"/>
                      <w:szCs w:val="18"/>
                      <w:highlight w:val="none"/>
                    </w:rPr>
                    <w:t>环境管控单元生态环境准入清单》等相关政策要求；</w:t>
                  </w:r>
                </w:p>
              </w:tc>
              <w:tc>
                <w:tcPr>
                  <w:tcW w:w="611" w:type="pc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r>
                    <w:rPr>
                      <w:rFonts w:hint="eastAsia"/>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s="Times New Roman"/>
                      <w:b w:val="0"/>
                      <w:bCs/>
                      <w:color w:val="auto"/>
                      <w:sz w:val="18"/>
                      <w:szCs w:val="18"/>
                      <w:highlight w:val="green"/>
                    </w:rPr>
                  </w:pPr>
                </w:p>
              </w:tc>
              <w:tc>
                <w:tcPr>
                  <w:tcW w:w="2529" w:type="pct"/>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4.</w:t>
                  </w:r>
                  <w:r>
                    <w:rPr>
                      <w:rFonts w:hint="eastAsia" w:ascii="Times New Roman" w:hAnsi="Times New Roman" w:cs="Times New Roman"/>
                      <w:b w:val="0"/>
                      <w:bCs/>
                      <w:color w:val="auto"/>
                      <w:sz w:val="18"/>
                      <w:szCs w:val="18"/>
                      <w:highlight w:val="none"/>
                    </w:rPr>
                    <w:t>符合市级规划。</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hint="eastAsia" w:cs="Times New Roman"/>
                      <w:b w:val="0"/>
                      <w:bCs/>
                      <w:color w:val="auto"/>
                      <w:sz w:val="18"/>
                      <w:szCs w:val="18"/>
                      <w:highlight w:val="none"/>
                      <w:lang w:eastAsia="zh-CN"/>
                    </w:rPr>
                    <w:t>本项目位于新乡市新能源电池专业园区，符合新乡市新能源电池专业园区土地利用规划和产业布局规划要求</w:t>
                  </w:r>
                </w:p>
              </w:tc>
              <w:tc>
                <w:tcPr>
                  <w:tcW w:w="611" w:type="pc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r>
                    <w:rPr>
                      <w:rFonts w:hint="eastAsia"/>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s="Times New Roman"/>
                      <w:b w:val="0"/>
                      <w:bCs/>
                      <w:color w:val="auto"/>
                      <w:sz w:val="18"/>
                      <w:szCs w:val="18"/>
                      <w:highlight w:val="green"/>
                    </w:rPr>
                  </w:pPr>
                </w:p>
              </w:tc>
              <w:tc>
                <w:tcPr>
                  <w:tcW w:w="2529" w:type="pct"/>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5.</w:t>
                  </w:r>
                  <w:r>
                    <w:rPr>
                      <w:rFonts w:hint="eastAsia" w:ascii="Times New Roman" w:hAnsi="Times New Roman" w:cs="Times New Roman"/>
                      <w:b w:val="0"/>
                      <w:bCs/>
                      <w:color w:val="auto"/>
                      <w:sz w:val="18"/>
                      <w:szCs w:val="18"/>
                      <w:highlight w:val="none"/>
                    </w:rPr>
                    <w:t>锂电池生产企业投料采用自动计量负压真空投料，涂布、注液采用自动化设备，烘箱配备余热回收利用设施，采用真空注液系统，企业配备溶剂回收系统。</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green"/>
                    </w:rPr>
                  </w:pPr>
                  <w:r>
                    <w:rPr>
                      <w:rFonts w:hint="eastAsia" w:ascii="Times New Roman" w:hAnsi="Times New Roman" w:cs="Times New Roman"/>
                      <w:b w:val="0"/>
                      <w:bCs/>
                      <w:color w:val="auto"/>
                      <w:sz w:val="18"/>
                      <w:szCs w:val="18"/>
                      <w:highlight w:val="none"/>
                    </w:rPr>
                    <w:t>本项目锂电池生产不含正、负极材料的生产</w:t>
                  </w:r>
                  <w:r>
                    <w:rPr>
                      <w:rFonts w:hint="eastAsia" w:ascii="Times New Roman" w:hAnsi="Times New Roman" w:cs="Times New Roman"/>
                      <w:b w:val="0"/>
                      <w:bCs/>
                      <w:color w:val="auto"/>
                      <w:sz w:val="18"/>
                      <w:szCs w:val="18"/>
                      <w:highlight w:val="none"/>
                      <w:lang w:eastAsia="zh-CN"/>
                    </w:rPr>
                    <w:t>，无配料工序，生产过程中</w:t>
                  </w:r>
                  <w:r>
                    <w:rPr>
                      <w:rFonts w:hint="eastAsia" w:ascii="Times New Roman" w:hAnsi="Times New Roman" w:cs="Times New Roman"/>
                      <w:b w:val="0"/>
                      <w:bCs/>
                      <w:color w:val="auto"/>
                      <w:sz w:val="18"/>
                      <w:szCs w:val="18"/>
                      <w:highlight w:val="none"/>
                    </w:rPr>
                    <w:t>注液采用自动化</w:t>
                  </w:r>
                  <w:r>
                    <w:rPr>
                      <w:rFonts w:hint="eastAsia" w:ascii="Times New Roman" w:hAnsi="Times New Roman" w:cs="Times New Roman"/>
                      <w:b w:val="0"/>
                      <w:bCs/>
                      <w:color w:val="auto"/>
                      <w:sz w:val="18"/>
                      <w:szCs w:val="18"/>
                      <w:highlight w:val="none"/>
                      <w:lang w:eastAsia="zh-CN"/>
                    </w:rPr>
                    <w:t>真空注液</w:t>
                  </w:r>
                  <w:r>
                    <w:rPr>
                      <w:rFonts w:hint="eastAsia" w:ascii="Times New Roman" w:hAnsi="Times New Roman" w:cs="Times New Roman"/>
                      <w:b w:val="0"/>
                      <w:bCs/>
                      <w:color w:val="auto"/>
                      <w:sz w:val="18"/>
                      <w:szCs w:val="18"/>
                      <w:highlight w:val="none"/>
                    </w:rPr>
                    <w:t>设备，烘箱配备余热回收利用设施，</w:t>
                  </w:r>
                  <w:r>
                    <w:rPr>
                      <w:rFonts w:hint="eastAsia" w:cs="Times New Roman"/>
                      <w:b w:val="0"/>
                      <w:bCs/>
                      <w:color w:val="auto"/>
                      <w:sz w:val="18"/>
                      <w:szCs w:val="18"/>
                      <w:highlight w:val="none"/>
                      <w:lang w:eastAsia="zh-CN"/>
                    </w:rPr>
                    <w:t>项目不涉及涂布工艺，购买成品的极片母卷作为电芯制作原料，无需配备</w:t>
                  </w:r>
                  <w:r>
                    <w:rPr>
                      <w:rFonts w:hint="eastAsia" w:ascii="Times New Roman" w:hAnsi="Times New Roman" w:cs="Times New Roman"/>
                      <w:b w:val="0"/>
                      <w:bCs/>
                      <w:color w:val="auto"/>
                      <w:sz w:val="18"/>
                      <w:szCs w:val="18"/>
                      <w:highlight w:val="none"/>
                    </w:rPr>
                    <w:t>溶剂回收系统。</w:t>
                  </w:r>
                </w:p>
              </w:tc>
              <w:tc>
                <w:tcPr>
                  <w:tcW w:w="611" w:type="pc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r>
                    <w:rPr>
                      <w:rFonts w:hint="eastAsia"/>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污染治理技术</w:t>
                  </w:r>
                </w:p>
              </w:tc>
              <w:tc>
                <w:tcPr>
                  <w:tcW w:w="2529" w:type="pct"/>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配料工序、镍氢电池产尘环节采用袋式除尘器除尘；拉浆、涂布和电解液生产等涉</w:t>
                  </w:r>
                  <w:r>
                    <w:rPr>
                      <w:rFonts w:ascii="Times New Roman" w:hAnsi="Times New Roman" w:cs="Times New Roman"/>
                      <w:b w:val="0"/>
                      <w:bCs/>
                      <w:color w:val="auto"/>
                      <w:sz w:val="18"/>
                      <w:szCs w:val="18"/>
                      <w:highlight w:val="none"/>
                    </w:rPr>
                    <w:t>VOCs</w:t>
                  </w:r>
                  <w:r>
                    <w:rPr>
                      <w:rFonts w:hint="eastAsia" w:ascii="Times New Roman" w:hAnsi="Times New Roman" w:cs="Times New Roman"/>
                      <w:b w:val="0"/>
                      <w:bCs/>
                      <w:color w:val="auto"/>
                      <w:sz w:val="18"/>
                      <w:szCs w:val="18"/>
                      <w:highlight w:val="none"/>
                    </w:rPr>
                    <w:t>工序采用低温冷凝、焚烧、吸附+脱附焚烧或吸附+脱附冷凝等处理工艺。</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本项目锂电池生产不含正、负极材料的生产</w:t>
                  </w:r>
                  <w:r>
                    <w:rPr>
                      <w:rFonts w:hint="eastAsia" w:cs="Times New Roman"/>
                      <w:b w:val="0"/>
                      <w:bCs/>
                      <w:color w:val="auto"/>
                      <w:sz w:val="18"/>
                      <w:szCs w:val="18"/>
                      <w:highlight w:val="none"/>
                      <w:lang w:eastAsia="zh-CN"/>
                    </w:rPr>
                    <w:t>，不含拉浆、涂布和电解液生产工序</w:t>
                  </w:r>
                  <w:r>
                    <w:rPr>
                      <w:rFonts w:hint="eastAsia" w:ascii="Times New Roman" w:hAnsi="Times New Roman" w:cs="Times New Roman"/>
                      <w:b w:val="0"/>
                      <w:bCs/>
                      <w:color w:val="auto"/>
                      <w:sz w:val="18"/>
                      <w:szCs w:val="18"/>
                      <w:highlight w:val="none"/>
                    </w:rPr>
                    <w:t>。</w:t>
                  </w:r>
                </w:p>
              </w:tc>
              <w:tc>
                <w:tcPr>
                  <w:tcW w:w="611" w:type="pc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r>
                    <w:rPr>
                      <w:rFonts w:hint="eastAsia"/>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无组织排放</w:t>
                  </w:r>
                </w:p>
              </w:tc>
              <w:tc>
                <w:tcPr>
                  <w:tcW w:w="2529" w:type="pct"/>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1.</w:t>
                  </w:r>
                  <w:r>
                    <w:rPr>
                      <w:rFonts w:hint="eastAsia" w:ascii="Times New Roman" w:hAnsi="Times New Roman" w:cs="Times New Roman"/>
                      <w:b w:val="0"/>
                      <w:bCs/>
                      <w:color w:val="auto"/>
                      <w:sz w:val="18"/>
                      <w:szCs w:val="18"/>
                      <w:highlight w:val="none"/>
                    </w:rPr>
                    <w:t>配料工段置于独立密闭配料间，配料工序粉尘局部负压收集；</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eastAsia" w:ascii="Times New Roman" w:hAnsi="Times New Roman" w:eastAsia="宋体" w:cs="Times New Roman"/>
                      <w:b w:val="0"/>
                      <w:bCs/>
                      <w:color w:val="auto"/>
                      <w:sz w:val="18"/>
                      <w:szCs w:val="18"/>
                      <w:highlight w:val="none"/>
                      <w:lang w:eastAsia="zh-CN"/>
                    </w:rPr>
                  </w:pPr>
                  <w:r>
                    <w:rPr>
                      <w:rFonts w:hint="eastAsia" w:ascii="Times New Roman" w:hAnsi="Times New Roman" w:cs="Times New Roman"/>
                      <w:b w:val="0"/>
                      <w:bCs/>
                      <w:color w:val="auto"/>
                      <w:sz w:val="18"/>
                      <w:szCs w:val="18"/>
                      <w:highlight w:val="none"/>
                    </w:rPr>
                    <w:t>本项目锂电池生产不含正、负极材料的生产</w:t>
                  </w:r>
                  <w:r>
                    <w:rPr>
                      <w:rFonts w:hint="eastAsia" w:ascii="Times New Roman" w:hAnsi="Times New Roman" w:cs="Times New Roman"/>
                      <w:b w:val="0"/>
                      <w:bCs/>
                      <w:color w:val="auto"/>
                      <w:sz w:val="18"/>
                      <w:szCs w:val="18"/>
                      <w:highlight w:val="none"/>
                      <w:lang w:eastAsia="zh-CN"/>
                    </w:rPr>
                    <w:t>，无配料工序。</w:t>
                  </w:r>
                </w:p>
              </w:tc>
              <w:tc>
                <w:tcPr>
                  <w:tcW w:w="611" w:type="pc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r>
                    <w:rPr>
                      <w:rFonts w:hint="eastAsia"/>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s="Times New Roman"/>
                      <w:b w:val="0"/>
                      <w:bCs/>
                      <w:color w:val="auto"/>
                      <w:sz w:val="18"/>
                      <w:szCs w:val="18"/>
                      <w:highlight w:val="none"/>
                    </w:rPr>
                  </w:pPr>
                </w:p>
              </w:tc>
              <w:tc>
                <w:tcPr>
                  <w:tcW w:w="2529" w:type="pct"/>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2.</w:t>
                  </w:r>
                  <w:r>
                    <w:rPr>
                      <w:rFonts w:hint="eastAsia" w:ascii="Times New Roman" w:hAnsi="Times New Roman" w:cs="Times New Roman"/>
                      <w:b w:val="0"/>
                      <w:bCs/>
                      <w:color w:val="auto"/>
                      <w:sz w:val="18"/>
                      <w:szCs w:val="18"/>
                      <w:highlight w:val="none"/>
                    </w:rPr>
                    <w:t>镍氢电池合粉、包粉、装配等产尘工序和铅蓄电池制粉、和膏、板栅铸造、灌粉、分片、刷片、成片、包片、焊接及其他电池涉尘工序均需采用负压收集措施；</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eastAsia" w:ascii="Times New Roman" w:hAnsi="Times New Roman" w:eastAsia="宋体" w:cs="Times New Roman"/>
                      <w:b w:val="0"/>
                      <w:bCs/>
                      <w:color w:val="auto"/>
                      <w:sz w:val="18"/>
                      <w:szCs w:val="18"/>
                      <w:highlight w:val="none"/>
                      <w:lang w:eastAsia="zh-CN"/>
                    </w:rPr>
                  </w:pPr>
                  <w:r>
                    <w:rPr>
                      <w:rFonts w:hint="eastAsia" w:ascii="Times New Roman" w:hAnsi="Times New Roman" w:cs="Times New Roman"/>
                      <w:b w:val="0"/>
                      <w:bCs/>
                      <w:color w:val="auto"/>
                      <w:sz w:val="18"/>
                      <w:szCs w:val="18"/>
                      <w:highlight w:val="none"/>
                      <w:lang w:eastAsia="zh-CN"/>
                    </w:rPr>
                    <w:t>本项目属于锂离子电池制造，</w:t>
                  </w:r>
                  <w:r>
                    <w:rPr>
                      <w:rFonts w:hint="eastAsia" w:cs="Times New Roman"/>
                      <w:b w:val="0"/>
                      <w:bCs/>
                      <w:color w:val="auto"/>
                      <w:sz w:val="18"/>
                      <w:szCs w:val="18"/>
                      <w:highlight w:val="none"/>
                      <w:lang w:eastAsia="zh-CN"/>
                    </w:rPr>
                    <w:t>且</w:t>
                  </w:r>
                  <w:r>
                    <w:rPr>
                      <w:rFonts w:hint="eastAsia" w:ascii="Times New Roman" w:hAnsi="Times New Roman" w:cs="Times New Roman"/>
                      <w:b w:val="0"/>
                      <w:bCs/>
                      <w:color w:val="auto"/>
                      <w:sz w:val="18"/>
                      <w:szCs w:val="18"/>
                      <w:highlight w:val="none"/>
                      <w:lang w:eastAsia="zh-CN"/>
                    </w:rPr>
                    <w:t>生产过程中</w:t>
                  </w:r>
                  <w:r>
                    <w:rPr>
                      <w:rFonts w:hint="eastAsia" w:ascii="Times New Roman" w:hAnsi="Times New Roman" w:cs="Times New Roman"/>
                      <w:b w:val="0"/>
                      <w:bCs/>
                      <w:color w:val="auto"/>
                      <w:sz w:val="18"/>
                      <w:szCs w:val="18"/>
                      <w:highlight w:val="none"/>
                    </w:rPr>
                    <w:t>不含正、负极材料的生产</w:t>
                  </w:r>
                  <w:r>
                    <w:rPr>
                      <w:rFonts w:hint="eastAsia" w:ascii="Times New Roman" w:hAnsi="Times New Roman" w:cs="Times New Roman"/>
                      <w:b w:val="0"/>
                      <w:bCs/>
                      <w:color w:val="auto"/>
                      <w:sz w:val="18"/>
                      <w:szCs w:val="18"/>
                      <w:highlight w:val="none"/>
                      <w:lang w:eastAsia="zh-CN"/>
                    </w:rPr>
                    <w:t>，</w:t>
                  </w:r>
                  <w:r>
                    <w:rPr>
                      <w:rFonts w:hint="eastAsia" w:cs="Times New Roman"/>
                      <w:b w:val="0"/>
                      <w:bCs/>
                      <w:color w:val="auto"/>
                      <w:sz w:val="18"/>
                      <w:szCs w:val="18"/>
                      <w:highlight w:val="none"/>
                      <w:lang w:eastAsia="zh-CN"/>
                    </w:rPr>
                    <w:t>且项目极耳焊接均采用点焊方式，无焊接材料，项目生产过程无产尘工序</w:t>
                  </w:r>
                  <w:r>
                    <w:rPr>
                      <w:rFonts w:hint="eastAsia" w:ascii="Times New Roman" w:hAnsi="Times New Roman" w:cs="Times New Roman"/>
                      <w:b w:val="0"/>
                      <w:bCs/>
                      <w:color w:val="auto"/>
                      <w:sz w:val="18"/>
                      <w:szCs w:val="18"/>
                      <w:highlight w:val="none"/>
                      <w:lang w:eastAsia="zh-CN"/>
                    </w:rPr>
                    <w:t>。</w:t>
                  </w:r>
                </w:p>
              </w:tc>
              <w:tc>
                <w:tcPr>
                  <w:tcW w:w="611" w:type="pc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r>
                    <w:rPr>
                      <w:rFonts w:hint="eastAsia"/>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s="Times New Roman"/>
                      <w:b w:val="0"/>
                      <w:bCs/>
                      <w:color w:val="auto"/>
                      <w:sz w:val="18"/>
                      <w:szCs w:val="18"/>
                      <w:highlight w:val="none"/>
                    </w:rPr>
                  </w:pPr>
                </w:p>
              </w:tc>
              <w:tc>
                <w:tcPr>
                  <w:tcW w:w="2529" w:type="pct"/>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3.</w:t>
                  </w:r>
                  <w:r>
                    <w:rPr>
                      <w:rFonts w:hint="eastAsia" w:ascii="Times New Roman" w:hAnsi="Times New Roman" w:cs="Times New Roman"/>
                      <w:b w:val="0"/>
                      <w:bCs/>
                      <w:color w:val="auto"/>
                      <w:sz w:val="18"/>
                      <w:szCs w:val="18"/>
                      <w:highlight w:val="none"/>
                    </w:rPr>
                    <w:t>拉浆、涂布和电解液生产等涉</w:t>
                  </w:r>
                  <w:r>
                    <w:rPr>
                      <w:rFonts w:ascii="Times New Roman" w:hAnsi="Times New Roman" w:cs="Times New Roman"/>
                      <w:b w:val="0"/>
                      <w:bCs/>
                      <w:color w:val="auto"/>
                      <w:sz w:val="18"/>
                      <w:szCs w:val="18"/>
                      <w:highlight w:val="none"/>
                    </w:rPr>
                    <w:t>VOCs</w:t>
                  </w:r>
                  <w:r>
                    <w:rPr>
                      <w:rFonts w:hint="eastAsia" w:ascii="Times New Roman" w:hAnsi="Times New Roman" w:cs="Times New Roman"/>
                      <w:b w:val="0"/>
                      <w:bCs/>
                      <w:color w:val="auto"/>
                      <w:sz w:val="18"/>
                      <w:szCs w:val="18"/>
                      <w:highlight w:val="none"/>
                    </w:rPr>
                    <w:t>工序采用封闭负压收集措施；</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eastAsia" w:ascii="Times New Roman" w:hAnsi="Times New Roman" w:eastAsia="宋体" w:cs="Times New Roman"/>
                      <w:b w:val="0"/>
                      <w:bCs/>
                      <w:color w:val="auto"/>
                      <w:sz w:val="18"/>
                      <w:szCs w:val="18"/>
                      <w:highlight w:val="none"/>
                      <w:lang w:eastAsia="zh-CN"/>
                    </w:rPr>
                  </w:pPr>
                  <w:r>
                    <w:rPr>
                      <w:rFonts w:hint="eastAsia" w:ascii="Times New Roman" w:hAnsi="Times New Roman" w:cs="Times New Roman"/>
                      <w:b w:val="0"/>
                      <w:bCs/>
                      <w:color w:val="auto"/>
                      <w:sz w:val="18"/>
                      <w:szCs w:val="18"/>
                      <w:highlight w:val="none"/>
                    </w:rPr>
                    <w:t>本项目注液</w:t>
                  </w:r>
                  <w:r>
                    <w:rPr>
                      <w:rFonts w:hint="eastAsia" w:ascii="Times New Roman" w:hAnsi="Times New Roman" w:cs="Times New Roman"/>
                      <w:b w:val="0"/>
                      <w:bCs/>
                      <w:color w:val="auto"/>
                      <w:sz w:val="18"/>
                      <w:szCs w:val="18"/>
                      <w:highlight w:val="none"/>
                      <w:lang w:eastAsia="zh-CN"/>
                    </w:rPr>
                    <w:t>采用真空注液方式，</w:t>
                  </w:r>
                  <w:r>
                    <w:rPr>
                      <w:rFonts w:hint="eastAsia" w:ascii="Times New Roman" w:hAnsi="Times New Roman" w:cs="Times New Roman"/>
                      <w:b w:val="0"/>
                      <w:bCs/>
                      <w:color w:val="auto"/>
                      <w:sz w:val="18"/>
                      <w:szCs w:val="18"/>
                      <w:highlight w:val="none"/>
                    </w:rPr>
                    <w:t>产生的</w:t>
                  </w:r>
                  <w:r>
                    <w:rPr>
                      <w:rFonts w:ascii="Times New Roman" w:hAnsi="Times New Roman" w:cs="Times New Roman"/>
                      <w:b w:val="0"/>
                      <w:bCs/>
                      <w:color w:val="auto"/>
                      <w:sz w:val="18"/>
                      <w:szCs w:val="18"/>
                      <w:highlight w:val="none"/>
                    </w:rPr>
                    <w:t>VOCs</w:t>
                  </w:r>
                  <w:r>
                    <w:rPr>
                      <w:rFonts w:hint="eastAsia" w:cs="Times New Roman"/>
                      <w:b w:val="0"/>
                      <w:bCs/>
                      <w:color w:val="auto"/>
                      <w:sz w:val="18"/>
                      <w:szCs w:val="18"/>
                      <w:highlight w:val="none"/>
                      <w:lang w:eastAsia="zh-CN"/>
                    </w:rPr>
                    <w:t>通过注液机抽真空系统收集</w:t>
                  </w:r>
                </w:p>
              </w:tc>
              <w:tc>
                <w:tcPr>
                  <w:tcW w:w="611" w:type="pc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r>
                    <w:rPr>
                      <w:rFonts w:hint="eastAsia"/>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s="Times New Roman"/>
                      <w:b w:val="0"/>
                      <w:bCs/>
                      <w:color w:val="auto"/>
                      <w:sz w:val="18"/>
                      <w:szCs w:val="18"/>
                      <w:highlight w:val="none"/>
                    </w:rPr>
                  </w:pPr>
                </w:p>
              </w:tc>
              <w:tc>
                <w:tcPr>
                  <w:tcW w:w="2529" w:type="pct"/>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4.</w:t>
                  </w:r>
                  <w:r>
                    <w:rPr>
                      <w:rFonts w:hint="eastAsia" w:ascii="Times New Roman" w:hAnsi="Times New Roman" w:cs="Times New Roman"/>
                      <w:b w:val="0"/>
                      <w:bCs/>
                      <w:color w:val="auto"/>
                      <w:sz w:val="18"/>
                      <w:szCs w:val="18"/>
                      <w:highlight w:val="none"/>
                    </w:rPr>
                    <w:t>厂区地面全部硬化或绿化，无成片裸露土地。</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本项目</w:t>
                  </w:r>
                  <w:r>
                    <w:rPr>
                      <w:rFonts w:hint="eastAsia" w:ascii="Times New Roman" w:hAnsi="Times New Roman" w:cs="Times New Roman"/>
                      <w:b w:val="0"/>
                      <w:bCs/>
                      <w:color w:val="auto"/>
                      <w:sz w:val="18"/>
                      <w:szCs w:val="18"/>
                      <w:highlight w:val="none"/>
                      <w:lang w:eastAsia="zh-CN"/>
                    </w:rPr>
                    <w:t>租用现有</w:t>
                  </w:r>
                  <w:r>
                    <w:rPr>
                      <w:rFonts w:hint="eastAsia" w:cs="Times New Roman"/>
                      <w:b w:val="0"/>
                      <w:bCs/>
                      <w:color w:val="auto"/>
                      <w:sz w:val="18"/>
                      <w:szCs w:val="18"/>
                      <w:highlight w:val="none"/>
                      <w:lang w:eastAsia="zh-CN"/>
                    </w:rPr>
                    <w:t>保准化</w:t>
                  </w:r>
                  <w:r>
                    <w:rPr>
                      <w:rFonts w:hint="eastAsia" w:ascii="Times New Roman" w:hAnsi="Times New Roman" w:cs="Times New Roman"/>
                      <w:b w:val="0"/>
                      <w:bCs/>
                      <w:color w:val="auto"/>
                      <w:sz w:val="18"/>
                      <w:szCs w:val="18"/>
                      <w:highlight w:val="none"/>
                      <w:lang w:eastAsia="zh-CN"/>
                    </w:rPr>
                    <w:t>厂房建设</w:t>
                  </w:r>
                  <w:r>
                    <w:rPr>
                      <w:rFonts w:hint="eastAsia" w:ascii="Times New Roman" w:hAnsi="Times New Roman" w:cs="Times New Roman"/>
                      <w:b w:val="0"/>
                      <w:bCs/>
                      <w:color w:val="auto"/>
                      <w:sz w:val="18"/>
                      <w:szCs w:val="18"/>
                      <w:highlight w:val="none"/>
                    </w:rPr>
                    <w:t>，</w:t>
                  </w:r>
                  <w:r>
                    <w:rPr>
                      <w:rFonts w:hint="eastAsia" w:ascii="Times New Roman" w:hAnsi="Times New Roman" w:cs="Times New Roman"/>
                      <w:b w:val="0"/>
                      <w:bCs/>
                      <w:color w:val="auto"/>
                      <w:sz w:val="18"/>
                      <w:szCs w:val="18"/>
                      <w:highlight w:val="none"/>
                      <w:lang w:eastAsia="zh-CN"/>
                    </w:rPr>
                    <w:t>所在厂区内</w:t>
                  </w:r>
                  <w:r>
                    <w:rPr>
                      <w:rFonts w:hint="eastAsia" w:ascii="Times New Roman" w:hAnsi="Times New Roman" w:cs="Times New Roman"/>
                      <w:b w:val="0"/>
                      <w:bCs/>
                      <w:color w:val="auto"/>
                      <w:sz w:val="18"/>
                      <w:szCs w:val="18"/>
                      <w:highlight w:val="none"/>
                    </w:rPr>
                    <w:t>无成片裸露土地。</w:t>
                  </w:r>
                </w:p>
              </w:tc>
              <w:tc>
                <w:tcPr>
                  <w:tcW w:w="611" w:type="pc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r>
                    <w:rPr>
                      <w:rFonts w:hint="eastAsia"/>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排放限值</w:t>
                  </w:r>
                </w:p>
              </w:tc>
              <w:tc>
                <w:tcPr>
                  <w:tcW w:w="2529" w:type="pct"/>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全厂</w:t>
                  </w:r>
                  <w:r>
                    <w:rPr>
                      <w:rFonts w:ascii="Times New Roman" w:hAnsi="Times New Roman" w:cs="Times New Roman"/>
                      <w:b w:val="0"/>
                      <w:bCs/>
                      <w:color w:val="auto"/>
                      <w:sz w:val="18"/>
                      <w:szCs w:val="18"/>
                      <w:highlight w:val="none"/>
                    </w:rPr>
                    <w:t>PM</w:t>
                  </w:r>
                  <w:r>
                    <w:rPr>
                      <w:rFonts w:hint="eastAsia" w:ascii="Times New Roman" w:hAnsi="Times New Roman" w:cs="Times New Roman"/>
                      <w:b w:val="0"/>
                      <w:bCs/>
                      <w:color w:val="auto"/>
                      <w:sz w:val="18"/>
                      <w:szCs w:val="18"/>
                      <w:highlight w:val="none"/>
                    </w:rPr>
                    <w:t>、</w:t>
                  </w:r>
                  <w:r>
                    <w:rPr>
                      <w:rFonts w:ascii="Times New Roman" w:hAnsi="Times New Roman" w:cs="Times New Roman"/>
                      <w:b w:val="0"/>
                      <w:bCs/>
                      <w:color w:val="auto"/>
                      <w:sz w:val="18"/>
                      <w:szCs w:val="18"/>
                      <w:highlight w:val="none"/>
                    </w:rPr>
                    <w:t>NMHC</w:t>
                  </w:r>
                  <w:r>
                    <w:rPr>
                      <w:rFonts w:hint="eastAsia" w:ascii="Times New Roman" w:hAnsi="Times New Roman" w:cs="Times New Roman"/>
                      <w:b w:val="0"/>
                      <w:bCs/>
                      <w:color w:val="auto"/>
                      <w:sz w:val="18"/>
                      <w:szCs w:val="18"/>
                      <w:highlight w:val="none"/>
                    </w:rPr>
                    <w:t>有组织排放浓度分别不高于</w:t>
                  </w:r>
                  <w:r>
                    <w:rPr>
                      <w:rFonts w:ascii="Times New Roman" w:hAnsi="Times New Roman" w:cs="Times New Roman"/>
                      <w:b w:val="0"/>
                      <w:bCs/>
                      <w:color w:val="auto"/>
                      <w:sz w:val="18"/>
                      <w:szCs w:val="18"/>
                      <w:highlight w:val="none"/>
                    </w:rPr>
                    <w:t>10</w:t>
                  </w:r>
                  <w:r>
                    <w:rPr>
                      <w:rFonts w:hint="eastAsia" w:ascii="Times New Roman" w:hAnsi="Times New Roman" w:cs="Times New Roman"/>
                      <w:b w:val="0"/>
                      <w:bCs/>
                      <w:color w:val="auto"/>
                      <w:sz w:val="18"/>
                      <w:szCs w:val="18"/>
                      <w:highlight w:val="none"/>
                    </w:rPr>
                    <w:t>、</w:t>
                  </w:r>
                  <w:r>
                    <w:rPr>
                      <w:rFonts w:ascii="Times New Roman" w:hAnsi="Times New Roman" w:cs="Times New Roman"/>
                      <w:b w:val="0"/>
                      <w:bCs/>
                      <w:color w:val="auto"/>
                      <w:sz w:val="18"/>
                      <w:szCs w:val="18"/>
                      <w:highlight w:val="none"/>
                    </w:rPr>
                    <w:t>20mg</w:t>
                  </w:r>
                  <w:r>
                    <w:rPr>
                      <w:rFonts w:hint="eastAsia" w:ascii="Times New Roman" w:hAnsi="Times New Roman" w:cs="Times New Roman"/>
                      <w:b w:val="0"/>
                      <w:bCs/>
                      <w:color w:val="auto"/>
                      <w:sz w:val="18"/>
                      <w:szCs w:val="18"/>
                      <w:highlight w:val="none"/>
                    </w:rPr>
                    <w:t>/</w:t>
                  </w:r>
                  <w:r>
                    <w:rPr>
                      <w:rFonts w:ascii="Times New Roman" w:hAnsi="Times New Roman" w:cs="Times New Roman"/>
                      <w:b w:val="0"/>
                      <w:bCs/>
                      <w:color w:val="auto"/>
                      <w:sz w:val="18"/>
                      <w:szCs w:val="18"/>
                      <w:highlight w:val="none"/>
                    </w:rPr>
                    <w:t>m</w:t>
                  </w:r>
                  <w:r>
                    <w:rPr>
                      <w:rFonts w:ascii="Times New Roman" w:hAnsi="Times New Roman" w:cs="Times New Roman"/>
                      <w:b w:val="0"/>
                      <w:bCs/>
                      <w:color w:val="auto"/>
                      <w:sz w:val="18"/>
                      <w:szCs w:val="18"/>
                      <w:highlight w:val="none"/>
                      <w:vertAlign w:val="superscript"/>
                    </w:rPr>
                    <w:t>3</w:t>
                  </w:r>
                  <w:r>
                    <w:rPr>
                      <w:rFonts w:hint="eastAsia" w:ascii="Times New Roman" w:hAnsi="Times New Roman" w:cs="Times New Roman"/>
                      <w:b w:val="0"/>
                      <w:bCs/>
                      <w:color w:val="auto"/>
                      <w:sz w:val="18"/>
                      <w:szCs w:val="18"/>
                      <w:highlight w:val="none"/>
                    </w:rPr>
                    <w:t>。铅蓄电池铅及其化合物、硫酸雾排放浓度不高于</w:t>
                  </w:r>
                  <w:r>
                    <w:rPr>
                      <w:rFonts w:ascii="Times New Roman" w:hAnsi="Times New Roman" w:cs="Times New Roman"/>
                      <w:b w:val="0"/>
                      <w:bCs/>
                      <w:color w:val="auto"/>
                      <w:sz w:val="18"/>
                      <w:szCs w:val="18"/>
                      <w:highlight w:val="none"/>
                    </w:rPr>
                    <w:t>0</w:t>
                  </w:r>
                  <w:r>
                    <w:rPr>
                      <w:rFonts w:hint="eastAsia" w:ascii="Times New Roman" w:hAnsi="Times New Roman" w:cs="Times New Roman"/>
                      <w:b w:val="0"/>
                      <w:bCs/>
                      <w:color w:val="auto"/>
                      <w:sz w:val="18"/>
                      <w:szCs w:val="18"/>
                      <w:highlight w:val="none"/>
                    </w:rPr>
                    <w:t>.</w:t>
                  </w:r>
                  <w:r>
                    <w:rPr>
                      <w:rFonts w:ascii="Times New Roman" w:hAnsi="Times New Roman" w:cs="Times New Roman"/>
                      <w:b w:val="0"/>
                      <w:bCs/>
                      <w:color w:val="auto"/>
                      <w:sz w:val="18"/>
                      <w:szCs w:val="18"/>
                      <w:highlight w:val="none"/>
                    </w:rPr>
                    <w:t>3</w:t>
                  </w:r>
                  <w:r>
                    <w:rPr>
                      <w:rFonts w:hint="eastAsia" w:ascii="Times New Roman" w:hAnsi="Times New Roman" w:cs="Times New Roman"/>
                      <w:b w:val="0"/>
                      <w:bCs/>
                      <w:color w:val="auto"/>
                      <w:sz w:val="18"/>
                      <w:szCs w:val="18"/>
                      <w:highlight w:val="none"/>
                    </w:rPr>
                    <w:t>、</w:t>
                  </w:r>
                  <w:r>
                    <w:rPr>
                      <w:rFonts w:ascii="Times New Roman" w:hAnsi="Times New Roman" w:cs="Times New Roman"/>
                      <w:b w:val="0"/>
                      <w:bCs/>
                      <w:color w:val="auto"/>
                      <w:sz w:val="18"/>
                      <w:szCs w:val="18"/>
                      <w:highlight w:val="none"/>
                    </w:rPr>
                    <w:t>5mg</w:t>
                  </w:r>
                  <w:r>
                    <w:rPr>
                      <w:rFonts w:hint="eastAsia" w:ascii="Times New Roman" w:hAnsi="Times New Roman" w:cs="Times New Roman"/>
                      <w:b w:val="0"/>
                      <w:bCs/>
                      <w:color w:val="auto"/>
                      <w:sz w:val="18"/>
                      <w:szCs w:val="18"/>
                      <w:highlight w:val="none"/>
                    </w:rPr>
                    <w:t>/</w:t>
                  </w:r>
                  <w:r>
                    <w:rPr>
                      <w:rFonts w:ascii="Times New Roman" w:hAnsi="Times New Roman" w:cs="Times New Roman"/>
                      <w:b w:val="0"/>
                      <w:bCs/>
                      <w:color w:val="auto"/>
                      <w:sz w:val="18"/>
                      <w:szCs w:val="18"/>
                      <w:highlight w:val="none"/>
                    </w:rPr>
                    <w:t>m</w:t>
                  </w:r>
                  <w:r>
                    <w:rPr>
                      <w:rFonts w:ascii="Times New Roman" w:hAnsi="Times New Roman" w:cs="Times New Roman"/>
                      <w:b w:val="0"/>
                      <w:bCs/>
                      <w:color w:val="auto"/>
                      <w:sz w:val="18"/>
                      <w:szCs w:val="18"/>
                      <w:highlight w:val="none"/>
                      <w:vertAlign w:val="superscript"/>
                    </w:rPr>
                    <w:t>3</w:t>
                  </w:r>
                  <w:r>
                    <w:rPr>
                      <w:rFonts w:hint="eastAsia" w:ascii="Times New Roman" w:hAnsi="Times New Roman" w:cs="Times New Roman"/>
                      <w:b w:val="0"/>
                      <w:bCs/>
                      <w:color w:val="auto"/>
                      <w:sz w:val="18"/>
                      <w:szCs w:val="18"/>
                      <w:highlight w:val="none"/>
                    </w:rPr>
                    <w:t>。</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本项目全厂</w:t>
                  </w:r>
                  <w:r>
                    <w:rPr>
                      <w:rFonts w:ascii="Times New Roman" w:hAnsi="Times New Roman" w:cs="Times New Roman"/>
                      <w:b w:val="0"/>
                      <w:bCs/>
                      <w:color w:val="auto"/>
                      <w:sz w:val="18"/>
                      <w:szCs w:val="18"/>
                      <w:highlight w:val="none"/>
                    </w:rPr>
                    <w:t>NMHC</w:t>
                  </w:r>
                  <w:r>
                    <w:rPr>
                      <w:rFonts w:hint="eastAsia" w:ascii="Times New Roman" w:hAnsi="Times New Roman" w:cs="Times New Roman"/>
                      <w:b w:val="0"/>
                      <w:bCs/>
                      <w:color w:val="auto"/>
                      <w:sz w:val="18"/>
                      <w:szCs w:val="18"/>
                      <w:highlight w:val="none"/>
                    </w:rPr>
                    <w:t>有组织排放浓度分别不高于</w:t>
                  </w:r>
                  <w:r>
                    <w:rPr>
                      <w:rFonts w:ascii="Times New Roman" w:hAnsi="Times New Roman" w:cs="Times New Roman"/>
                      <w:b w:val="0"/>
                      <w:bCs/>
                      <w:color w:val="auto"/>
                      <w:sz w:val="18"/>
                      <w:szCs w:val="18"/>
                      <w:highlight w:val="none"/>
                    </w:rPr>
                    <w:t>20mg</w:t>
                  </w:r>
                  <w:r>
                    <w:rPr>
                      <w:rFonts w:hint="eastAsia" w:ascii="Times New Roman" w:hAnsi="Times New Roman" w:cs="Times New Roman"/>
                      <w:b w:val="0"/>
                      <w:bCs/>
                      <w:color w:val="auto"/>
                      <w:sz w:val="18"/>
                      <w:szCs w:val="18"/>
                      <w:highlight w:val="none"/>
                    </w:rPr>
                    <w:t>/</w:t>
                  </w:r>
                  <w:r>
                    <w:rPr>
                      <w:rFonts w:ascii="Times New Roman" w:hAnsi="Times New Roman" w:cs="Times New Roman"/>
                      <w:b w:val="0"/>
                      <w:bCs/>
                      <w:color w:val="auto"/>
                      <w:sz w:val="18"/>
                      <w:szCs w:val="18"/>
                      <w:highlight w:val="none"/>
                    </w:rPr>
                    <w:t>m</w:t>
                  </w:r>
                  <w:r>
                    <w:rPr>
                      <w:rFonts w:ascii="Times New Roman" w:hAnsi="Times New Roman" w:cs="Times New Roman"/>
                      <w:b w:val="0"/>
                      <w:bCs/>
                      <w:color w:val="auto"/>
                      <w:sz w:val="18"/>
                      <w:szCs w:val="18"/>
                      <w:highlight w:val="none"/>
                      <w:vertAlign w:val="superscript"/>
                    </w:rPr>
                    <w:t>3</w:t>
                  </w:r>
                  <w:r>
                    <w:rPr>
                      <w:rFonts w:hint="eastAsia" w:ascii="Times New Roman" w:hAnsi="Times New Roman" w:cs="Times New Roman"/>
                      <w:b w:val="0"/>
                      <w:bCs/>
                      <w:color w:val="auto"/>
                      <w:sz w:val="18"/>
                      <w:szCs w:val="18"/>
                      <w:highlight w:val="none"/>
                    </w:rPr>
                    <w:t>。</w:t>
                  </w:r>
                </w:p>
              </w:tc>
              <w:tc>
                <w:tcPr>
                  <w:tcW w:w="611" w:type="pc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r>
                    <w:rPr>
                      <w:rFonts w:hint="eastAsia"/>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监测监控水平</w:t>
                  </w:r>
                </w:p>
              </w:tc>
              <w:tc>
                <w:tcPr>
                  <w:tcW w:w="2529" w:type="pct"/>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1.</w:t>
                  </w:r>
                  <w:r>
                    <w:rPr>
                      <w:rFonts w:hint="eastAsia" w:ascii="Times New Roman" w:hAnsi="Times New Roman" w:cs="Times New Roman"/>
                      <w:b w:val="0"/>
                      <w:bCs/>
                      <w:color w:val="auto"/>
                      <w:sz w:val="18"/>
                      <w:szCs w:val="18"/>
                      <w:highlight w:val="none"/>
                    </w:rPr>
                    <w:t>有组织排放口按生态环境部门要求安装烟气排放自动监控设施（</w:t>
                  </w:r>
                  <w:r>
                    <w:rPr>
                      <w:rFonts w:ascii="Times New Roman" w:hAnsi="Times New Roman" w:cs="Times New Roman"/>
                      <w:b w:val="0"/>
                      <w:bCs/>
                      <w:color w:val="auto"/>
                      <w:sz w:val="18"/>
                      <w:szCs w:val="18"/>
                      <w:highlight w:val="none"/>
                    </w:rPr>
                    <w:t>CEMS</w:t>
                  </w:r>
                  <w:r>
                    <w:rPr>
                      <w:rFonts w:hint="eastAsia" w:ascii="Times New Roman" w:hAnsi="Times New Roman" w:cs="Times New Roman"/>
                      <w:b w:val="0"/>
                      <w:bCs/>
                      <w:color w:val="auto"/>
                      <w:sz w:val="18"/>
                      <w:szCs w:val="18"/>
                      <w:highlight w:val="none"/>
                    </w:rPr>
                    <w:t>），并按要求联网；</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本项目有组织排放口按生态环境部门要求安装烟气排放自动监控设施（</w:t>
                  </w:r>
                  <w:r>
                    <w:rPr>
                      <w:rFonts w:ascii="Times New Roman" w:hAnsi="Times New Roman" w:cs="Times New Roman"/>
                      <w:b w:val="0"/>
                      <w:bCs/>
                      <w:color w:val="auto"/>
                      <w:sz w:val="18"/>
                      <w:szCs w:val="18"/>
                      <w:highlight w:val="none"/>
                    </w:rPr>
                    <w:t>CEMS</w:t>
                  </w:r>
                  <w:r>
                    <w:rPr>
                      <w:rFonts w:hint="eastAsia" w:ascii="Times New Roman" w:hAnsi="Times New Roman" w:cs="Times New Roman"/>
                      <w:b w:val="0"/>
                      <w:bCs/>
                      <w:color w:val="auto"/>
                      <w:sz w:val="18"/>
                      <w:szCs w:val="18"/>
                      <w:highlight w:val="none"/>
                    </w:rPr>
                    <w:t>），并按要求联网；</w:t>
                  </w:r>
                </w:p>
              </w:tc>
              <w:tc>
                <w:tcPr>
                  <w:tcW w:w="611" w:type="pc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r>
                    <w:rPr>
                      <w:rFonts w:hint="eastAsia"/>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s="Times New Roman"/>
                      <w:b w:val="0"/>
                      <w:bCs/>
                      <w:color w:val="auto"/>
                      <w:sz w:val="18"/>
                      <w:szCs w:val="18"/>
                      <w:highlight w:val="none"/>
                    </w:rPr>
                  </w:pPr>
                </w:p>
              </w:tc>
              <w:tc>
                <w:tcPr>
                  <w:tcW w:w="2529" w:type="pct"/>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2</w:t>
                  </w:r>
                  <w:r>
                    <w:rPr>
                      <w:rFonts w:hint="eastAsia" w:ascii="Times New Roman" w:hAnsi="Times New Roman" w:cs="Times New Roman"/>
                      <w:b w:val="0"/>
                      <w:bCs/>
                      <w:color w:val="auto"/>
                      <w:sz w:val="18"/>
                      <w:szCs w:val="18"/>
                      <w:highlight w:val="none"/>
                    </w:rPr>
                    <w:t>.有组织排放口按照排污许可证要求开展自行监测；</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本项目有组织排放口按照排污许可证要求开展自行监测；</w:t>
                  </w:r>
                </w:p>
              </w:tc>
              <w:tc>
                <w:tcPr>
                  <w:tcW w:w="611" w:type="pc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r>
                    <w:rPr>
                      <w:rFonts w:hint="eastAsia"/>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s="Times New Roman"/>
                      <w:b w:val="0"/>
                      <w:bCs/>
                      <w:color w:val="auto"/>
                      <w:sz w:val="18"/>
                      <w:szCs w:val="18"/>
                      <w:highlight w:val="none"/>
                    </w:rPr>
                  </w:pPr>
                </w:p>
              </w:tc>
              <w:tc>
                <w:tcPr>
                  <w:tcW w:w="2529" w:type="pct"/>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3.</w:t>
                  </w:r>
                  <w:r>
                    <w:rPr>
                      <w:rFonts w:hint="eastAsia" w:ascii="Times New Roman" w:hAnsi="Times New Roman" w:cs="Times New Roman"/>
                      <w:b w:val="0"/>
                      <w:bCs/>
                      <w:color w:val="auto"/>
                      <w:sz w:val="18"/>
                      <w:szCs w:val="18"/>
                      <w:highlight w:val="none"/>
                    </w:rPr>
                    <w:t>涉气生产工序、生产装置及污染治理设施按生态环境部门要求安装用电监管设备，用电监管设备与省、市生态环境部门用电监管平台联网；</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本项目涉气生产工序、生产装置及污染治理设施按生态环境部门要求安装用电监管设备，用电监管设备与省、市生态环境部门用电监管平台联网；</w:t>
                  </w:r>
                </w:p>
              </w:tc>
              <w:tc>
                <w:tcPr>
                  <w:tcW w:w="611" w:type="pc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r>
                    <w:rPr>
                      <w:rFonts w:hint="eastAsia"/>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s="Times New Roman"/>
                      <w:b w:val="0"/>
                      <w:bCs/>
                      <w:color w:val="auto"/>
                      <w:sz w:val="18"/>
                      <w:szCs w:val="18"/>
                      <w:highlight w:val="none"/>
                    </w:rPr>
                  </w:pPr>
                </w:p>
              </w:tc>
              <w:tc>
                <w:tcPr>
                  <w:tcW w:w="2529" w:type="pct"/>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4.</w:t>
                  </w:r>
                  <w:r>
                    <w:rPr>
                      <w:rFonts w:hint="eastAsia" w:ascii="Times New Roman" w:hAnsi="Times New Roman" w:cs="Times New Roman"/>
                      <w:b w:val="0"/>
                      <w:bCs/>
                      <w:color w:val="auto"/>
                      <w:sz w:val="18"/>
                      <w:szCs w:val="18"/>
                      <w:highlight w:val="none"/>
                    </w:rPr>
                    <w:t>厂内未安装在线监控的涉气生产设施主要投料口安装高清视频监控系统，视频能够保存三个月以上。</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本项目涉气生产设施安装高清视频监控系统，视频能够保存三个月以上。</w:t>
                  </w:r>
                </w:p>
              </w:tc>
              <w:tc>
                <w:tcPr>
                  <w:tcW w:w="611" w:type="pc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r>
                    <w:rPr>
                      <w:rFonts w:hint="eastAsia"/>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环境管理水平</w:t>
                  </w:r>
                </w:p>
              </w:tc>
              <w:tc>
                <w:tcPr>
                  <w:tcW w:w="339" w:type="pct"/>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环保档案</w:t>
                  </w:r>
                </w:p>
              </w:tc>
              <w:tc>
                <w:tcPr>
                  <w:tcW w:w="2189"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1.</w:t>
                  </w:r>
                  <w:r>
                    <w:rPr>
                      <w:rFonts w:hint="eastAsia" w:ascii="Times New Roman" w:hAnsi="Times New Roman" w:cs="Times New Roman"/>
                      <w:b w:val="0"/>
                      <w:bCs/>
                      <w:color w:val="auto"/>
                      <w:sz w:val="18"/>
                      <w:szCs w:val="18"/>
                      <w:highlight w:val="none"/>
                    </w:rPr>
                    <w:t>环评批复文件和竣工环保验收文件或环境现状评估备案证明；</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本项目环评批复文件和竣工环保验收文件将按要求存档备查；</w:t>
                  </w:r>
                </w:p>
              </w:tc>
              <w:tc>
                <w:tcPr>
                  <w:tcW w:w="611" w:type="pc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eastAsia="宋体"/>
                      <w:color w:val="auto"/>
                      <w:lang w:eastAsia="zh-CN"/>
                    </w:rPr>
                  </w:pPr>
                  <w:r>
                    <w:rPr>
                      <w:rFonts w:hint="eastAsia"/>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p>
              </w:tc>
              <w:tc>
                <w:tcPr>
                  <w:tcW w:w="33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p>
              </w:tc>
              <w:tc>
                <w:tcPr>
                  <w:tcW w:w="2189"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2.</w:t>
                  </w:r>
                  <w:r>
                    <w:rPr>
                      <w:rFonts w:hint="eastAsia" w:ascii="Times New Roman" w:hAnsi="Times New Roman" w:cs="Times New Roman"/>
                      <w:b w:val="0"/>
                      <w:bCs/>
                      <w:color w:val="auto"/>
                      <w:sz w:val="18"/>
                      <w:szCs w:val="18"/>
                      <w:highlight w:val="none"/>
                    </w:rPr>
                    <w:t>国家版排污许可证；</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本项目将按要求取得国家版排污许可证；</w:t>
                  </w:r>
                </w:p>
              </w:tc>
              <w:tc>
                <w:tcPr>
                  <w:tcW w:w="611" w:type="pc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r>
                    <w:rPr>
                      <w:rFonts w:hint="eastAsia"/>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p>
              </w:tc>
              <w:tc>
                <w:tcPr>
                  <w:tcW w:w="33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p>
              </w:tc>
              <w:tc>
                <w:tcPr>
                  <w:tcW w:w="2189"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3.</w:t>
                  </w:r>
                  <w:r>
                    <w:rPr>
                      <w:rFonts w:hint="eastAsia" w:ascii="Times New Roman" w:hAnsi="Times New Roman" w:cs="Times New Roman"/>
                      <w:b w:val="0"/>
                      <w:bCs/>
                      <w:color w:val="auto"/>
                      <w:sz w:val="18"/>
                      <w:szCs w:val="18"/>
                      <w:highlight w:val="none"/>
                    </w:rPr>
                    <w:t>环境管理制度（有组织、无组织排放长效管理机制，主要包括岗位责任制度、达标公示制度和定期巡查维护制度等）；</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本项目将按要求制定环境管理制度；</w:t>
                  </w:r>
                </w:p>
              </w:tc>
              <w:tc>
                <w:tcPr>
                  <w:tcW w:w="611" w:type="pc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r>
                    <w:rPr>
                      <w:rFonts w:hint="eastAsia"/>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p>
              </w:tc>
              <w:tc>
                <w:tcPr>
                  <w:tcW w:w="33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p>
              </w:tc>
              <w:tc>
                <w:tcPr>
                  <w:tcW w:w="2189"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4.</w:t>
                  </w:r>
                  <w:r>
                    <w:rPr>
                      <w:rFonts w:hint="eastAsia" w:ascii="Times New Roman" w:hAnsi="Times New Roman" w:cs="Times New Roman"/>
                      <w:b w:val="0"/>
                      <w:bCs/>
                      <w:color w:val="auto"/>
                      <w:sz w:val="18"/>
                      <w:szCs w:val="18"/>
                      <w:highlight w:val="none"/>
                    </w:rPr>
                    <w:t>废气治理设施运行管理规程；</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本项目将建立合格的废气治理设施运行管理规程；</w:t>
                  </w:r>
                </w:p>
              </w:tc>
              <w:tc>
                <w:tcPr>
                  <w:tcW w:w="611" w:type="pc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r>
                    <w:rPr>
                      <w:rFonts w:hint="eastAsia"/>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p>
              </w:tc>
              <w:tc>
                <w:tcPr>
                  <w:tcW w:w="33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p>
              </w:tc>
              <w:tc>
                <w:tcPr>
                  <w:tcW w:w="2189"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5.</w:t>
                  </w:r>
                  <w:r>
                    <w:rPr>
                      <w:rFonts w:hint="eastAsia" w:ascii="Times New Roman" w:hAnsi="Times New Roman" w:cs="Times New Roman"/>
                      <w:b w:val="0"/>
                      <w:bCs/>
                      <w:color w:val="auto"/>
                      <w:sz w:val="18"/>
                      <w:szCs w:val="18"/>
                      <w:highlight w:val="none"/>
                    </w:rPr>
                    <w:t>一年内废气监测报告（符合排污许可证监测项目及频次要求）。</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本项目建成后将按要求对一年内废气监测报告（符合排污许可证监测项目及频次要求）进行存档备查；</w:t>
                  </w:r>
                </w:p>
              </w:tc>
              <w:tc>
                <w:tcPr>
                  <w:tcW w:w="611" w:type="pc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r>
                    <w:rPr>
                      <w:rFonts w:hint="eastAsia"/>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p>
              </w:tc>
              <w:tc>
                <w:tcPr>
                  <w:tcW w:w="339" w:type="pct"/>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台账记录</w:t>
                  </w:r>
                </w:p>
              </w:tc>
              <w:tc>
                <w:tcPr>
                  <w:tcW w:w="2189"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1.</w:t>
                  </w:r>
                  <w:r>
                    <w:rPr>
                      <w:rFonts w:hint="eastAsia" w:ascii="Times New Roman" w:hAnsi="Times New Roman" w:cs="Times New Roman"/>
                      <w:b w:val="0"/>
                      <w:bCs/>
                      <w:color w:val="auto"/>
                      <w:sz w:val="18"/>
                      <w:szCs w:val="18"/>
                      <w:highlight w:val="none"/>
                    </w:rPr>
                    <w:t>生产设施运行管理信息（生产时间、运行负荷、产品产量等）；</w:t>
                  </w:r>
                </w:p>
              </w:tc>
              <w:tc>
                <w:tcPr>
                  <w:tcW w:w="1450" w:type="pct"/>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本项目建成后将按要求规范进行下列台账记录：</w:t>
                  </w:r>
                </w:p>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1.</w:t>
                  </w:r>
                  <w:r>
                    <w:rPr>
                      <w:rFonts w:hint="eastAsia" w:ascii="Times New Roman" w:hAnsi="Times New Roman" w:cs="Times New Roman"/>
                      <w:b w:val="0"/>
                      <w:bCs/>
                      <w:color w:val="auto"/>
                      <w:sz w:val="18"/>
                      <w:szCs w:val="18"/>
                      <w:highlight w:val="none"/>
                    </w:rPr>
                    <w:t>生产设施运行管理信息（生产时间、运行负荷、产品产量等）；</w:t>
                  </w:r>
                </w:p>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2.</w:t>
                  </w:r>
                  <w:r>
                    <w:rPr>
                      <w:rFonts w:hint="eastAsia" w:ascii="Times New Roman" w:hAnsi="Times New Roman" w:cs="Times New Roman"/>
                      <w:b w:val="0"/>
                      <w:bCs/>
                      <w:color w:val="auto"/>
                      <w:sz w:val="18"/>
                      <w:szCs w:val="18"/>
                      <w:highlight w:val="none"/>
                    </w:rPr>
                    <w:t>废气污染治理设施运行管理信息；</w:t>
                  </w:r>
                </w:p>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3.</w:t>
                  </w:r>
                  <w:r>
                    <w:rPr>
                      <w:rFonts w:hint="eastAsia" w:ascii="Times New Roman" w:hAnsi="Times New Roman" w:cs="Times New Roman"/>
                      <w:b w:val="0"/>
                      <w:bCs/>
                      <w:color w:val="auto"/>
                      <w:sz w:val="18"/>
                      <w:szCs w:val="18"/>
                      <w:highlight w:val="none"/>
                    </w:rPr>
                    <w:t>监测记录信息（主要污染排放口废气排放记录等）；</w:t>
                  </w:r>
                </w:p>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4.</w:t>
                  </w:r>
                  <w:r>
                    <w:rPr>
                      <w:rFonts w:hint="eastAsia" w:ascii="Times New Roman" w:hAnsi="Times New Roman" w:cs="Times New Roman"/>
                      <w:b w:val="0"/>
                      <w:bCs/>
                      <w:color w:val="auto"/>
                      <w:sz w:val="18"/>
                      <w:szCs w:val="18"/>
                      <w:highlight w:val="none"/>
                    </w:rPr>
                    <w:t>主要原辅材料消耗记录；</w:t>
                  </w:r>
                </w:p>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5.</w:t>
                  </w:r>
                  <w:r>
                    <w:rPr>
                      <w:rFonts w:hint="eastAsia" w:ascii="Times New Roman" w:hAnsi="Times New Roman" w:cs="Times New Roman"/>
                      <w:b w:val="0"/>
                      <w:bCs/>
                      <w:color w:val="auto"/>
                      <w:sz w:val="18"/>
                      <w:szCs w:val="18"/>
                      <w:highlight w:val="none"/>
                    </w:rPr>
                    <w:t>燃料消耗记录；</w:t>
                  </w:r>
                </w:p>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6.</w:t>
                  </w:r>
                  <w:r>
                    <w:rPr>
                      <w:rFonts w:hint="eastAsia" w:ascii="Times New Roman" w:hAnsi="Times New Roman" w:cs="Times New Roman"/>
                      <w:b w:val="0"/>
                      <w:bCs/>
                      <w:color w:val="auto"/>
                      <w:sz w:val="18"/>
                      <w:szCs w:val="18"/>
                      <w:highlight w:val="none"/>
                    </w:rPr>
                    <w:t>固废、危废处理记录；</w:t>
                  </w:r>
                </w:p>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7.</w:t>
                  </w:r>
                  <w:r>
                    <w:rPr>
                      <w:rFonts w:hint="eastAsia" w:ascii="Times New Roman" w:hAnsi="Times New Roman" w:cs="Times New Roman"/>
                      <w:b w:val="0"/>
                      <w:bCs/>
                      <w:color w:val="auto"/>
                      <w:sz w:val="18"/>
                      <w:szCs w:val="18"/>
                      <w:highlight w:val="none"/>
                    </w:rPr>
                    <w:t>运输车辆、厂内车辆、非道路移动机械电子台账（进出厂时间、车辆或非道路移动机械信息、运送货物名称及运量等）。</w:t>
                  </w:r>
                </w:p>
              </w:tc>
              <w:tc>
                <w:tcPr>
                  <w:tcW w:w="611" w:type="pct"/>
                  <w:vMerge w:val="restar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eastAsia="宋体"/>
                      <w:b w:val="0"/>
                      <w:bCs/>
                      <w:color w:val="auto"/>
                      <w:sz w:val="18"/>
                      <w:szCs w:val="18"/>
                      <w:highlight w:val="none"/>
                      <w:lang w:eastAsia="zh-CN"/>
                    </w:rPr>
                  </w:pPr>
                  <w:r>
                    <w:rPr>
                      <w:rFonts w:hint="eastAsia"/>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p>
              </w:tc>
              <w:tc>
                <w:tcPr>
                  <w:tcW w:w="33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p>
              </w:tc>
              <w:tc>
                <w:tcPr>
                  <w:tcW w:w="2189"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2.</w:t>
                  </w:r>
                  <w:r>
                    <w:rPr>
                      <w:rFonts w:hint="eastAsia" w:ascii="Times New Roman" w:hAnsi="Times New Roman" w:cs="Times New Roman"/>
                      <w:b w:val="0"/>
                      <w:bCs/>
                      <w:color w:val="auto"/>
                      <w:sz w:val="18"/>
                      <w:szCs w:val="18"/>
                      <w:highlight w:val="none"/>
                    </w:rPr>
                    <w:t>废气污染治理设施运行管理信息；</w:t>
                  </w:r>
                </w:p>
              </w:tc>
              <w:tc>
                <w:tcPr>
                  <w:tcW w:w="1450"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p>
              </w:tc>
              <w:tc>
                <w:tcPr>
                  <w:tcW w:w="611" w:type="pct"/>
                  <w:vMerge w:val="continue"/>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p>
              </w:tc>
              <w:tc>
                <w:tcPr>
                  <w:tcW w:w="33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p>
              </w:tc>
              <w:tc>
                <w:tcPr>
                  <w:tcW w:w="2189"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3.</w:t>
                  </w:r>
                  <w:r>
                    <w:rPr>
                      <w:rFonts w:hint="eastAsia" w:ascii="Times New Roman" w:hAnsi="Times New Roman" w:cs="Times New Roman"/>
                      <w:b w:val="0"/>
                      <w:bCs/>
                      <w:color w:val="auto"/>
                      <w:sz w:val="18"/>
                      <w:szCs w:val="18"/>
                      <w:highlight w:val="none"/>
                    </w:rPr>
                    <w:t>监测记录信息（主要污染排放口废气排放记录等）；</w:t>
                  </w:r>
                </w:p>
              </w:tc>
              <w:tc>
                <w:tcPr>
                  <w:tcW w:w="1450"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p>
              </w:tc>
              <w:tc>
                <w:tcPr>
                  <w:tcW w:w="611" w:type="pct"/>
                  <w:vMerge w:val="continue"/>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p>
              </w:tc>
              <w:tc>
                <w:tcPr>
                  <w:tcW w:w="33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p>
              </w:tc>
              <w:tc>
                <w:tcPr>
                  <w:tcW w:w="2189"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4.</w:t>
                  </w:r>
                  <w:r>
                    <w:rPr>
                      <w:rFonts w:hint="eastAsia" w:ascii="Times New Roman" w:hAnsi="Times New Roman" w:cs="Times New Roman"/>
                      <w:b w:val="0"/>
                      <w:bCs/>
                      <w:color w:val="auto"/>
                      <w:sz w:val="18"/>
                      <w:szCs w:val="18"/>
                      <w:highlight w:val="none"/>
                    </w:rPr>
                    <w:t>主要原辅材料消耗记录；</w:t>
                  </w:r>
                </w:p>
              </w:tc>
              <w:tc>
                <w:tcPr>
                  <w:tcW w:w="1450"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p>
              </w:tc>
              <w:tc>
                <w:tcPr>
                  <w:tcW w:w="611" w:type="pct"/>
                  <w:vMerge w:val="continue"/>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p>
              </w:tc>
              <w:tc>
                <w:tcPr>
                  <w:tcW w:w="33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p>
              </w:tc>
              <w:tc>
                <w:tcPr>
                  <w:tcW w:w="2189"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5.</w:t>
                  </w:r>
                  <w:r>
                    <w:rPr>
                      <w:rFonts w:hint="eastAsia" w:ascii="Times New Roman" w:hAnsi="Times New Roman" w:cs="Times New Roman"/>
                      <w:b w:val="0"/>
                      <w:bCs/>
                      <w:color w:val="auto"/>
                      <w:sz w:val="18"/>
                      <w:szCs w:val="18"/>
                      <w:highlight w:val="none"/>
                    </w:rPr>
                    <w:t>燃料消耗记录；</w:t>
                  </w:r>
                </w:p>
              </w:tc>
              <w:tc>
                <w:tcPr>
                  <w:tcW w:w="1450"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p>
              </w:tc>
              <w:tc>
                <w:tcPr>
                  <w:tcW w:w="611" w:type="pct"/>
                  <w:vMerge w:val="continue"/>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green"/>
                    </w:rPr>
                  </w:pPr>
                </w:p>
              </w:tc>
              <w:tc>
                <w:tcPr>
                  <w:tcW w:w="33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s="Times New Roman"/>
                      <w:b w:val="0"/>
                      <w:bCs/>
                      <w:color w:val="auto"/>
                      <w:sz w:val="18"/>
                      <w:szCs w:val="18"/>
                      <w:highlight w:val="green"/>
                    </w:rPr>
                  </w:pPr>
                </w:p>
              </w:tc>
              <w:tc>
                <w:tcPr>
                  <w:tcW w:w="2189"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6.</w:t>
                  </w:r>
                  <w:r>
                    <w:rPr>
                      <w:rFonts w:hint="eastAsia" w:ascii="Times New Roman" w:hAnsi="Times New Roman" w:cs="Times New Roman"/>
                      <w:b w:val="0"/>
                      <w:bCs/>
                      <w:color w:val="auto"/>
                      <w:sz w:val="18"/>
                      <w:szCs w:val="18"/>
                      <w:highlight w:val="none"/>
                    </w:rPr>
                    <w:t>固废、危废处理记录；</w:t>
                  </w:r>
                </w:p>
              </w:tc>
              <w:tc>
                <w:tcPr>
                  <w:tcW w:w="1450"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p>
              </w:tc>
              <w:tc>
                <w:tcPr>
                  <w:tcW w:w="611" w:type="pct"/>
                  <w:vMerge w:val="continue"/>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green"/>
                    </w:rPr>
                  </w:pPr>
                </w:p>
              </w:tc>
              <w:tc>
                <w:tcPr>
                  <w:tcW w:w="33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s="Times New Roman"/>
                      <w:b w:val="0"/>
                      <w:bCs/>
                      <w:color w:val="auto"/>
                      <w:sz w:val="18"/>
                      <w:szCs w:val="18"/>
                      <w:highlight w:val="green"/>
                    </w:rPr>
                  </w:pPr>
                </w:p>
              </w:tc>
              <w:tc>
                <w:tcPr>
                  <w:tcW w:w="2189"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7.</w:t>
                  </w:r>
                  <w:r>
                    <w:rPr>
                      <w:rFonts w:hint="eastAsia" w:ascii="Times New Roman" w:hAnsi="Times New Roman" w:cs="Times New Roman"/>
                      <w:b w:val="0"/>
                      <w:bCs/>
                      <w:color w:val="auto"/>
                      <w:sz w:val="18"/>
                      <w:szCs w:val="18"/>
                      <w:highlight w:val="none"/>
                    </w:rPr>
                    <w:t>运输车辆、厂内车辆、非道路移动机械电子台账（进出厂时间、车辆或非道路移动机械信息、运送货物名称及运量等）。</w:t>
                  </w:r>
                </w:p>
              </w:tc>
              <w:tc>
                <w:tcPr>
                  <w:tcW w:w="1450"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p>
              </w:tc>
              <w:tc>
                <w:tcPr>
                  <w:tcW w:w="611" w:type="pct"/>
                  <w:vMerge w:val="continue"/>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s="Times New Roman"/>
                      <w:b w:val="0"/>
                      <w:bCs/>
                      <w:color w:val="auto"/>
                      <w:sz w:val="18"/>
                      <w:szCs w:val="18"/>
                      <w:highlight w:val="none"/>
                    </w:rPr>
                  </w:pPr>
                </w:p>
              </w:tc>
              <w:tc>
                <w:tcPr>
                  <w:tcW w:w="339"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人员配置</w:t>
                  </w:r>
                </w:p>
              </w:tc>
              <w:tc>
                <w:tcPr>
                  <w:tcW w:w="2189"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设置环保部门，配备专职环保人员，并具备相应的环境管理能力（学历、培训）。</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本项目将</w:t>
                  </w:r>
                  <w:r>
                    <w:rPr>
                      <w:rFonts w:hint="eastAsia" w:ascii="Times New Roman" w:hAnsi="Times New Roman" w:cs="Times New Roman"/>
                      <w:b w:val="0"/>
                      <w:bCs/>
                      <w:color w:val="auto"/>
                      <w:sz w:val="18"/>
                      <w:szCs w:val="18"/>
                      <w:highlight w:val="none"/>
                    </w:rPr>
                    <w:t>设置环保部门，</w:t>
                  </w:r>
                  <w:r>
                    <w:rPr>
                      <w:rFonts w:ascii="Times New Roman" w:hAnsi="Times New Roman" w:cs="Times New Roman"/>
                      <w:b w:val="0"/>
                      <w:bCs/>
                      <w:color w:val="auto"/>
                      <w:sz w:val="18"/>
                      <w:szCs w:val="18"/>
                      <w:highlight w:val="none"/>
                    </w:rPr>
                    <w:t>配备专职环保人员，并具备相应的环境管理能力。</w:t>
                  </w:r>
                </w:p>
              </w:tc>
              <w:tc>
                <w:tcPr>
                  <w:tcW w:w="611" w:type="pc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eastAsia="宋体"/>
                      <w:b w:val="0"/>
                      <w:bCs/>
                      <w:color w:val="auto"/>
                      <w:sz w:val="18"/>
                      <w:szCs w:val="18"/>
                      <w:highlight w:val="none"/>
                      <w:lang w:eastAsia="zh-CN"/>
                    </w:rPr>
                  </w:pPr>
                  <w:r>
                    <w:rPr>
                      <w:rFonts w:hint="eastAsia"/>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运输方式</w:t>
                  </w:r>
                </w:p>
              </w:tc>
              <w:tc>
                <w:tcPr>
                  <w:tcW w:w="2529" w:type="pct"/>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1</w:t>
                  </w:r>
                  <w:r>
                    <w:rPr>
                      <w:rFonts w:hint="eastAsia" w:ascii="Times New Roman" w:hAnsi="Times New Roman" w:cs="Times New Roman"/>
                      <w:b w:val="0"/>
                      <w:bCs/>
                      <w:color w:val="auto"/>
                      <w:sz w:val="18"/>
                      <w:szCs w:val="18"/>
                      <w:highlight w:val="none"/>
                    </w:rPr>
                    <w:t>.物料、产品公路运输全部使用国五及以上排放标准的重型载货车辆（重型燃气车辆达到国六排放标准）或新能源车辆；</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本项目物料、产品运输均委托专业运输单位采用国五以上车辆运输</w:t>
                  </w:r>
                </w:p>
              </w:tc>
              <w:tc>
                <w:tcPr>
                  <w:tcW w:w="611" w:type="pct"/>
                  <w:vMerge w:val="restar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eastAsia="宋体"/>
                      <w:b w:val="0"/>
                      <w:bCs/>
                      <w:color w:val="auto"/>
                      <w:sz w:val="18"/>
                      <w:szCs w:val="18"/>
                      <w:highlight w:val="none"/>
                      <w:lang w:eastAsia="zh-CN"/>
                    </w:rPr>
                  </w:pPr>
                  <w:r>
                    <w:rPr>
                      <w:rFonts w:hint="eastAsia"/>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p>
              </w:tc>
              <w:tc>
                <w:tcPr>
                  <w:tcW w:w="2529" w:type="pct"/>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2</w:t>
                  </w:r>
                  <w:r>
                    <w:rPr>
                      <w:rFonts w:hint="eastAsia" w:ascii="Times New Roman" w:hAnsi="Times New Roman" w:cs="Times New Roman"/>
                      <w:b w:val="0"/>
                      <w:bCs/>
                      <w:color w:val="auto"/>
                      <w:sz w:val="18"/>
                      <w:szCs w:val="18"/>
                      <w:highlight w:val="none"/>
                    </w:rPr>
                    <w:t>.厂区车辆全部达国五及以上排放标准（重型燃气车辆达到国六排放标准）或使用新能源车辆；</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本项目无厂区内物料转运车间</w:t>
                  </w:r>
                </w:p>
              </w:tc>
              <w:tc>
                <w:tcPr>
                  <w:tcW w:w="611" w:type="pct"/>
                  <w:vMerge w:val="continue"/>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p>
              </w:tc>
              <w:tc>
                <w:tcPr>
                  <w:tcW w:w="2529" w:type="pct"/>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3</w:t>
                  </w:r>
                  <w:r>
                    <w:rPr>
                      <w:rFonts w:hint="eastAsia" w:ascii="Times New Roman" w:hAnsi="Times New Roman" w:cs="Times New Roman"/>
                      <w:b w:val="0"/>
                      <w:bCs/>
                      <w:color w:val="auto"/>
                      <w:sz w:val="18"/>
                      <w:szCs w:val="18"/>
                      <w:highlight w:val="none"/>
                    </w:rPr>
                    <w:t>.厂内非道路移动机械达到国三及以上排放标准或使用新能源机械。</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本项目无厂内非道路移动机械，大吨位物料运输均采用手拉式拖车转运</w:t>
                  </w:r>
                </w:p>
              </w:tc>
              <w:tc>
                <w:tcPr>
                  <w:tcW w:w="611" w:type="pct"/>
                  <w:vMerge w:val="continue"/>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b w:val="0"/>
                      <w:bCs/>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09"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运输监管</w:t>
                  </w:r>
                </w:p>
              </w:tc>
              <w:tc>
                <w:tcPr>
                  <w:tcW w:w="2529" w:type="pct"/>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日均进出货物</w:t>
                  </w:r>
                  <w:r>
                    <w:rPr>
                      <w:rFonts w:ascii="Times New Roman" w:hAnsi="Times New Roman" w:cs="Times New Roman"/>
                      <w:b w:val="0"/>
                      <w:bCs/>
                      <w:color w:val="auto"/>
                      <w:sz w:val="18"/>
                      <w:szCs w:val="18"/>
                      <w:highlight w:val="none"/>
                    </w:rPr>
                    <w:t>150</w:t>
                  </w:r>
                  <w:r>
                    <w:rPr>
                      <w:rFonts w:hint="eastAsia" w:ascii="Times New Roman" w:hAnsi="Times New Roman" w:cs="Times New Roman"/>
                      <w:b w:val="0"/>
                      <w:bCs/>
                      <w:color w:val="auto"/>
                      <w:sz w:val="18"/>
                      <w:szCs w:val="18"/>
                      <w:highlight w:val="none"/>
                    </w:rPr>
                    <w:t>吨（或载货车辆日进出</w:t>
                  </w:r>
                  <w:r>
                    <w:rPr>
                      <w:rFonts w:ascii="Times New Roman" w:hAnsi="Times New Roman" w:cs="Times New Roman"/>
                      <w:b w:val="0"/>
                      <w:bCs/>
                      <w:color w:val="auto"/>
                      <w:sz w:val="18"/>
                      <w:szCs w:val="18"/>
                      <w:highlight w:val="none"/>
                    </w:rPr>
                    <w:t>10</w:t>
                  </w:r>
                  <w:r>
                    <w:rPr>
                      <w:rFonts w:hint="eastAsia" w:ascii="Times New Roman" w:hAnsi="Times New Roman" w:cs="Times New Roman"/>
                      <w:b w:val="0"/>
                      <w:bCs/>
                      <w:color w:val="auto"/>
                      <w:sz w:val="18"/>
                      <w:szCs w:val="18"/>
                      <w:highlight w:val="none"/>
                    </w:rPr>
                    <w:t>辆次）及以上（货物包括原料、辅料、燃料、产品和其他与生产相关物料）的企业，或纳入我省重点行业年产值</w:t>
                  </w:r>
                  <w:r>
                    <w:rPr>
                      <w:rFonts w:ascii="Times New Roman" w:hAnsi="Times New Roman" w:cs="Times New Roman"/>
                      <w:b w:val="0"/>
                      <w:bCs/>
                      <w:color w:val="auto"/>
                      <w:sz w:val="18"/>
                      <w:szCs w:val="18"/>
                      <w:highlight w:val="none"/>
                    </w:rPr>
                    <w:t>1000</w:t>
                  </w:r>
                  <w:r>
                    <w:rPr>
                      <w:rFonts w:hint="eastAsia" w:ascii="Times New Roman" w:hAnsi="Times New Roman" w:cs="Times New Roman"/>
                      <w:b w:val="0"/>
                      <w:bCs/>
                      <w:color w:val="auto"/>
                      <w:sz w:val="18"/>
                      <w:szCs w:val="18"/>
                      <w:highlight w:val="none"/>
                    </w:rPr>
                    <w:t>万及以上的企业，应参照《重污染天气重点行业移动源应急管理技术指南》建立门禁视频监控系统和电子台账；其他企业建立电子台账。</w:t>
                  </w:r>
                </w:p>
              </w:tc>
              <w:tc>
                <w:tcPr>
                  <w:tcW w:w="1450" w:type="pc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ascii="Times New Roman" w:hAnsi="Times New Roman" w:cs="Times New Roman"/>
                      <w:b w:val="0"/>
                      <w:bCs/>
                      <w:color w:val="auto"/>
                      <w:sz w:val="18"/>
                      <w:szCs w:val="18"/>
                      <w:highlight w:val="none"/>
                    </w:rPr>
                  </w:pPr>
                  <w:r>
                    <w:rPr>
                      <w:rFonts w:ascii="Times New Roman" w:hAnsi="Times New Roman" w:cs="Times New Roman"/>
                      <w:b w:val="0"/>
                      <w:bCs/>
                      <w:color w:val="auto"/>
                      <w:sz w:val="18"/>
                      <w:szCs w:val="18"/>
                      <w:highlight w:val="none"/>
                    </w:rPr>
                    <w:t>本项目将按生态环境管理部门要求建立门禁视频监控系统和电子台账。</w:t>
                  </w:r>
                </w:p>
              </w:tc>
              <w:tc>
                <w:tcPr>
                  <w:tcW w:w="611" w:type="pct"/>
                  <w:tcBorders>
                    <w:tl2br w:val="nil"/>
                    <w:tr2bl w:val="nil"/>
                  </w:tcBorders>
                  <w:vAlign w:val="center"/>
                </w:tcPr>
                <w:p>
                  <w:pPr>
                    <w:pStyle w:val="6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eastAsia="宋体"/>
                      <w:b w:val="0"/>
                      <w:bCs/>
                      <w:color w:val="auto"/>
                      <w:sz w:val="18"/>
                      <w:szCs w:val="18"/>
                      <w:highlight w:val="none"/>
                      <w:lang w:eastAsia="zh-CN"/>
                    </w:rPr>
                  </w:pPr>
                  <w:r>
                    <w:rPr>
                      <w:rFonts w:hint="eastAsia"/>
                      <w:b w:val="0"/>
                      <w:bCs/>
                      <w:color w:val="auto"/>
                      <w:sz w:val="18"/>
                      <w:szCs w:val="18"/>
                      <w:highlight w:val="none"/>
                      <w:lang w:eastAsia="zh-CN"/>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color w:val="auto"/>
                <w:highlight w:val="none"/>
                <w:lang w:val="en-US" w:eastAsia="zh-CN"/>
              </w:rPr>
            </w:pPr>
            <w:r>
              <w:rPr>
                <w:rFonts w:hint="eastAsia" w:cs="Times New Roman"/>
                <w:b w:val="0"/>
                <w:bCs w:val="0"/>
                <w:color w:val="auto"/>
                <w:szCs w:val="24"/>
                <w:highlight w:val="none"/>
                <w:lang w:val="en-US" w:eastAsia="zh-CN"/>
              </w:rPr>
              <w:t>综上所述，本项目建设完成后可达到《河南省重污染天气重点行业应急减排措施制定技术指南》电池制造绩效分级指标A级以上要求。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right="0" w:rightChars="0"/>
              <w:textAlignment w:val="auto"/>
              <w:rPr>
                <w:rFonts w:hint="default"/>
                <w:b/>
                <w:bCs w:val="0"/>
                <w:color w:val="auto"/>
                <w:lang w:val="zh-CN"/>
              </w:rPr>
            </w:pPr>
            <w:r>
              <w:rPr>
                <w:rFonts w:hint="eastAsia" w:cs="Times New Roman"/>
                <w:b/>
                <w:bCs w:val="0"/>
                <w:color w:val="auto"/>
                <w:spacing w:val="-4"/>
                <w:kern w:val="0"/>
                <w:sz w:val="21"/>
                <w:szCs w:val="21"/>
                <w:highlight w:val="none"/>
                <w:lang w:val="en-US" w:eastAsia="zh-CN"/>
              </w:rPr>
              <w:t>9、</w:t>
            </w:r>
            <w:r>
              <w:rPr>
                <w:rFonts w:hint="default" w:ascii="Times New Roman" w:hAnsi="Times New Roman" w:cs="Times New Roman"/>
                <w:b/>
                <w:bCs w:val="0"/>
                <w:color w:val="auto"/>
                <w:spacing w:val="-4"/>
                <w:kern w:val="0"/>
                <w:sz w:val="21"/>
                <w:szCs w:val="21"/>
                <w:highlight w:val="none"/>
                <w:lang w:val="zh-CN"/>
              </w:rPr>
              <w:t>本项目与《挥发性有机物无组织排放控制标准》（</w:t>
            </w:r>
            <w:r>
              <w:rPr>
                <w:rFonts w:hint="default" w:ascii="Times New Roman" w:hAnsi="Times New Roman" w:cs="Times New Roman"/>
                <w:b/>
                <w:bCs w:val="0"/>
                <w:color w:val="auto"/>
                <w:spacing w:val="-4"/>
                <w:kern w:val="0"/>
                <w:sz w:val="21"/>
                <w:szCs w:val="21"/>
                <w:highlight w:val="none"/>
              </w:rPr>
              <w:t>GB37822-2019</w:t>
            </w:r>
            <w:r>
              <w:rPr>
                <w:rFonts w:hint="default" w:ascii="Times New Roman" w:hAnsi="Times New Roman" w:cs="Times New Roman"/>
                <w:b/>
                <w:bCs w:val="0"/>
                <w:color w:val="auto"/>
                <w:spacing w:val="-4"/>
                <w:kern w:val="0"/>
                <w:sz w:val="21"/>
                <w:szCs w:val="21"/>
                <w:highlight w:val="none"/>
                <w:lang w:val="zh-CN"/>
              </w:rPr>
              <w:t>）相符性</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zh-CN" w:eastAsia="zh-CN"/>
              </w:rPr>
              <w:t>与《挥发性有机物无组织排放控制标准》对比分析一览表</w:t>
            </w:r>
          </w:p>
          <w:tbl>
            <w:tblPr>
              <w:tblStyle w:val="21"/>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7"/>
              <w:gridCol w:w="3211"/>
              <w:gridCol w:w="2065"/>
              <w:gridCol w:w="71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08"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《控制标准》中与本项目有关的内容</w:t>
                  </w:r>
                </w:p>
              </w:tc>
              <w:tc>
                <w:tcPr>
                  <w:tcW w:w="20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本项目情况</w:t>
                  </w:r>
                </w:p>
              </w:tc>
              <w:tc>
                <w:tcPr>
                  <w:tcW w:w="7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是否符合要求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5.VOCs物料储存无组织排放控制要求</w:t>
                  </w:r>
                </w:p>
              </w:tc>
              <w:tc>
                <w:tcPr>
                  <w:tcW w:w="321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5.1.1 VOCs物料应储存于密闭的容器、包装袋、储罐、储库、料仓中。5.1.2盛装VOCs物料的容器或包装袋应存放于室内，或存放于设置有雨棚、遮阳和防渗设施的专用场地，盛装VOCs物料的容器或包装袋在非取用状态时应加盖、封口，保持密闭。</w:t>
                  </w:r>
                </w:p>
              </w:tc>
              <w:tc>
                <w:tcPr>
                  <w:tcW w:w="20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u w:val="none"/>
                      <w:lang w:eastAsia="zh-CN"/>
                    </w:rPr>
                    <w:t>本项目</w:t>
                  </w:r>
                  <w:r>
                    <w:rPr>
                      <w:rFonts w:hint="default" w:ascii="Times New Roman" w:hAnsi="Times New Roman" w:cs="Times New Roman"/>
                      <w:b w:val="0"/>
                      <w:bCs/>
                      <w:color w:val="auto"/>
                      <w:sz w:val="18"/>
                      <w:szCs w:val="18"/>
                      <w:highlight w:val="none"/>
                      <w:u w:val="none"/>
                      <w:lang w:eastAsia="zh-CN"/>
                    </w:rPr>
                    <w:t>涉</w:t>
                  </w:r>
                  <w:r>
                    <w:rPr>
                      <w:rFonts w:hint="default" w:ascii="Times New Roman" w:hAnsi="Times New Roman" w:cs="Times New Roman"/>
                      <w:b w:val="0"/>
                      <w:bCs/>
                      <w:color w:val="auto"/>
                      <w:sz w:val="18"/>
                      <w:szCs w:val="18"/>
                      <w:highlight w:val="none"/>
                      <w:u w:val="none"/>
                      <w:lang w:val="en-US" w:eastAsia="zh-CN"/>
                    </w:rPr>
                    <w:t>VOCs</w:t>
                  </w:r>
                  <w:r>
                    <w:rPr>
                      <w:rFonts w:hint="eastAsia" w:cs="Times New Roman"/>
                      <w:b w:val="0"/>
                      <w:bCs/>
                      <w:color w:val="auto"/>
                      <w:sz w:val="18"/>
                      <w:szCs w:val="18"/>
                      <w:highlight w:val="none"/>
                      <w:u w:val="none"/>
                      <w:lang w:val="en-US" w:eastAsia="zh-CN"/>
                    </w:rPr>
                    <w:t>主要为电解液，均采用密闭桶装于车间内原料区存放</w:t>
                  </w:r>
                  <w:r>
                    <w:rPr>
                      <w:rFonts w:hint="default" w:ascii="Times New Roman" w:hAnsi="Times New Roman" w:eastAsia="宋体" w:cs="Times New Roman"/>
                      <w:b w:val="0"/>
                      <w:bCs/>
                      <w:color w:val="auto"/>
                      <w:sz w:val="18"/>
                      <w:szCs w:val="18"/>
                      <w:highlight w:val="none"/>
                      <w:u w:val="none"/>
                      <w:lang w:eastAsia="zh-CN"/>
                    </w:rPr>
                    <w:t>，</w:t>
                  </w:r>
                  <w:r>
                    <w:rPr>
                      <w:rFonts w:hint="eastAsia" w:cs="Times New Roman"/>
                      <w:b w:val="0"/>
                      <w:bCs/>
                      <w:color w:val="auto"/>
                      <w:sz w:val="18"/>
                      <w:szCs w:val="18"/>
                      <w:highlight w:val="none"/>
                      <w:u w:val="none"/>
                      <w:lang w:eastAsia="zh-CN"/>
                    </w:rPr>
                    <w:t>非生产过程均保持密闭</w:t>
                  </w:r>
                  <w:r>
                    <w:rPr>
                      <w:rFonts w:hint="default" w:ascii="Times New Roman" w:hAnsi="Times New Roman" w:cs="Times New Roman"/>
                      <w:b w:val="0"/>
                      <w:bCs/>
                      <w:color w:val="auto"/>
                      <w:kern w:val="0"/>
                      <w:sz w:val="18"/>
                      <w:szCs w:val="18"/>
                      <w:highlight w:val="none"/>
                      <w:lang w:eastAsia="zh-CN"/>
                    </w:rPr>
                    <w:t>。</w:t>
                  </w:r>
                </w:p>
              </w:tc>
              <w:tc>
                <w:tcPr>
                  <w:tcW w:w="7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7.工艺工程VOC</w:t>
                  </w:r>
                  <w:r>
                    <w:rPr>
                      <w:rFonts w:hint="default" w:ascii="Times New Roman" w:hAnsi="Times New Roman" w:cs="Times New Roman"/>
                      <w:b w:val="0"/>
                      <w:bCs/>
                      <w:color w:val="auto"/>
                      <w:sz w:val="18"/>
                      <w:szCs w:val="18"/>
                      <w:highlight w:val="none"/>
                      <w:vertAlign w:val="subscript"/>
                    </w:rPr>
                    <w:t>S</w:t>
                  </w:r>
                  <w:r>
                    <w:rPr>
                      <w:rFonts w:hint="default" w:ascii="Times New Roman" w:hAnsi="Times New Roman" w:cs="Times New Roman"/>
                      <w:b w:val="0"/>
                      <w:bCs/>
                      <w:color w:val="auto"/>
                      <w:sz w:val="18"/>
                      <w:szCs w:val="18"/>
                      <w:highlight w:val="none"/>
                    </w:rPr>
                    <w:t>无组织排放控制要求</w:t>
                  </w:r>
                </w:p>
              </w:tc>
              <w:tc>
                <w:tcPr>
                  <w:tcW w:w="321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7.2含VOCs 产品的使用过程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7.2.2 有机聚合物产品用于制品生产的过程，在混合/混炼、塑炼/塑化/熔化、加工成型（挤出、注射、压制、压延、</w:t>
                  </w:r>
                  <w:r>
                    <w:rPr>
                      <w:rFonts w:hint="default" w:ascii="Times New Roman" w:hAnsi="Times New Roman" w:cs="Times New Roman"/>
                      <w:b w:val="0"/>
                      <w:bCs/>
                      <w:color w:val="auto"/>
                      <w:sz w:val="18"/>
                      <w:szCs w:val="18"/>
                      <w:highlight w:val="none"/>
                      <w:lang w:eastAsia="zh-CN"/>
                    </w:rPr>
                    <w:t>发泡加热</w:t>
                  </w:r>
                  <w:r>
                    <w:rPr>
                      <w:rFonts w:hint="default" w:ascii="Times New Roman" w:hAnsi="Times New Roman" w:cs="Times New Roman"/>
                      <w:b w:val="0"/>
                      <w:bCs/>
                      <w:color w:val="auto"/>
                      <w:sz w:val="18"/>
                      <w:szCs w:val="18"/>
                      <w:highlight w:val="none"/>
                    </w:rPr>
                    <w:t>、纺丝等）等作业中应采用密闭设备或在密闭空间内操作，废气应排至VOCs 废气收集处理系统；无法密闭的，应采取局部气体收集措施，废气应排至VOCs废气收集处理系统。</w:t>
                  </w:r>
                </w:p>
              </w:tc>
              <w:tc>
                <w:tcPr>
                  <w:tcW w:w="20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color w:val="auto"/>
                      <w:sz w:val="18"/>
                      <w:szCs w:val="18"/>
                      <w:highlight w:val="green"/>
                    </w:rPr>
                  </w:pPr>
                  <w:r>
                    <w:rPr>
                      <w:rFonts w:hint="default" w:ascii="Times New Roman" w:hAnsi="Times New Roman" w:cs="Times New Roman"/>
                      <w:b w:val="0"/>
                      <w:bCs/>
                      <w:color w:val="auto"/>
                      <w:sz w:val="18"/>
                      <w:szCs w:val="18"/>
                      <w:highlight w:val="none"/>
                    </w:rPr>
                    <w:t>本项目</w:t>
                  </w:r>
                  <w:r>
                    <w:rPr>
                      <w:rFonts w:hint="eastAsia" w:cs="Times New Roman"/>
                      <w:b w:val="0"/>
                      <w:bCs/>
                      <w:color w:val="auto"/>
                      <w:sz w:val="18"/>
                      <w:szCs w:val="18"/>
                      <w:highlight w:val="none"/>
                      <w:lang w:eastAsia="zh-CN"/>
                    </w:rPr>
                    <w:t>注液采用真空注液，注液机抽真空尾气通过密闭管道排入</w:t>
                  </w:r>
                  <w:r>
                    <w:rPr>
                      <w:rFonts w:hint="eastAsia" w:cs="Times New Roman"/>
                      <w:b w:val="0"/>
                      <w:bCs/>
                      <w:color w:val="auto"/>
                      <w:sz w:val="18"/>
                      <w:szCs w:val="18"/>
                      <w:highlight w:val="none"/>
                      <w:u w:val="none"/>
                      <w:lang w:val="en-US" w:eastAsia="zh-CN"/>
                    </w:rPr>
                    <w:t>1套</w:t>
                  </w:r>
                  <w:r>
                    <w:rPr>
                      <w:rFonts w:hint="default" w:ascii="Times New Roman" w:hAnsi="Times New Roman" w:eastAsia="宋体" w:cs="Times New Roman"/>
                      <w:b w:val="0"/>
                      <w:bCs/>
                      <w:color w:val="auto"/>
                      <w:sz w:val="18"/>
                      <w:szCs w:val="18"/>
                      <w:highlight w:val="none"/>
                      <w:u w:val="none"/>
                      <w:lang w:val="en-US" w:eastAsia="zh-CN"/>
                    </w:rPr>
                    <w:t>“</w:t>
                  </w:r>
                  <w:r>
                    <w:rPr>
                      <w:rFonts w:hint="eastAsia" w:cs="Times New Roman"/>
                      <w:b w:val="0"/>
                      <w:bCs/>
                      <w:color w:val="auto"/>
                      <w:sz w:val="18"/>
                      <w:szCs w:val="18"/>
                      <w:highlight w:val="none"/>
                      <w:u w:val="none"/>
                      <w:lang w:val="en-US" w:eastAsia="zh-CN"/>
                    </w:rPr>
                    <w:t>UV光催化氧化+活性炭吸附</w:t>
                  </w:r>
                  <w:r>
                    <w:rPr>
                      <w:rFonts w:hint="default" w:ascii="Times New Roman" w:hAnsi="Times New Roman" w:eastAsia="宋体" w:cs="Times New Roman"/>
                      <w:b w:val="0"/>
                      <w:bCs/>
                      <w:color w:val="auto"/>
                      <w:sz w:val="18"/>
                      <w:szCs w:val="18"/>
                      <w:highlight w:val="none"/>
                      <w:u w:val="none"/>
                      <w:lang w:val="en-US" w:eastAsia="zh-CN"/>
                    </w:rPr>
                    <w:t>”</w:t>
                  </w:r>
                  <w:r>
                    <w:rPr>
                      <w:rFonts w:hint="default" w:ascii="Times New Roman" w:hAnsi="Times New Roman" w:eastAsia="宋体" w:cs="Times New Roman"/>
                      <w:b w:val="0"/>
                      <w:bCs/>
                      <w:color w:val="auto"/>
                      <w:sz w:val="18"/>
                      <w:szCs w:val="18"/>
                      <w:highlight w:val="none"/>
                      <w:u w:val="none"/>
                    </w:rPr>
                    <w:t>处理后</w:t>
                  </w:r>
                  <w:r>
                    <w:rPr>
                      <w:rFonts w:hint="default" w:ascii="Times New Roman" w:hAnsi="Times New Roman" w:cs="Times New Roman"/>
                      <w:b w:val="0"/>
                      <w:bCs/>
                      <w:color w:val="auto"/>
                      <w:sz w:val="18"/>
                      <w:szCs w:val="18"/>
                      <w:highlight w:val="none"/>
                      <w:u w:val="none"/>
                      <w:lang w:eastAsia="zh-CN"/>
                    </w:rPr>
                    <w:t>，通过</w:t>
                  </w:r>
                  <w:r>
                    <w:rPr>
                      <w:rFonts w:hint="default" w:ascii="Times New Roman" w:hAnsi="Times New Roman" w:cs="Times New Roman"/>
                      <w:b w:val="0"/>
                      <w:bCs/>
                      <w:color w:val="auto"/>
                      <w:sz w:val="18"/>
                      <w:szCs w:val="18"/>
                      <w:highlight w:val="none"/>
                      <w:u w:val="none"/>
                      <w:lang w:val="en-US" w:eastAsia="zh-CN"/>
                    </w:rPr>
                    <w:t>15m高排气筒</w:t>
                  </w:r>
                  <w:r>
                    <w:rPr>
                      <w:rFonts w:hint="default" w:ascii="Times New Roman" w:hAnsi="Times New Roman" w:eastAsia="宋体" w:cs="Times New Roman"/>
                      <w:b w:val="0"/>
                      <w:bCs/>
                      <w:color w:val="auto"/>
                      <w:sz w:val="18"/>
                      <w:szCs w:val="18"/>
                      <w:highlight w:val="none"/>
                      <w:u w:val="none"/>
                      <w:lang w:val="en-US" w:eastAsia="zh-CN"/>
                    </w:rPr>
                    <w:t>排放。</w:t>
                  </w:r>
                </w:p>
              </w:tc>
              <w:tc>
                <w:tcPr>
                  <w:tcW w:w="7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color w:val="auto"/>
                      <w:sz w:val="18"/>
                      <w:szCs w:val="18"/>
                      <w:highlight w:val="green"/>
                    </w:rPr>
                  </w:pPr>
                </w:p>
              </w:tc>
              <w:tc>
                <w:tcPr>
                  <w:tcW w:w="321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7.3其他要求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7.3.1 企业应建立台账，记录含VOCs 原辅材料和含VOCs产品的名称、使用量、回收量、废弃量、去向以及VOCs 含量等信息。台账保存期限不少于3年。</w:t>
                  </w:r>
                </w:p>
              </w:tc>
              <w:tc>
                <w:tcPr>
                  <w:tcW w:w="20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本项目建成后，企业将按相关要求建立台账，详细记录VOCs物料使用情况；</w:t>
                  </w:r>
                </w:p>
              </w:tc>
              <w:tc>
                <w:tcPr>
                  <w:tcW w:w="7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10.VOCs无组织排放废气收集处理系统要求</w:t>
                  </w:r>
                </w:p>
              </w:tc>
              <w:tc>
                <w:tcPr>
                  <w:tcW w:w="321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10.1 基本要求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10.1.1 针对VOCs无组织排放设置的废气收集处理系统应满足本章要求。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10.1.2 VOCs 废气收集处理系统应与生产工艺设备同步运行。VOCs 废气收集处理系统发生故障</w:t>
                  </w:r>
                  <w:r>
                    <w:rPr>
                      <w:rFonts w:hint="default" w:ascii="Times New Roman" w:hAnsi="Times New Roman" w:cs="Times New Roman"/>
                      <w:b w:val="0"/>
                      <w:bCs/>
                      <w:color w:val="auto"/>
                      <w:sz w:val="18"/>
                      <w:szCs w:val="18"/>
                      <w:highlight w:val="none"/>
                    </w:rPr>
                    <w:cr/>
                  </w:r>
                  <w:r>
                    <w:rPr>
                      <w:rFonts w:hint="default" w:ascii="Times New Roman" w:hAnsi="Times New Roman" w:cs="Times New Roman"/>
                      <w:b w:val="0"/>
                      <w:bCs/>
                      <w:color w:val="auto"/>
                      <w:sz w:val="18"/>
                      <w:szCs w:val="18"/>
                      <w:highlight w:val="none"/>
                    </w:rPr>
                    <w:t>检修时，对应的生产工艺设备应停止运行，待检修完毕后同步投入使用；生产工艺设备不能停止运行或不能及时停止运行的，应设置废气应急处理设施或采取其它替代措施。</w:t>
                  </w:r>
                </w:p>
              </w:tc>
              <w:tc>
                <w:tcPr>
                  <w:tcW w:w="20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本项目建成后，VOCs废气收集处理系统与生产工艺设备同步运行，同时将按相关环保部门要求统一安装环保设施用电监控</w:t>
                  </w:r>
                  <w:r>
                    <w:rPr>
                      <w:rFonts w:hint="default" w:ascii="Times New Roman" w:hAnsi="Times New Roman" w:cs="Times New Roman"/>
                      <w:b w:val="0"/>
                      <w:bCs/>
                      <w:color w:val="auto"/>
                      <w:sz w:val="18"/>
                      <w:szCs w:val="18"/>
                      <w:highlight w:val="none"/>
                      <w:lang w:eastAsia="zh-CN"/>
                    </w:rPr>
                    <w:t>设</w:t>
                  </w:r>
                  <w:r>
                    <w:rPr>
                      <w:rFonts w:hint="default" w:ascii="Times New Roman" w:hAnsi="Times New Roman" w:cs="Times New Roman"/>
                      <w:b w:val="0"/>
                      <w:bCs/>
                      <w:color w:val="auto"/>
                      <w:sz w:val="18"/>
                      <w:szCs w:val="18"/>
                      <w:highlight w:val="none"/>
                    </w:rPr>
                    <w:t>施。</w:t>
                  </w:r>
                </w:p>
              </w:tc>
              <w:tc>
                <w:tcPr>
                  <w:tcW w:w="7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color w:val="auto"/>
                      <w:sz w:val="18"/>
                      <w:szCs w:val="18"/>
                      <w:highlight w:val="green"/>
                    </w:rPr>
                  </w:pPr>
                </w:p>
              </w:tc>
              <w:tc>
                <w:tcPr>
                  <w:tcW w:w="321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10.2 废气收集系统要求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10.2.1 企业应考虑生产工艺、操作方式、废气性质、处理方法等因素，对VOCs 废气进行分类收集。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10.2.2 废气收集系统排风罩（集气罩）的设置应符合GB/T 16758 的规定。采用外部排风罩的，应按GB/T 16758、AQ/T 4274—2016 规定的方法测量控制风速，测量点应</w:t>
                  </w:r>
                  <w:r>
                    <w:rPr>
                      <w:rFonts w:hint="default" w:ascii="Times New Roman" w:hAnsi="Times New Roman" w:cs="Times New Roman"/>
                      <w:b w:val="0"/>
                      <w:bCs/>
                      <w:color w:val="auto"/>
                      <w:sz w:val="18"/>
                      <w:szCs w:val="18"/>
                      <w:highlight w:val="none"/>
                    </w:rPr>
                    <w:cr/>
                  </w:r>
                  <w:r>
                    <w:rPr>
                      <w:rFonts w:hint="default" w:ascii="Times New Roman" w:hAnsi="Times New Roman" w:cs="Times New Roman"/>
                      <w:b w:val="0"/>
                      <w:bCs/>
                      <w:color w:val="auto"/>
                      <w:sz w:val="18"/>
                      <w:szCs w:val="18"/>
                      <w:highlight w:val="none"/>
                    </w:rPr>
                    <w:t>取在距排风罩开口面最远处的VOCs无组织排放位置，控制风速不应低于0.3 m/s（行业相关规范有具体规定的，按相关规定执行）。</w:t>
                  </w:r>
                </w:p>
              </w:tc>
              <w:tc>
                <w:tcPr>
                  <w:tcW w:w="20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rPr>
                    <w:t>本项目</w:t>
                  </w:r>
                  <w:r>
                    <w:rPr>
                      <w:rFonts w:hint="eastAsia" w:cs="Times New Roman"/>
                      <w:b w:val="0"/>
                      <w:bCs/>
                      <w:color w:val="auto"/>
                      <w:sz w:val="18"/>
                      <w:szCs w:val="18"/>
                      <w:highlight w:val="none"/>
                      <w:lang w:eastAsia="zh-CN"/>
                    </w:rPr>
                    <w:t>注液采用真空注液，注液机抽真空尾气通过密闭管道排入</w:t>
                  </w:r>
                  <w:r>
                    <w:rPr>
                      <w:rFonts w:hint="eastAsia" w:cs="Times New Roman"/>
                      <w:b w:val="0"/>
                      <w:bCs/>
                      <w:color w:val="auto"/>
                      <w:sz w:val="18"/>
                      <w:szCs w:val="18"/>
                      <w:highlight w:val="none"/>
                      <w:u w:val="none"/>
                      <w:lang w:val="en-US" w:eastAsia="zh-CN"/>
                    </w:rPr>
                    <w:t>1套</w:t>
                  </w:r>
                  <w:r>
                    <w:rPr>
                      <w:rFonts w:hint="default" w:ascii="Times New Roman" w:hAnsi="Times New Roman" w:eastAsia="宋体" w:cs="Times New Roman"/>
                      <w:b w:val="0"/>
                      <w:bCs/>
                      <w:color w:val="auto"/>
                      <w:sz w:val="18"/>
                      <w:szCs w:val="18"/>
                      <w:highlight w:val="none"/>
                      <w:u w:val="none"/>
                      <w:lang w:val="en-US" w:eastAsia="zh-CN"/>
                    </w:rPr>
                    <w:t>“</w:t>
                  </w:r>
                  <w:r>
                    <w:rPr>
                      <w:rFonts w:hint="eastAsia" w:cs="Times New Roman"/>
                      <w:b w:val="0"/>
                      <w:bCs/>
                      <w:color w:val="auto"/>
                      <w:sz w:val="18"/>
                      <w:szCs w:val="18"/>
                      <w:highlight w:val="none"/>
                      <w:u w:val="none"/>
                      <w:lang w:val="en-US" w:eastAsia="zh-CN"/>
                    </w:rPr>
                    <w:t>UV光催化氧化+活性炭吸附</w:t>
                  </w:r>
                  <w:r>
                    <w:rPr>
                      <w:rFonts w:hint="default" w:ascii="Times New Roman" w:hAnsi="Times New Roman" w:eastAsia="宋体" w:cs="Times New Roman"/>
                      <w:b w:val="0"/>
                      <w:bCs/>
                      <w:color w:val="auto"/>
                      <w:sz w:val="18"/>
                      <w:szCs w:val="18"/>
                      <w:highlight w:val="none"/>
                      <w:u w:val="none"/>
                      <w:lang w:val="en-US" w:eastAsia="zh-CN"/>
                    </w:rPr>
                    <w:t>”</w:t>
                  </w:r>
                  <w:r>
                    <w:rPr>
                      <w:rFonts w:hint="default" w:ascii="Times New Roman" w:hAnsi="Times New Roman" w:eastAsia="宋体" w:cs="Times New Roman"/>
                      <w:b w:val="0"/>
                      <w:bCs/>
                      <w:color w:val="auto"/>
                      <w:sz w:val="18"/>
                      <w:szCs w:val="18"/>
                      <w:highlight w:val="none"/>
                      <w:u w:val="none"/>
                    </w:rPr>
                    <w:t>处理</w:t>
                  </w:r>
                </w:p>
              </w:tc>
              <w:tc>
                <w:tcPr>
                  <w:tcW w:w="7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color w:val="auto"/>
                      <w:sz w:val="18"/>
                      <w:szCs w:val="18"/>
                      <w:highlight w:val="green"/>
                    </w:rPr>
                  </w:pPr>
                </w:p>
              </w:tc>
              <w:tc>
                <w:tcPr>
                  <w:tcW w:w="321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10.3 VOCs排放控制要求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10.3.1 VOC</w:t>
                  </w:r>
                  <w:r>
                    <w:rPr>
                      <w:rFonts w:hint="default" w:ascii="Times New Roman" w:hAnsi="Times New Roman" w:cs="Times New Roman"/>
                      <w:b w:val="0"/>
                      <w:bCs/>
                      <w:color w:val="auto"/>
                      <w:sz w:val="18"/>
                      <w:szCs w:val="18"/>
                      <w:highlight w:val="none"/>
                      <w:vertAlign w:val="subscript"/>
                    </w:rPr>
                    <w:t>S</w:t>
                  </w:r>
                  <w:r>
                    <w:rPr>
                      <w:rFonts w:hint="default" w:ascii="Times New Roman" w:hAnsi="Times New Roman" w:cs="Times New Roman"/>
                      <w:b w:val="0"/>
                      <w:bCs/>
                      <w:color w:val="auto"/>
                      <w:sz w:val="18"/>
                      <w:szCs w:val="18"/>
                      <w:highlight w:val="none"/>
                    </w:rPr>
                    <w:t>废气收集处理系统污染物排放应符合GB16297或相关行业排放标准的规定。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10.3.2 收集的废气中NMHC初始排放速率≥3 kg/h 时，应配置VOCs处理设施，处理效率不应低于80%；对于重点地区，收集的废气中NMHC初始排放速率≥2kg/h时，应配置VOCs 处理设施，处理效率不应低于80%；采用的原辅材料符合国家有关低VOCs 含量产品规定的除外。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10.3.4 排气筒高度不低于15m（因安全考虑或有特殊工艺要求的除外），具体高度以及与周围建筑物的相对高度关系应根据环境影响评价文件确定。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10.3.5当执行不同排放控制要求的废气合并排气筒排放时，应在废气混合前进行监测，并执行相应的排放控制要求；若可选择的监控位置只能对混合后的废气进行监测，则应按各排放控制要求中最严格的规定执行。</w:t>
                  </w:r>
                </w:p>
              </w:tc>
              <w:tc>
                <w:tcPr>
                  <w:tcW w:w="20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1.本项目VOC</w:t>
                  </w:r>
                  <w:r>
                    <w:rPr>
                      <w:rFonts w:hint="default" w:ascii="Times New Roman" w:hAnsi="Times New Roman" w:cs="Times New Roman"/>
                      <w:b w:val="0"/>
                      <w:bCs/>
                      <w:color w:val="auto"/>
                      <w:sz w:val="18"/>
                      <w:szCs w:val="18"/>
                      <w:highlight w:val="none"/>
                      <w:vertAlign w:val="subscript"/>
                    </w:rPr>
                    <w:t>S</w:t>
                  </w:r>
                  <w:r>
                    <w:rPr>
                      <w:rFonts w:hint="default" w:ascii="Times New Roman" w:hAnsi="Times New Roman" w:cs="Times New Roman"/>
                      <w:b w:val="0"/>
                      <w:bCs/>
                      <w:color w:val="auto"/>
                      <w:sz w:val="18"/>
                      <w:szCs w:val="18"/>
                      <w:highlight w:val="none"/>
                    </w:rPr>
                    <w:t>废气污染物排放满足《电池工业污染物排放标准》（GB30484-2013）的规定。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2.本项目</w:t>
                  </w:r>
                  <w:r>
                    <w:rPr>
                      <w:rFonts w:hint="eastAsia" w:cs="Times New Roman"/>
                      <w:b w:val="0"/>
                      <w:bCs/>
                      <w:color w:val="auto"/>
                      <w:sz w:val="18"/>
                      <w:szCs w:val="18"/>
                      <w:highlight w:val="none"/>
                      <w:lang w:eastAsia="zh-CN"/>
                    </w:rPr>
                    <w:t>注液采用真空注液方式，注液机抽真空尾气通过密闭管道排入</w:t>
                  </w:r>
                  <w:r>
                    <w:rPr>
                      <w:rFonts w:hint="eastAsia" w:cs="Times New Roman"/>
                      <w:b w:val="0"/>
                      <w:bCs/>
                      <w:color w:val="auto"/>
                      <w:sz w:val="18"/>
                      <w:szCs w:val="18"/>
                      <w:highlight w:val="none"/>
                      <w:u w:val="none"/>
                      <w:lang w:val="en-US" w:eastAsia="zh-CN"/>
                    </w:rPr>
                    <w:t>1套</w:t>
                  </w:r>
                  <w:r>
                    <w:rPr>
                      <w:rFonts w:hint="default" w:ascii="Times New Roman" w:hAnsi="Times New Roman" w:eastAsia="宋体" w:cs="Times New Roman"/>
                      <w:b w:val="0"/>
                      <w:bCs/>
                      <w:color w:val="auto"/>
                      <w:sz w:val="18"/>
                      <w:szCs w:val="18"/>
                      <w:highlight w:val="none"/>
                      <w:u w:val="none"/>
                      <w:lang w:val="en-US" w:eastAsia="zh-CN"/>
                    </w:rPr>
                    <w:t>“</w:t>
                  </w:r>
                  <w:r>
                    <w:rPr>
                      <w:rFonts w:hint="eastAsia" w:cs="Times New Roman"/>
                      <w:b w:val="0"/>
                      <w:bCs/>
                      <w:color w:val="auto"/>
                      <w:sz w:val="18"/>
                      <w:szCs w:val="18"/>
                      <w:highlight w:val="none"/>
                      <w:u w:val="none"/>
                      <w:lang w:val="en-US" w:eastAsia="zh-CN"/>
                    </w:rPr>
                    <w:t>UV光催化氧化+活性炭吸附</w:t>
                  </w:r>
                  <w:r>
                    <w:rPr>
                      <w:rFonts w:hint="default" w:ascii="Times New Roman" w:hAnsi="Times New Roman" w:eastAsia="宋体" w:cs="Times New Roman"/>
                      <w:b w:val="0"/>
                      <w:bCs/>
                      <w:color w:val="auto"/>
                      <w:sz w:val="18"/>
                      <w:szCs w:val="18"/>
                      <w:highlight w:val="none"/>
                      <w:u w:val="none"/>
                      <w:lang w:val="en-US" w:eastAsia="zh-CN"/>
                    </w:rPr>
                    <w:t>”</w:t>
                  </w:r>
                  <w:r>
                    <w:rPr>
                      <w:rFonts w:hint="default" w:ascii="Times New Roman" w:hAnsi="Times New Roman" w:eastAsia="宋体" w:cs="Times New Roman"/>
                      <w:b w:val="0"/>
                      <w:bCs/>
                      <w:color w:val="auto"/>
                      <w:sz w:val="18"/>
                      <w:szCs w:val="18"/>
                      <w:highlight w:val="none"/>
                      <w:u w:val="none"/>
                    </w:rPr>
                    <w:t>处理后</w:t>
                  </w:r>
                  <w:r>
                    <w:rPr>
                      <w:rFonts w:hint="default" w:ascii="Times New Roman" w:hAnsi="Times New Roman" w:cs="Times New Roman"/>
                      <w:b w:val="0"/>
                      <w:bCs/>
                      <w:color w:val="auto"/>
                      <w:sz w:val="18"/>
                      <w:szCs w:val="18"/>
                      <w:highlight w:val="none"/>
                      <w:u w:val="none"/>
                      <w:lang w:eastAsia="zh-CN"/>
                    </w:rPr>
                    <w:t>，通过</w:t>
                  </w:r>
                  <w:r>
                    <w:rPr>
                      <w:rFonts w:hint="default" w:ascii="Times New Roman" w:hAnsi="Times New Roman" w:cs="Times New Roman"/>
                      <w:b w:val="0"/>
                      <w:bCs/>
                      <w:color w:val="auto"/>
                      <w:sz w:val="18"/>
                      <w:szCs w:val="18"/>
                      <w:highlight w:val="none"/>
                      <w:u w:val="none"/>
                      <w:lang w:val="en-US" w:eastAsia="zh-CN"/>
                    </w:rPr>
                    <w:t>15m高排气筒</w:t>
                  </w:r>
                  <w:r>
                    <w:rPr>
                      <w:rFonts w:hint="default" w:ascii="Times New Roman" w:hAnsi="Times New Roman" w:eastAsia="宋体" w:cs="Times New Roman"/>
                      <w:b w:val="0"/>
                      <w:bCs/>
                      <w:color w:val="auto"/>
                      <w:sz w:val="18"/>
                      <w:szCs w:val="18"/>
                      <w:highlight w:val="none"/>
                      <w:u w:val="none"/>
                      <w:lang w:val="en-US" w:eastAsia="zh-CN"/>
                    </w:rPr>
                    <w:t>排放</w:t>
                  </w:r>
                  <w:r>
                    <w:rPr>
                      <w:rFonts w:hint="default" w:ascii="Times New Roman" w:hAnsi="Times New Roman" w:cs="Times New Roman"/>
                      <w:b w:val="0"/>
                      <w:bCs/>
                      <w:color w:val="auto"/>
                      <w:sz w:val="18"/>
                      <w:szCs w:val="18"/>
                      <w:highlight w:val="none"/>
                    </w:rPr>
                    <w:t>，</w:t>
                  </w:r>
                  <w:r>
                    <w:rPr>
                      <w:rFonts w:hint="default" w:ascii="Times New Roman" w:hAnsi="Times New Roman" w:cs="Times New Roman"/>
                      <w:b w:val="0"/>
                      <w:bCs/>
                      <w:color w:val="auto"/>
                      <w:sz w:val="18"/>
                      <w:szCs w:val="18"/>
                      <w:highlight w:val="none"/>
                      <w:lang w:eastAsia="zh-CN"/>
                    </w:rPr>
                    <w:t>可满足有机废气</w:t>
                  </w:r>
                  <w:r>
                    <w:rPr>
                      <w:rFonts w:hint="default" w:ascii="Times New Roman" w:hAnsi="Times New Roman" w:cs="Times New Roman"/>
                      <w:b w:val="0"/>
                      <w:bCs/>
                      <w:color w:val="auto"/>
                      <w:sz w:val="18"/>
                      <w:szCs w:val="18"/>
                      <w:highlight w:val="none"/>
                    </w:rPr>
                    <w:t>处理效率</w:t>
                  </w:r>
                  <w:r>
                    <w:rPr>
                      <w:rFonts w:hint="default" w:ascii="Times New Roman" w:hAnsi="Times New Roman" w:cs="Times New Roman"/>
                      <w:b w:val="0"/>
                      <w:bCs/>
                      <w:color w:val="auto"/>
                      <w:sz w:val="18"/>
                      <w:szCs w:val="18"/>
                      <w:highlight w:val="none"/>
                      <w:lang w:eastAsia="zh-CN"/>
                    </w:rPr>
                    <w:t>不低于</w:t>
                  </w:r>
                  <w:r>
                    <w:rPr>
                      <w:rFonts w:hint="default" w:ascii="Times New Roman" w:hAnsi="Times New Roman" w:cs="Times New Roman"/>
                      <w:b w:val="0"/>
                      <w:bCs/>
                      <w:color w:val="auto"/>
                      <w:sz w:val="18"/>
                      <w:szCs w:val="18"/>
                      <w:highlight w:val="none"/>
                    </w:rPr>
                    <w:t>80%</w:t>
                  </w:r>
                  <w:r>
                    <w:rPr>
                      <w:rFonts w:hint="default" w:ascii="Times New Roman" w:hAnsi="Times New Roman" w:cs="Times New Roman"/>
                      <w:b w:val="0"/>
                      <w:bCs/>
                      <w:color w:val="auto"/>
                      <w:sz w:val="18"/>
                      <w:szCs w:val="18"/>
                      <w:highlight w:val="none"/>
                      <w:lang w:eastAsia="zh-CN"/>
                    </w:rPr>
                    <w:t>要求</w:t>
                  </w:r>
                  <w:r>
                    <w:rPr>
                      <w:rFonts w:hint="default" w:ascii="Times New Roman" w:hAnsi="Times New Roman" w:cs="Times New Roman"/>
                      <w:b w:val="0"/>
                      <w:bCs/>
                      <w:color w:val="auto"/>
                      <w:sz w:val="18"/>
                      <w:szCs w:val="18"/>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3.本项目排气筒高度为15m。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4.</w:t>
                  </w:r>
                  <w:r>
                    <w:rPr>
                      <w:rFonts w:hint="default" w:ascii="Times New Roman" w:hAnsi="Times New Roman" w:cs="Times New Roman"/>
                      <w:b w:val="0"/>
                      <w:bCs/>
                      <w:color w:val="auto"/>
                      <w:sz w:val="18"/>
                      <w:szCs w:val="18"/>
                      <w:highlight w:val="none"/>
                    </w:rPr>
                    <w:t>本项目VOC</w:t>
                  </w:r>
                  <w:r>
                    <w:rPr>
                      <w:rFonts w:hint="default" w:ascii="Times New Roman" w:hAnsi="Times New Roman" w:cs="Times New Roman"/>
                      <w:b w:val="0"/>
                      <w:bCs/>
                      <w:color w:val="auto"/>
                      <w:sz w:val="18"/>
                      <w:szCs w:val="18"/>
                      <w:highlight w:val="none"/>
                      <w:vertAlign w:val="subscript"/>
                    </w:rPr>
                    <w:t>S</w:t>
                  </w:r>
                  <w:r>
                    <w:rPr>
                      <w:rFonts w:hint="default" w:ascii="Times New Roman" w:hAnsi="Times New Roman" w:cs="Times New Roman"/>
                      <w:b w:val="0"/>
                      <w:bCs/>
                      <w:color w:val="auto"/>
                      <w:sz w:val="18"/>
                      <w:szCs w:val="18"/>
                      <w:highlight w:val="none"/>
                    </w:rPr>
                    <w:t>废气</w:t>
                  </w:r>
                  <w:r>
                    <w:rPr>
                      <w:rFonts w:hint="default" w:ascii="Times New Roman" w:hAnsi="Times New Roman" w:cs="Times New Roman"/>
                      <w:b w:val="0"/>
                      <w:bCs/>
                      <w:color w:val="auto"/>
                      <w:sz w:val="18"/>
                      <w:szCs w:val="18"/>
                      <w:highlight w:val="none"/>
                      <w:lang w:eastAsia="zh-CN"/>
                    </w:rPr>
                    <w:t>经收集处理后通过</w:t>
                  </w:r>
                  <w:r>
                    <w:rPr>
                      <w:rFonts w:hint="default" w:ascii="Times New Roman" w:hAnsi="Times New Roman" w:cs="Times New Roman"/>
                      <w:b w:val="0"/>
                      <w:bCs/>
                      <w:color w:val="auto"/>
                      <w:sz w:val="18"/>
                      <w:szCs w:val="18"/>
                      <w:highlight w:val="none"/>
                      <w:lang w:val="en-US" w:eastAsia="zh-CN"/>
                    </w:rPr>
                    <w:t>1根15m高排气筒排放，</w:t>
                  </w:r>
                  <w:r>
                    <w:rPr>
                      <w:rFonts w:hint="default" w:ascii="Times New Roman" w:hAnsi="Times New Roman" w:cs="Times New Roman"/>
                      <w:b w:val="0"/>
                      <w:bCs/>
                      <w:color w:val="auto"/>
                      <w:sz w:val="18"/>
                      <w:szCs w:val="18"/>
                      <w:highlight w:val="none"/>
                    </w:rPr>
                    <w:t>不</w:t>
                  </w:r>
                  <w:r>
                    <w:rPr>
                      <w:rFonts w:hint="default" w:ascii="Times New Roman" w:hAnsi="Times New Roman" w:cs="Times New Roman"/>
                      <w:b w:val="0"/>
                      <w:bCs/>
                      <w:color w:val="auto"/>
                      <w:sz w:val="18"/>
                      <w:szCs w:val="18"/>
                      <w:highlight w:val="none"/>
                      <w:lang w:eastAsia="zh-CN"/>
                    </w:rPr>
                    <w:t>涉及</w:t>
                  </w:r>
                  <w:r>
                    <w:rPr>
                      <w:rFonts w:hint="default" w:ascii="Times New Roman" w:hAnsi="Times New Roman" w:cs="Times New Roman"/>
                      <w:b w:val="0"/>
                      <w:bCs/>
                      <w:color w:val="auto"/>
                      <w:sz w:val="18"/>
                      <w:szCs w:val="18"/>
                      <w:highlight w:val="none"/>
                    </w:rPr>
                    <w:t>执行不同排放控制要求的废气合并排气筒排放情况。</w:t>
                  </w:r>
                </w:p>
              </w:tc>
              <w:tc>
                <w:tcPr>
                  <w:tcW w:w="7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color w:val="auto"/>
                      <w:sz w:val="18"/>
                      <w:szCs w:val="18"/>
                      <w:highlight w:val="green"/>
                    </w:rPr>
                  </w:pPr>
                </w:p>
              </w:tc>
              <w:tc>
                <w:tcPr>
                  <w:tcW w:w="321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10.4 记录要求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 年。</w:t>
                  </w:r>
                </w:p>
              </w:tc>
              <w:tc>
                <w:tcPr>
                  <w:tcW w:w="20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本项目建成后，企业将按相关要求建立台账，记录废气收集系统、VOCs处理设施的主要运行和维护信息。</w:t>
                  </w:r>
                </w:p>
              </w:tc>
              <w:tc>
                <w:tcPr>
                  <w:tcW w:w="7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符合</w:t>
                  </w:r>
                </w:p>
              </w:tc>
            </w:tr>
          </w:tbl>
          <w:p>
            <w:pPr>
              <w:pStyle w:val="2"/>
              <w:keepNext/>
              <w:keepLines w:val="0"/>
              <w:pageBreakBefore w:val="0"/>
              <w:widowControl w:val="0"/>
              <w:numPr>
                <w:ilvl w:val="0"/>
                <w:numId w:val="0"/>
              </w:numPr>
              <w:kinsoku/>
              <w:wordWrap/>
              <w:overflowPunct w:val="0"/>
              <w:topLinePunct w:val="0"/>
              <w:autoSpaceDE/>
              <w:autoSpaceDN/>
              <w:bidi w:val="0"/>
              <w:adjustRightInd/>
              <w:snapToGrid/>
              <w:textAlignment w:val="auto"/>
              <w:rPr>
                <w:rFonts w:hint="default" w:ascii="Times New Roman" w:hAnsi="Times New Roman" w:cs="Times New Roman"/>
                <w:color w:val="auto"/>
                <w:highlight w:val="none"/>
              </w:rPr>
            </w:pPr>
            <w:r>
              <w:rPr>
                <w:rFonts w:hint="eastAsia" w:cs="Times New Roman"/>
                <w:color w:val="auto"/>
                <w:highlight w:val="none"/>
                <w:lang w:val="en-US" w:eastAsia="zh-CN"/>
              </w:rPr>
              <w:t>10、</w:t>
            </w:r>
            <w:r>
              <w:rPr>
                <w:rFonts w:hint="default" w:ascii="Times New Roman" w:hAnsi="Times New Roman" w:cs="Times New Roman"/>
                <w:color w:val="auto"/>
                <w:highlight w:val="none"/>
              </w:rPr>
              <w:t>与《新乡市生态环境局关于部署按照工业企业用电量监控系统的通知》（新环[2019]154号）（以下简称用电量监控通知）的对照分析</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项目与《用电量监控通知》相符性分析</w:t>
            </w:r>
          </w:p>
          <w:tbl>
            <w:tblPr>
              <w:tblStyle w:val="21"/>
              <w:tblW w:w="4999" w:type="pct"/>
              <w:tblInd w:w="0" w:type="dxa"/>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3"/>
              <w:gridCol w:w="3484"/>
              <w:gridCol w:w="1981"/>
              <w:gridCol w:w="648"/>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496"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类别</w:t>
                  </w:r>
                </w:p>
              </w:tc>
              <w:tc>
                <w:tcPr>
                  <w:tcW w:w="2567"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《新乡市生态环境局关于部署按照工业企业用电量监控系统的通知》有关要求</w:t>
                  </w:r>
                </w:p>
              </w:tc>
              <w:tc>
                <w:tcPr>
                  <w:tcW w:w="1459"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本项目情况</w:t>
                  </w:r>
                </w:p>
              </w:tc>
              <w:tc>
                <w:tcPr>
                  <w:tcW w:w="477"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对比</w:t>
                  </w:r>
                </w:p>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结论</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496"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安装范围</w:t>
                  </w:r>
                </w:p>
              </w:tc>
              <w:tc>
                <w:tcPr>
                  <w:tcW w:w="2567"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第一批安装部署用电量监控系统的企业为：新乡市辖区内国控、省控、市控重点监控企业、涉VOCs污染排放的企业、铸造行业、建材行业，然后逐步扩展至新乡市辖区内所有排污企业。所有排污企业的总用电控制位置、主要生产设施和污染治理设施必须安装用电量监控系统终端。</w:t>
                  </w:r>
                </w:p>
              </w:tc>
              <w:tc>
                <w:tcPr>
                  <w:tcW w:w="1459"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本项目属于用电量监控系统的安装范围，企业应按照要求在总用电控制位置、主要生产设施和污染治理设施安装用电量监控系统终端。</w:t>
                  </w:r>
                </w:p>
              </w:tc>
              <w:tc>
                <w:tcPr>
                  <w:tcW w:w="477"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bl>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本项目应按照要求在总用电控制位置、主要生产设施和污染治理设施安装用电量监控系统终端。</w:t>
            </w:r>
          </w:p>
          <w:p>
            <w:pPr>
              <w:pStyle w:val="2"/>
              <w:keepNext/>
              <w:keepLines w:val="0"/>
              <w:pageBreakBefore w:val="0"/>
              <w:widowControl w:val="0"/>
              <w:kinsoku/>
              <w:wordWrap/>
              <w:overflowPunct w:val="0"/>
              <w:topLinePunct w:val="0"/>
              <w:autoSpaceDE/>
              <w:autoSpaceDN/>
              <w:bidi w:val="0"/>
              <w:adjustRightInd/>
              <w:snapToGrid w:val="0"/>
              <w:ind w:left="0" w:leftChars="0" w:firstLine="0" w:firstLineChars="0"/>
              <w:textAlignment w:val="auto"/>
              <w:rPr>
                <w:rFonts w:hint="default" w:ascii="Times New Roman" w:hAnsi="Times New Roman" w:cs="Times New Roman"/>
                <w:color w:val="auto"/>
                <w:highlight w:val="none"/>
              </w:rPr>
            </w:pPr>
            <w:r>
              <w:rPr>
                <w:rFonts w:hint="eastAsia" w:cs="Times New Roman"/>
                <w:color w:val="auto"/>
                <w:highlight w:val="none"/>
                <w:lang w:val="en-US" w:eastAsia="zh-CN"/>
              </w:rPr>
              <w:t>11</w:t>
            </w:r>
            <w:r>
              <w:rPr>
                <w:rFonts w:hint="default" w:ascii="Times New Roman" w:hAnsi="Times New Roman" w:cs="Times New Roman"/>
                <w:color w:val="auto"/>
                <w:highlight w:val="none"/>
                <w:lang w:val="en-US" w:eastAsia="zh-CN"/>
              </w:rPr>
              <w:t>、饮用水源保护区规划</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《新乡市城市饮用水水源地保护区划分报告》（2007.5）已由河南省人民政府以豫政办[2007]125号文批复，具体划分结果见下表。</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新乡市城市集中饮用水源地</w:t>
            </w:r>
          </w:p>
          <w:tbl>
            <w:tblPr>
              <w:tblStyle w:val="21"/>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239"/>
              <w:gridCol w:w="2450"/>
              <w:gridCol w:w="24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913"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水源地名称</w:t>
                  </w:r>
                </w:p>
              </w:tc>
              <w:tc>
                <w:tcPr>
                  <w:tcW w:w="1805"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一级保护区</w:t>
                  </w:r>
                </w:p>
              </w:tc>
              <w:tc>
                <w:tcPr>
                  <w:tcW w:w="1812"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二级保护区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pct"/>
                  <w:noWrap w:val="0"/>
                  <w:vAlign w:val="center"/>
                </w:tcPr>
                <w:p>
                  <w:pPr>
                    <w:pStyle w:val="57"/>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1</w:t>
                  </w:r>
                </w:p>
              </w:tc>
              <w:tc>
                <w:tcPr>
                  <w:tcW w:w="913"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凤泉水厂地下水饮用水源保护区</w:t>
                  </w:r>
                </w:p>
              </w:tc>
              <w:tc>
                <w:tcPr>
                  <w:tcW w:w="1805"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以水厂东、西两院的院墙为界向外10米以及输水管线两侧10米的区域。</w:t>
                  </w:r>
                </w:p>
              </w:tc>
              <w:tc>
                <w:tcPr>
                  <w:tcW w:w="1812"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东以团结路为界，其他三面以水厂院墙为界，向外100米的区域。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pct"/>
                  <w:noWrap w:val="0"/>
                  <w:vAlign w:val="center"/>
                </w:tcPr>
                <w:p>
                  <w:pPr>
                    <w:pStyle w:val="57"/>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2</w:t>
                  </w:r>
                </w:p>
              </w:tc>
              <w:tc>
                <w:tcPr>
                  <w:tcW w:w="913"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卫辉市塔岗水库地表水饮用水源保护区</w:t>
                  </w:r>
                </w:p>
              </w:tc>
              <w:tc>
                <w:tcPr>
                  <w:tcW w:w="1805"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取水口外围300米的水域、正常水位线取水口一侧200米的陆域及输水管道两侧10米的陆域。</w:t>
                  </w:r>
                </w:p>
              </w:tc>
              <w:tc>
                <w:tcPr>
                  <w:tcW w:w="1812"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一级保护区外的水域及山脊线内、入库河流上游3000米的陆域。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pct"/>
                  <w:noWrap w:val="0"/>
                  <w:vAlign w:val="center"/>
                </w:tcPr>
                <w:p>
                  <w:pPr>
                    <w:pStyle w:val="57"/>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3</w:t>
                  </w:r>
                </w:p>
              </w:tc>
              <w:tc>
                <w:tcPr>
                  <w:tcW w:w="913"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辉县市段屯地下水饮用水源保护区</w:t>
                  </w:r>
                </w:p>
              </w:tc>
              <w:tc>
                <w:tcPr>
                  <w:tcW w:w="1805"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井群外围线以外30米的区域及输水管道两侧10米的陆域。</w:t>
                  </w:r>
                </w:p>
              </w:tc>
              <w:tc>
                <w:tcPr>
                  <w:tcW w:w="1812" w:type="pct"/>
                  <w:noWrap w:val="0"/>
                  <w:vAlign w:val="center"/>
                </w:tcPr>
                <w:p>
                  <w:pPr>
                    <w:pStyle w:val="57"/>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卫柿路以北，东外环路以东，井群外围线外300米以西和以南的区域。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18"/>
                      <w:szCs w:val="18"/>
                      <w:highlight w:val="none"/>
                      <w:lang w:val="en-US" w:eastAsia="zh-CN"/>
                    </w:rPr>
                    <w:t>4</w:t>
                  </w:r>
                </w:p>
              </w:tc>
              <w:tc>
                <w:tcPr>
                  <w:tcW w:w="123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 w:val="18"/>
                      <w:szCs w:val="18"/>
                      <w:highlight w:val="none"/>
                      <w:lang w:eastAsia="zh-CN"/>
                    </w:rPr>
                    <w:t>七里营引黄水源地饮用水水源保护区</w:t>
                  </w:r>
                </w:p>
              </w:tc>
              <w:tc>
                <w:tcPr>
                  <w:tcW w:w="490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sz w:val="18"/>
                      <w:szCs w:val="18"/>
                      <w:highlight w:val="none"/>
                      <w:lang w:eastAsia="zh-CN"/>
                    </w:rPr>
                    <w:t>水域：人民胜利渠新乡市界至本源水厂东厂界的</w:t>
                  </w:r>
                  <w:r>
                    <w:rPr>
                      <w:rFonts w:hint="default" w:ascii="Times New Roman" w:hAnsi="Times New Roman" w:cs="Times New Roman"/>
                      <w:color w:val="auto"/>
                      <w:sz w:val="18"/>
                      <w:szCs w:val="18"/>
                      <w:highlight w:val="none"/>
                      <w:lang w:val="en-US" w:eastAsia="zh-CN"/>
                    </w:rPr>
                    <w:t>30m明渠水域；本源水厂厂区范围内七里营蓄水池及沉砂池的水域。陆域：人民胜利渠新乡市界至本源水厂东厂界渠道外两侧20m的工程管理陆域；本源水厂厂区范围内的陆域。</w:t>
                  </w:r>
                </w:p>
              </w:tc>
            </w:tr>
          </w:tbl>
          <w:p>
            <w:pPr>
              <w:pStyle w:val="4"/>
              <w:keepNext w:val="0"/>
              <w:keepLines w:val="0"/>
              <w:pageBreakBefore w:val="0"/>
              <w:widowControl w:val="0"/>
              <w:numPr>
                <w:ilvl w:val="3"/>
                <w:numId w:val="0"/>
              </w:numPr>
              <w:kinsoku/>
              <w:wordWrap/>
              <w:overflowPunct/>
              <w:topLinePunct w:val="0"/>
              <w:autoSpaceDE/>
              <w:autoSpaceDN/>
              <w:bidi w:val="0"/>
              <w:adjustRightInd/>
              <w:snapToGrid/>
              <w:spacing w:before="0" w:after="0" w:line="360" w:lineRule="auto"/>
              <w:ind w:leftChars="0" w:firstLine="420" w:firstLineChars="200"/>
              <w:textAlignment w:val="auto"/>
              <w:rPr>
                <w:rFonts w:hint="default" w:ascii="Times New Roman" w:hAnsi="Times New Roman" w:cs="Times New Roman"/>
                <w:color w:val="auto"/>
                <w:highlight w:val="none"/>
              </w:rPr>
            </w:pPr>
            <w:r>
              <w:rPr>
                <w:rFonts w:hint="default" w:ascii="Times New Roman" w:hAnsi="Times New Roman" w:eastAsia="宋体" w:cs="Times New Roman"/>
                <w:b w:val="0"/>
                <w:bCs w:val="0"/>
                <w:color w:val="auto"/>
                <w:sz w:val="21"/>
                <w:szCs w:val="21"/>
                <w:highlight w:val="none"/>
                <w:lang w:eastAsia="zh-CN"/>
              </w:rPr>
              <w:t>根据</w:t>
            </w:r>
            <w:r>
              <w:rPr>
                <w:rFonts w:hint="default" w:ascii="Times New Roman" w:hAnsi="Times New Roman" w:eastAsia="宋体" w:cs="Times New Roman"/>
                <w:b w:val="0"/>
                <w:bCs w:val="0"/>
                <w:color w:val="auto"/>
                <w:sz w:val="21"/>
                <w:szCs w:val="21"/>
                <w:highlight w:val="none"/>
              </w:rPr>
              <w:t>《新乡市城市饮用水水源地保护区划分报告》（2007.5）</w:t>
            </w:r>
            <w:r>
              <w:rPr>
                <w:rFonts w:hint="default" w:ascii="Times New Roman" w:hAnsi="Times New Roman" w:eastAsia="宋体" w:cs="Times New Roman"/>
                <w:b w:val="0"/>
                <w:bCs w:val="0"/>
                <w:color w:val="auto"/>
                <w:sz w:val="21"/>
                <w:szCs w:val="21"/>
                <w:highlight w:val="none"/>
                <w:lang w:eastAsia="zh-CN"/>
              </w:rPr>
              <w:t>，距离</w:t>
            </w:r>
            <w:r>
              <w:rPr>
                <w:rFonts w:hint="default" w:ascii="Times New Roman" w:hAnsi="Times New Roman" w:eastAsia="宋体" w:cs="Times New Roman"/>
                <w:b w:val="0"/>
                <w:bCs w:val="0"/>
                <w:color w:val="auto"/>
                <w:sz w:val="21"/>
                <w:szCs w:val="21"/>
                <w:highlight w:val="none"/>
              </w:rPr>
              <w:t>项目选址最近的</w:t>
            </w:r>
            <w:r>
              <w:rPr>
                <w:rFonts w:hint="default" w:ascii="Times New Roman" w:hAnsi="Times New Roman" w:eastAsia="宋体" w:cs="Times New Roman"/>
                <w:b w:val="0"/>
                <w:bCs w:val="0"/>
                <w:color w:val="auto"/>
                <w:sz w:val="21"/>
                <w:szCs w:val="21"/>
                <w:highlight w:val="none"/>
                <w:lang w:eastAsia="zh-CN"/>
              </w:rPr>
              <w:t>饮用</w:t>
            </w:r>
            <w:r>
              <w:rPr>
                <w:rFonts w:hint="default" w:ascii="Times New Roman" w:hAnsi="Times New Roman" w:eastAsia="宋体" w:cs="Times New Roman"/>
                <w:b w:val="0"/>
                <w:bCs w:val="0"/>
                <w:color w:val="auto"/>
                <w:sz w:val="21"/>
                <w:szCs w:val="21"/>
                <w:highlight w:val="none"/>
              </w:rPr>
              <w:t>水</w:t>
            </w:r>
            <w:r>
              <w:rPr>
                <w:rFonts w:hint="default" w:ascii="Times New Roman" w:hAnsi="Times New Roman" w:eastAsia="宋体" w:cs="Times New Roman"/>
                <w:b w:val="0"/>
                <w:bCs w:val="0"/>
                <w:color w:val="auto"/>
                <w:sz w:val="21"/>
                <w:szCs w:val="21"/>
                <w:highlight w:val="none"/>
                <w:lang w:eastAsia="zh-CN"/>
              </w:rPr>
              <w:t>水</w:t>
            </w:r>
            <w:r>
              <w:rPr>
                <w:rFonts w:hint="default" w:ascii="Times New Roman" w:hAnsi="Times New Roman" w:eastAsia="宋体" w:cs="Times New Roman"/>
                <w:b w:val="0"/>
                <w:bCs w:val="0"/>
                <w:color w:val="auto"/>
                <w:sz w:val="21"/>
                <w:szCs w:val="21"/>
                <w:highlight w:val="none"/>
              </w:rPr>
              <w:t>源保护</w:t>
            </w:r>
            <w:r>
              <w:rPr>
                <w:rFonts w:hint="default" w:ascii="Times New Roman" w:hAnsi="Times New Roman" w:eastAsia="宋体" w:cs="Times New Roman"/>
                <w:b w:val="0"/>
                <w:bCs w:val="0"/>
                <w:color w:val="auto"/>
                <w:sz w:val="21"/>
                <w:szCs w:val="21"/>
                <w:highlight w:val="none"/>
                <w:lang w:eastAsia="zh-CN"/>
              </w:rPr>
              <w:t>区</w:t>
            </w:r>
            <w:r>
              <w:rPr>
                <w:rFonts w:hint="default" w:ascii="Times New Roman" w:hAnsi="Times New Roman" w:eastAsia="宋体" w:cs="Times New Roman"/>
                <w:b w:val="0"/>
                <w:bCs w:val="0"/>
                <w:color w:val="auto"/>
                <w:sz w:val="21"/>
                <w:szCs w:val="21"/>
                <w:highlight w:val="none"/>
              </w:rPr>
              <w:t>为</w:t>
            </w:r>
            <w:r>
              <w:rPr>
                <w:rFonts w:hint="eastAsia" w:ascii="Times New Roman" w:hAnsi="Times New Roman" w:cs="Times New Roman"/>
                <w:b w:val="0"/>
                <w:bCs w:val="0"/>
                <w:color w:val="auto"/>
                <w:sz w:val="21"/>
                <w:szCs w:val="21"/>
                <w:highlight w:val="none"/>
                <w:lang w:eastAsia="zh-CN"/>
              </w:rPr>
              <w:t>东侧</w:t>
            </w:r>
            <w:r>
              <w:rPr>
                <w:rFonts w:hint="default" w:ascii="Times New Roman" w:hAnsi="Times New Roman" w:eastAsia="宋体" w:cs="Times New Roman"/>
                <w:b w:val="0"/>
                <w:bCs w:val="0"/>
                <w:color w:val="auto"/>
                <w:sz w:val="21"/>
                <w:szCs w:val="21"/>
                <w:highlight w:val="none"/>
                <w:lang w:val="en-US" w:eastAsia="zh-CN"/>
              </w:rPr>
              <w:t>的</w:t>
            </w:r>
            <w:r>
              <w:rPr>
                <w:rFonts w:hint="default" w:ascii="Times New Roman" w:hAnsi="Times New Roman" w:cs="Times New Roman"/>
                <w:b w:val="0"/>
                <w:bCs w:val="0"/>
                <w:color w:val="auto"/>
                <w:sz w:val="21"/>
                <w:szCs w:val="21"/>
                <w:highlight w:val="none"/>
                <w:lang w:val="en-US" w:eastAsia="zh-CN"/>
              </w:rPr>
              <w:t>凤泉区水厂地下水</w:t>
            </w:r>
            <w:r>
              <w:rPr>
                <w:rFonts w:hint="default" w:ascii="Times New Roman" w:hAnsi="Times New Roman" w:eastAsia="宋体" w:cs="Times New Roman"/>
                <w:b w:val="0"/>
                <w:bCs w:val="0"/>
                <w:color w:val="auto"/>
                <w:sz w:val="21"/>
                <w:szCs w:val="21"/>
                <w:highlight w:val="none"/>
                <w:lang w:val="en-US" w:eastAsia="zh-CN"/>
              </w:rPr>
              <w:t>饮用水源保护区</w:t>
            </w:r>
            <w:r>
              <w:rPr>
                <w:rFonts w:hint="default" w:ascii="Times New Roman" w:hAnsi="Times New Roman" w:eastAsia="宋体" w:cs="Times New Roman"/>
                <w:b w:val="0"/>
                <w:bCs w:val="0"/>
                <w:color w:val="auto"/>
                <w:sz w:val="21"/>
                <w:szCs w:val="21"/>
                <w:highlight w:val="none"/>
              </w:rPr>
              <w:t>，项目距离</w:t>
            </w:r>
            <w:r>
              <w:rPr>
                <w:rFonts w:hint="default" w:ascii="Times New Roman" w:hAnsi="Times New Roman" w:eastAsia="宋体" w:cs="Times New Roman"/>
                <w:b w:val="0"/>
                <w:bCs w:val="0"/>
                <w:color w:val="auto"/>
                <w:sz w:val="21"/>
                <w:szCs w:val="21"/>
                <w:highlight w:val="none"/>
                <w:lang w:eastAsia="zh-CN"/>
              </w:rPr>
              <w:t>该饮用水源二级</w:t>
            </w:r>
            <w:r>
              <w:rPr>
                <w:rFonts w:hint="default" w:ascii="Times New Roman" w:hAnsi="Times New Roman" w:eastAsia="宋体" w:cs="Times New Roman"/>
                <w:b w:val="0"/>
                <w:bCs w:val="0"/>
                <w:color w:val="auto"/>
                <w:sz w:val="21"/>
                <w:szCs w:val="21"/>
                <w:highlight w:val="none"/>
              </w:rPr>
              <w:t>保护区边界约</w:t>
            </w:r>
            <w:r>
              <w:rPr>
                <w:rFonts w:hint="eastAsia" w:ascii="Times New Roman" w:hAnsi="Times New Roman" w:cs="Times New Roman"/>
                <w:b w:val="0"/>
                <w:bCs w:val="0"/>
                <w:color w:val="auto"/>
                <w:sz w:val="21"/>
                <w:szCs w:val="21"/>
                <w:highlight w:val="none"/>
                <w:lang w:val="en-US" w:eastAsia="zh-CN"/>
              </w:rPr>
              <w:t>2.7</w:t>
            </w:r>
            <w:r>
              <w:rPr>
                <w:rFonts w:hint="default" w:ascii="Times New Roman" w:hAnsi="Times New Roman" w:eastAsia="宋体" w:cs="Times New Roman"/>
                <w:b w:val="0"/>
                <w:bCs w:val="0"/>
                <w:color w:val="auto"/>
                <w:sz w:val="21"/>
                <w:szCs w:val="21"/>
                <w:highlight w:val="none"/>
                <w:lang w:val="en-US" w:eastAsia="zh-CN"/>
              </w:rPr>
              <w:t>k</w:t>
            </w:r>
            <w:r>
              <w:rPr>
                <w:rFonts w:hint="default" w:ascii="Times New Roman" w:hAnsi="Times New Roman" w:eastAsia="宋体" w:cs="Times New Roman"/>
                <w:b w:val="0"/>
                <w:bCs w:val="0"/>
                <w:color w:val="auto"/>
                <w:sz w:val="21"/>
                <w:szCs w:val="21"/>
                <w:highlight w:val="none"/>
              </w:rPr>
              <w:t>m，不在其保护区范围内。</w:t>
            </w:r>
          </w:p>
          <w:p>
            <w:pPr>
              <w:pStyle w:val="2"/>
              <w:keepNext/>
              <w:keepLines w:val="0"/>
              <w:pageBreakBefore w:val="0"/>
              <w:widowControl w:val="0"/>
              <w:kinsoku/>
              <w:wordWrap/>
              <w:overflowPunct w:val="0"/>
              <w:topLinePunct w:val="0"/>
              <w:autoSpaceDE/>
              <w:autoSpaceDN/>
              <w:bidi w:val="0"/>
              <w:adjustRightInd/>
              <w:snapToGrid/>
              <w:ind w:left="0" w:leftChars="0" w:firstLine="0" w:firstLineChars="0"/>
              <w:textAlignment w:val="auto"/>
              <w:rPr>
                <w:rFonts w:hint="default" w:ascii="Times New Roman" w:hAnsi="Times New Roman" w:cs="Times New Roman"/>
                <w:color w:val="auto"/>
                <w:highlight w:val="none"/>
              </w:rPr>
            </w:pPr>
            <w:r>
              <w:rPr>
                <w:rFonts w:hint="eastAsia" w:cs="Times New Roman"/>
                <w:color w:val="auto"/>
                <w:highlight w:val="none"/>
                <w:lang w:val="en-US" w:eastAsia="zh-CN"/>
              </w:rPr>
              <w:t>12</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与“三线一单”相容性判定</w:t>
            </w:r>
          </w:p>
          <w:p>
            <w:pPr>
              <w:bidi w:val="0"/>
              <w:rPr>
                <w:rFonts w:hint="default" w:ascii="Times New Roman" w:hAnsi="Times New Roman" w:cs="Times New Roman"/>
                <w:color w:val="auto"/>
                <w:highlight w:val="none"/>
              </w:rPr>
            </w:pPr>
            <w:r>
              <w:rPr>
                <w:rFonts w:hint="eastAsia" w:cs="Times New Roman"/>
                <w:b w:val="0"/>
                <w:bCs w:val="0"/>
                <w:color w:val="auto"/>
                <w:sz w:val="21"/>
                <w:szCs w:val="21"/>
                <w:highlight w:val="none"/>
                <w:lang w:eastAsia="zh-CN"/>
              </w:rPr>
              <w:t>根据</w:t>
            </w:r>
            <w:r>
              <w:rPr>
                <w:rFonts w:hint="default" w:ascii="Times New Roman" w:hAnsi="Times New Roman" w:cs="Times New Roman"/>
                <w:b w:val="0"/>
                <w:bCs w:val="0"/>
                <w:color w:val="auto"/>
                <w:sz w:val="21"/>
                <w:szCs w:val="21"/>
                <w:highlight w:val="none"/>
              </w:rPr>
              <w:t>新乡市人民政府于2021年7月30日以新政文〔2021〕44号发布</w:t>
            </w:r>
            <w:r>
              <w:rPr>
                <w:rFonts w:hint="eastAsia" w:cs="Times New Roman"/>
                <w:b w:val="0"/>
                <w:bCs w:val="0"/>
                <w:color w:val="auto"/>
                <w:sz w:val="21"/>
                <w:szCs w:val="21"/>
                <w:highlight w:val="none"/>
                <w:lang w:eastAsia="zh-CN"/>
              </w:rPr>
              <w:t>的</w:t>
            </w:r>
            <w:r>
              <w:rPr>
                <w:rFonts w:hint="default" w:ascii="Times New Roman" w:hAnsi="Times New Roman" w:cs="Times New Roman"/>
                <w:b w:val="0"/>
                <w:bCs w:val="0"/>
                <w:color w:val="auto"/>
                <w:sz w:val="21"/>
                <w:szCs w:val="21"/>
                <w:highlight w:val="none"/>
              </w:rPr>
              <w:t>《新乡市人民政府关于实施“三线一单”生态环境分区管控的实施意见》</w:t>
            </w:r>
            <w:r>
              <w:rPr>
                <w:rFonts w:hint="eastAsia" w:cs="Times New Roman"/>
                <w:b w:val="0"/>
                <w:bCs w:val="0"/>
                <w:color w:val="auto"/>
                <w:sz w:val="21"/>
                <w:szCs w:val="21"/>
                <w:highlight w:val="none"/>
                <w:lang w:eastAsia="zh-CN"/>
              </w:rPr>
              <w:t>，同时根据新乡市生态环境局于</w:t>
            </w:r>
            <w:r>
              <w:rPr>
                <w:rFonts w:hint="eastAsia" w:cs="Times New Roman"/>
                <w:b w:val="0"/>
                <w:bCs w:val="0"/>
                <w:color w:val="auto"/>
                <w:sz w:val="21"/>
                <w:szCs w:val="21"/>
                <w:highlight w:val="none"/>
                <w:lang w:val="en-US" w:eastAsia="zh-CN"/>
              </w:rPr>
              <w:t>2023年1月30日发布的</w:t>
            </w:r>
            <w:r>
              <w:rPr>
                <w:rFonts w:hint="eastAsia" w:cs="Times New Roman"/>
                <w:b w:val="0"/>
                <w:bCs w:val="0"/>
                <w:color w:val="auto"/>
                <w:sz w:val="21"/>
                <w:szCs w:val="21"/>
                <w:highlight w:val="none"/>
                <w:lang w:eastAsia="zh-CN"/>
              </w:rPr>
              <w:t>关于对《新乡市“三线一单”生态环境 准入清单》（试行）更新的函</w:t>
            </w:r>
            <w:r>
              <w:rPr>
                <w:rFonts w:hint="default" w:ascii="Times New Roman" w:hAnsi="Times New Roman" w:cs="Times New Roman"/>
                <w:color w:val="auto"/>
                <w:highlight w:val="none"/>
              </w:rPr>
              <w:t>，具体主要内容如下：</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划分生态环境管控单元。按照生态保护红线、环境质量底线、资源利用上线等相关要求，划定全省优先保护单元、重点管控单元和一般管控单元三类生态环境管控单元，并实施分类管控。为确保政策协同，划定的各类生态环境管控单元的数量、面积和地域分布依照国土空间规划明确的空间格局、约束性指标等调整确定。</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优先保护单元。指具有一定生态功能、以生态环境保护为主的区域。突出空间用途管控，以生态环境保护优先为原则，依法禁止或限制有关开发建设活动，优先开展生态保护修复，提高生态系统服务功能，确保生态环境功能不降低。</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重点管控单元。指人口密集、资源开发强度较大、污染物排放强度相对较高的区域。主要推动空间布局优化和产业结构转型升级，深化污染治理，提高资源利用效率，减少污染物排放，防控生态环境风险，守住环境质量底线。</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——一般管控单元。指除优先保护单元、重点管控单元以外的其他区域。主要落实生态环境保护的基本要求，生态环境状况得到保持或优化。</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二）制定生态环境准入清单。基于生态环境管控单元，统筹考虑生态保护红线、环境质量底线、资源利用上线等要求，从优化空间布局、管控污染物排放、防控生态环境风险、提高资源利用效率等方面提出管控要求，分类制定生态环境准入清单。</w:t>
            </w:r>
          </w:p>
          <w:p>
            <w:pPr>
              <w:pStyle w:val="2"/>
              <w:bidi w:val="0"/>
              <w:ind w:left="0" w:leftChars="0" w:firstLine="0" w:firstLineChars="0"/>
              <w:rPr>
                <w:rFonts w:hint="default" w:ascii="Times New Roman" w:hAnsi="Times New Roman" w:cs="Times New Roman"/>
                <w:color w:val="auto"/>
                <w:highlight w:val="none"/>
                <w:lang w:eastAsia="zh-CN"/>
              </w:rPr>
            </w:pPr>
            <w:r>
              <w:rPr>
                <w:rFonts w:hint="eastAsia" w:cs="Times New Roman"/>
                <w:color w:val="auto"/>
                <w:highlight w:val="none"/>
                <w:lang w:val="en-US" w:eastAsia="zh-CN"/>
              </w:rPr>
              <w:t>12.1</w:t>
            </w:r>
            <w:r>
              <w:rPr>
                <w:rFonts w:hint="default" w:ascii="Times New Roman" w:hAnsi="Times New Roman" w:cs="Times New Roman"/>
                <w:color w:val="auto"/>
                <w:highlight w:val="none"/>
                <w:lang w:eastAsia="zh-CN"/>
              </w:rPr>
              <w:t>生态保护红线</w:t>
            </w:r>
          </w:p>
          <w:p>
            <w:pPr>
              <w:keepNext w:val="0"/>
              <w:keepLines w:val="0"/>
              <w:pageBreakBefore w:val="0"/>
              <w:kinsoku/>
              <w:wordWrap/>
              <w:overflowPunct/>
              <w:topLinePunct w:val="0"/>
              <w:autoSpaceDE/>
              <w:autoSpaceDN/>
              <w:bidi w:val="0"/>
              <w:adjustRightInd/>
              <w:snapToGrid/>
              <w:spacing w:line="360" w:lineRule="auto"/>
              <w:ind w:left="0" w:right="0" w:rightChars="0" w:firstLine="420" w:firstLineChars="200"/>
              <w:textAlignment w:val="auto"/>
              <w:rPr>
                <w:rFonts w:hint="default" w:ascii="Times New Roman" w:hAnsi="Times New Roman" w:cs="Times New Roman"/>
                <w:color w:val="auto"/>
                <w:szCs w:val="28"/>
                <w:highlight w:val="none"/>
              </w:rPr>
            </w:pPr>
            <w:r>
              <w:rPr>
                <w:rFonts w:hint="eastAsia" w:cs="Times New Roman"/>
                <w:bCs/>
                <w:color w:val="auto"/>
                <w:kern w:val="0"/>
                <w:szCs w:val="21"/>
                <w:highlight w:val="none"/>
                <w:lang w:eastAsia="zh-CN"/>
              </w:rPr>
              <w:t>项目</w:t>
            </w:r>
            <w:r>
              <w:rPr>
                <w:rFonts w:hint="default" w:ascii="Times New Roman" w:hAnsi="Times New Roman" w:cs="Times New Roman"/>
                <w:bCs/>
                <w:color w:val="auto"/>
                <w:kern w:val="0"/>
                <w:szCs w:val="21"/>
                <w:highlight w:val="none"/>
              </w:rPr>
              <w:t>位于新乡市新能源电池专业园区</w:t>
            </w:r>
            <w:r>
              <w:rPr>
                <w:rFonts w:hint="eastAsia" w:cs="Times New Roman"/>
                <w:bCs/>
                <w:color w:val="auto"/>
                <w:kern w:val="0"/>
                <w:szCs w:val="21"/>
                <w:highlight w:val="none"/>
                <w:lang w:eastAsia="zh-CN"/>
              </w:rPr>
              <w:t>东片区</w:t>
            </w:r>
            <w:r>
              <w:rPr>
                <w:rFonts w:hint="default" w:ascii="Times New Roman" w:hAnsi="Times New Roman" w:cs="Times New Roman"/>
                <w:bCs/>
                <w:color w:val="auto"/>
                <w:kern w:val="0"/>
                <w:szCs w:val="21"/>
                <w:highlight w:val="none"/>
              </w:rPr>
              <w:t>，</w:t>
            </w:r>
            <w:r>
              <w:rPr>
                <w:rFonts w:hint="default" w:ascii="Times New Roman" w:hAnsi="Times New Roman" w:cs="Times New Roman"/>
                <w:bCs/>
                <w:color w:val="auto"/>
                <w:kern w:val="0"/>
                <w:szCs w:val="21"/>
                <w:highlight w:val="none"/>
                <w:lang w:val="en-GB"/>
              </w:rPr>
              <w:t>不在当地饮用水源、风景区、自然保护区等生态保护区内，</w:t>
            </w:r>
            <w:r>
              <w:rPr>
                <w:rFonts w:hint="default" w:ascii="Times New Roman" w:hAnsi="Times New Roman" w:cs="Times New Roman"/>
                <w:bCs/>
                <w:color w:val="auto"/>
                <w:kern w:val="0"/>
                <w:szCs w:val="21"/>
                <w:highlight w:val="none"/>
                <w:lang w:val="en-GB" w:eastAsia="zh-CN"/>
              </w:rPr>
              <w:t>且</w:t>
            </w:r>
            <w:r>
              <w:rPr>
                <w:rFonts w:hint="eastAsia" w:cs="Times New Roman"/>
                <w:bCs/>
                <w:color w:val="auto"/>
                <w:kern w:val="0"/>
                <w:szCs w:val="21"/>
                <w:highlight w:val="none"/>
                <w:lang w:val="en-GB" w:eastAsia="zh-CN"/>
              </w:rPr>
              <w:t>项目租用现有厂房进行建设，</w:t>
            </w:r>
            <w:r>
              <w:rPr>
                <w:rFonts w:hint="default" w:ascii="Times New Roman" w:hAnsi="Times New Roman" w:cs="Times New Roman"/>
                <w:bCs/>
                <w:color w:val="auto"/>
                <w:kern w:val="0"/>
                <w:szCs w:val="21"/>
                <w:highlight w:val="none"/>
                <w:lang w:val="en-GB" w:eastAsia="zh-CN"/>
              </w:rPr>
              <w:t>施工期主要为生产设备安装，</w:t>
            </w:r>
            <w:r>
              <w:rPr>
                <w:rFonts w:hint="default" w:ascii="Times New Roman" w:hAnsi="Times New Roman" w:cs="Times New Roman"/>
                <w:color w:val="auto"/>
                <w:szCs w:val="28"/>
                <w:highlight w:val="none"/>
                <w:lang w:eastAsia="zh-CN"/>
              </w:rPr>
              <w:t>不涉及大规模土建工程，不会对周边生态环境造成影响。</w:t>
            </w:r>
          </w:p>
          <w:p>
            <w:pPr>
              <w:pStyle w:val="2"/>
              <w:numPr>
                <w:ilvl w:val="0"/>
                <w:numId w:val="0"/>
              </w:numPr>
              <w:bidi w:val="0"/>
              <w:rPr>
                <w:rFonts w:hint="default" w:ascii="Times New Roman" w:hAnsi="Times New Roman" w:cs="Times New Roman"/>
                <w:color w:val="auto"/>
                <w:highlight w:val="none"/>
              </w:rPr>
            </w:pPr>
            <w:r>
              <w:rPr>
                <w:rFonts w:hint="eastAsia" w:cs="Times New Roman"/>
                <w:color w:val="auto"/>
                <w:highlight w:val="none"/>
                <w:lang w:val="en-US" w:eastAsia="zh-CN"/>
              </w:rPr>
              <w:t>12.2</w:t>
            </w:r>
            <w:r>
              <w:rPr>
                <w:rFonts w:hint="default" w:ascii="Times New Roman" w:hAnsi="Times New Roman" w:cs="Times New Roman"/>
                <w:color w:val="auto"/>
                <w:highlight w:val="none"/>
                <w:lang w:eastAsia="zh-CN"/>
              </w:rPr>
              <w:t>环境质量底线</w:t>
            </w:r>
          </w:p>
          <w:p>
            <w:pPr>
              <w:pStyle w:val="2"/>
              <w:bidi w:val="0"/>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w:t>
            </w:r>
            <w:r>
              <w:rPr>
                <w:rFonts w:hint="default" w:ascii="Times New Roman" w:hAnsi="Times New Roman" w:cs="Times New Roman"/>
                <w:color w:val="auto"/>
                <w:highlight w:val="none"/>
              </w:rPr>
              <w:t>大气</w:t>
            </w:r>
          </w:p>
          <w:p>
            <w:pPr>
              <w:keepNext w:val="0"/>
              <w:keepLines w:val="0"/>
              <w:pageBreakBefore w:val="0"/>
              <w:widowControl w:val="0"/>
              <w:kinsoku/>
              <w:wordWrap/>
              <w:overflowPunct/>
              <w:topLinePunct w:val="0"/>
              <w:bidi w:val="0"/>
              <w:adjustRightInd/>
              <w:snapToGrid/>
              <w:spacing w:line="360" w:lineRule="auto"/>
              <w:ind w:firstLine="420" w:firstLineChars="200"/>
              <w:jc w:val="both"/>
              <w:textAlignment w:val="auto"/>
              <w:rPr>
                <w:rFonts w:hint="default" w:ascii="Times New Roman" w:hAnsi="Times New Roman" w:eastAsia="宋体" w:cs="Times New Roman"/>
                <w:color w:val="auto"/>
                <w:szCs w:val="21"/>
                <w:highlight w:val="none"/>
                <w:lang w:val="de-DE" w:eastAsia="zh-CN"/>
              </w:rPr>
            </w:pPr>
            <w:r>
              <w:rPr>
                <w:rFonts w:hint="default" w:ascii="Times New Roman" w:hAnsi="Times New Roman" w:cs="Times New Roman"/>
                <w:color w:val="auto"/>
                <w:sz w:val="21"/>
                <w:szCs w:val="21"/>
                <w:highlight w:val="none"/>
              </w:rPr>
              <w:t>根据新乡市生态环境局发布的《新乡市2022年环境质量状况公报》，项目区域NO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年均浓度、SO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年均浓度、CO24h平均浓度均可满足《环境空气质量标准》（GB3095-2012）二级标准，PM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t>和O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均不能够满足《环境空气质量标准》（GB3095-2012）二级标准要求，本项目所在区域属于不达标区。目前，</w:t>
            </w:r>
            <w:r>
              <w:rPr>
                <w:rFonts w:hint="default" w:ascii="Times New Roman" w:hAnsi="Times New Roman" w:cs="Times New Roman"/>
                <w:color w:val="auto"/>
                <w:sz w:val="21"/>
                <w:szCs w:val="21"/>
                <w:highlight w:val="none"/>
                <w:lang w:eastAsia="zh-CN"/>
              </w:rPr>
              <w:t>新乡市</w:t>
            </w:r>
            <w:r>
              <w:rPr>
                <w:rFonts w:hint="default" w:ascii="Times New Roman" w:hAnsi="Times New Roman" w:cs="Times New Roman"/>
                <w:color w:val="auto"/>
                <w:sz w:val="21"/>
                <w:szCs w:val="21"/>
                <w:highlight w:val="none"/>
              </w:rPr>
              <w:t>正在实施《</w:t>
            </w:r>
            <w:r>
              <w:rPr>
                <w:rFonts w:hint="default" w:ascii="Times New Roman" w:hAnsi="Times New Roman" w:cs="Times New Roman"/>
                <w:color w:val="auto"/>
                <w:sz w:val="21"/>
                <w:szCs w:val="21"/>
                <w:highlight w:val="none"/>
                <w:lang w:eastAsia="zh-CN"/>
              </w:rPr>
              <w:t>新乡市</w:t>
            </w:r>
            <w:r>
              <w:rPr>
                <w:rFonts w:hint="default" w:ascii="Times New Roman" w:hAnsi="Times New Roman" w:cs="Times New Roman"/>
                <w:color w:val="auto"/>
                <w:sz w:val="21"/>
                <w:szCs w:val="21"/>
                <w:highlight w:val="none"/>
              </w:rPr>
              <w:t>2023年蓝天保卫战实施方案》的通知》（新环攻坚办（2023）77号）等一系列措施，将不断改善区域大气环境质量。</w:t>
            </w:r>
          </w:p>
          <w:p>
            <w:pPr>
              <w:keepNext w:val="0"/>
              <w:keepLines w:val="0"/>
              <w:pageBreakBefore w:val="0"/>
              <w:widowControl w:val="0"/>
              <w:kinsoku/>
              <w:wordWrap/>
              <w:overflowPunct/>
              <w:topLinePunct w:val="0"/>
              <w:bidi w:val="0"/>
              <w:adjustRightInd/>
              <w:snapToGrid/>
              <w:spacing w:line="360" w:lineRule="auto"/>
              <w:ind w:firstLine="420" w:firstLineChars="200"/>
              <w:jc w:val="both"/>
              <w:textAlignment w:val="auto"/>
              <w:rPr>
                <w:rFonts w:hint="default" w:ascii="Times New Roman" w:hAnsi="Times New Roman" w:eastAsia="宋体" w:cs="Times New Roman"/>
                <w:color w:val="auto"/>
                <w:szCs w:val="21"/>
                <w:highlight w:val="none"/>
                <w:lang w:val="de-DE" w:eastAsia="zh-CN"/>
              </w:rPr>
            </w:pPr>
            <w:r>
              <w:rPr>
                <w:rFonts w:hint="eastAsia" w:cs="Times New Roman"/>
                <w:color w:val="auto"/>
                <w:highlight w:val="none"/>
                <w:lang w:val="en-US" w:eastAsia="zh-CN"/>
              </w:rPr>
              <w:t>本项目废气主要为注液工序产生的有机废气，项目注液采用真空注液，注液机抽真空尾气通过密闭管道排入1套“UV光催化氧化+活性炭吸附”处理后，经15m高排气筒排放，</w:t>
            </w:r>
            <w:r>
              <w:rPr>
                <w:rFonts w:hint="default" w:ascii="Times New Roman" w:hAnsi="Times New Roman" w:cs="Times New Roman"/>
                <w:color w:val="auto"/>
                <w:highlight w:val="none"/>
                <w:lang w:val="en-US" w:eastAsia="zh-CN"/>
              </w:rPr>
              <w:t>日常生产过程可确保废气处置过程环保措施的运行稳定，使废气污染物达标排放，</w:t>
            </w:r>
            <w:r>
              <w:rPr>
                <w:rFonts w:hint="default" w:ascii="Times New Roman" w:hAnsi="Times New Roman" w:cs="Times New Roman"/>
                <w:color w:val="auto"/>
                <w:kern w:val="0"/>
                <w:szCs w:val="21"/>
                <w:highlight w:val="none"/>
                <w:lang w:bidi="ar"/>
              </w:rPr>
              <w:t>对区域</w:t>
            </w:r>
            <w:r>
              <w:rPr>
                <w:rFonts w:hint="default" w:ascii="Times New Roman" w:hAnsi="Times New Roman" w:cs="Times New Roman"/>
                <w:color w:val="auto"/>
                <w:kern w:val="0"/>
                <w:szCs w:val="21"/>
                <w:highlight w:val="none"/>
                <w:lang w:eastAsia="zh-CN" w:bidi="ar"/>
              </w:rPr>
              <w:t>大气</w:t>
            </w:r>
            <w:r>
              <w:rPr>
                <w:rFonts w:hint="default" w:ascii="Times New Roman" w:hAnsi="Times New Roman" w:cs="Times New Roman"/>
                <w:color w:val="auto"/>
                <w:kern w:val="0"/>
                <w:szCs w:val="21"/>
                <w:highlight w:val="none"/>
                <w:lang w:bidi="ar"/>
              </w:rPr>
              <w:t>环境质量的影响较小。</w:t>
            </w:r>
          </w:p>
          <w:p>
            <w:pPr>
              <w:pStyle w:val="2"/>
              <w:bidi w:val="0"/>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2</w:t>
            </w:r>
            <w:r>
              <w:rPr>
                <w:rFonts w:hint="eastAsia" w:cs="Times New Roman"/>
                <w:color w:val="auto"/>
                <w:highlight w:val="none"/>
                <w:lang w:eastAsia="zh-CN"/>
              </w:rPr>
              <w:t>）</w:t>
            </w:r>
            <w:r>
              <w:rPr>
                <w:rFonts w:hint="default" w:ascii="Times New Roman" w:hAnsi="Times New Roman" w:cs="Times New Roman"/>
                <w:color w:val="auto"/>
                <w:highlight w:val="none"/>
              </w:rPr>
              <w:t>地表水</w:t>
            </w:r>
          </w:p>
          <w:p>
            <w:pPr>
              <w:keepNext w:val="0"/>
              <w:keepLines w:val="0"/>
              <w:pageBreakBefore w:val="0"/>
              <w:kinsoku/>
              <w:wordWrap/>
              <w:overflowPunct/>
              <w:topLinePunct w:val="0"/>
              <w:bidi w:val="0"/>
              <w:adjustRightInd/>
              <w:snapToGrid/>
              <w:spacing w:line="360" w:lineRule="auto"/>
              <w:ind w:left="0" w:leftChars="0" w:right="0" w:firstLine="420" w:firstLineChars="200"/>
              <w:textAlignment w:val="auto"/>
              <w:rPr>
                <w:rFonts w:hint="default" w:ascii="Times New Roman" w:hAnsi="Times New Roman" w:cs="Times New Roman"/>
                <w:b w:val="0"/>
                <w:bCs w:val="0"/>
                <w:color w:val="auto"/>
                <w:sz w:val="21"/>
                <w:szCs w:val="21"/>
                <w:highlight w:val="none"/>
                <w:u w:val="none"/>
                <w:lang w:eastAsia="zh-CN"/>
              </w:rPr>
            </w:pPr>
            <w:r>
              <w:rPr>
                <w:rFonts w:hint="default" w:ascii="Times New Roman" w:hAnsi="Times New Roman" w:cs="Times New Roman"/>
                <w:b w:val="0"/>
                <w:bCs w:val="0"/>
                <w:color w:val="auto"/>
                <w:sz w:val="21"/>
                <w:szCs w:val="21"/>
                <w:highlight w:val="none"/>
                <w:u w:val="none"/>
                <w:lang w:eastAsia="zh-CN"/>
              </w:rPr>
              <w:t>本项目生产过程无生产废水产生，废水主要为生活污水，且由于厂址区域未铺设污水管网，评价要求项目生活污水近期经自建一体化污水处理设施处理后</w:t>
            </w:r>
            <w:r>
              <w:rPr>
                <w:rFonts w:hint="eastAsia" w:cs="Times New Roman"/>
                <w:b w:val="0"/>
                <w:bCs w:val="0"/>
                <w:color w:val="auto"/>
                <w:sz w:val="21"/>
                <w:szCs w:val="21"/>
                <w:highlight w:val="none"/>
                <w:u w:val="none"/>
                <w:lang w:eastAsia="zh-CN"/>
              </w:rPr>
              <w:t>，</w:t>
            </w:r>
            <w:r>
              <w:rPr>
                <w:rFonts w:hint="default" w:ascii="Times New Roman" w:hAnsi="Times New Roman" w:cs="Times New Roman"/>
                <w:b w:val="0"/>
                <w:bCs w:val="0"/>
                <w:color w:val="auto"/>
                <w:sz w:val="21"/>
                <w:szCs w:val="21"/>
                <w:highlight w:val="none"/>
                <w:u w:val="none"/>
                <w:lang w:eastAsia="zh-CN"/>
              </w:rPr>
              <w:t>通过污水管网排入新乡市小尚庄污水处理厂进行进一步处理</w:t>
            </w:r>
            <w:r>
              <w:rPr>
                <w:rFonts w:hint="eastAsia" w:cs="Times New Roman"/>
                <w:b w:val="0"/>
                <w:bCs w:val="0"/>
                <w:color w:val="auto"/>
                <w:sz w:val="21"/>
                <w:szCs w:val="21"/>
                <w:highlight w:val="none"/>
                <w:u w:val="none"/>
                <w:lang w:eastAsia="zh-CN"/>
              </w:rPr>
              <w:t>后，最终排入卫河</w:t>
            </w:r>
            <w:r>
              <w:rPr>
                <w:rFonts w:hint="default" w:ascii="Times New Roman" w:hAnsi="Times New Roman" w:cs="Times New Roman"/>
                <w:b w:val="0"/>
                <w:bCs w:val="0"/>
                <w:color w:val="auto"/>
                <w:sz w:val="21"/>
                <w:szCs w:val="21"/>
                <w:highlight w:val="none"/>
                <w:u w:val="none"/>
                <w:lang w:eastAsia="zh-CN"/>
              </w:rPr>
              <w:t>。待后期区域规划</w:t>
            </w:r>
            <w:r>
              <w:rPr>
                <w:rFonts w:hint="eastAsia" w:cs="Times New Roman"/>
                <w:b w:val="0"/>
                <w:bCs w:val="0"/>
                <w:color w:val="auto"/>
                <w:sz w:val="21"/>
                <w:szCs w:val="21"/>
                <w:highlight w:val="none"/>
                <w:u w:val="none"/>
                <w:lang w:eastAsia="zh-CN"/>
              </w:rPr>
              <w:t>的</w:t>
            </w:r>
            <w:r>
              <w:rPr>
                <w:rFonts w:hint="default" w:ascii="Times New Roman" w:hAnsi="Times New Roman" w:cs="Times New Roman"/>
                <w:b w:val="0"/>
                <w:bCs w:val="0"/>
                <w:color w:val="auto"/>
                <w:sz w:val="21"/>
                <w:szCs w:val="21"/>
                <w:highlight w:val="none"/>
                <w:u w:val="none"/>
                <w:lang w:eastAsia="zh-CN"/>
              </w:rPr>
              <w:t>新乡市凤泉区污水处理厂建成后排入新乡市凤泉区污水处理厂处理</w:t>
            </w:r>
            <w:r>
              <w:rPr>
                <w:rFonts w:hint="eastAsia" w:cs="Times New Roman"/>
                <w:b w:val="0"/>
                <w:bCs w:val="0"/>
                <w:color w:val="auto"/>
                <w:sz w:val="21"/>
                <w:szCs w:val="21"/>
                <w:highlight w:val="none"/>
                <w:u w:val="none"/>
                <w:lang w:eastAsia="zh-CN"/>
              </w:rPr>
              <w:t>，最终排入民生渠</w:t>
            </w:r>
            <w:r>
              <w:rPr>
                <w:rFonts w:hint="default" w:ascii="Times New Roman" w:hAnsi="Times New Roman" w:cs="Times New Roman"/>
                <w:b w:val="0"/>
                <w:bCs w:val="0"/>
                <w:color w:val="auto"/>
                <w:sz w:val="21"/>
                <w:szCs w:val="21"/>
                <w:highlight w:val="none"/>
                <w:u w:val="none"/>
                <w:lang w:eastAsia="zh-CN"/>
              </w:rPr>
              <w:t>。根据《新乡市生态环境局关于下达2022年地表水环境质量暂定目标的函》，卫河、民生渠规划水体功能均为《地表水环境质量标准》</w:t>
            </w:r>
            <w:r>
              <w:rPr>
                <w:rFonts w:hint="eastAsia" w:cs="Times New Roman"/>
                <w:b w:val="0"/>
                <w:bCs w:val="0"/>
                <w:color w:val="auto"/>
                <w:sz w:val="21"/>
                <w:szCs w:val="21"/>
                <w:highlight w:val="none"/>
                <w:u w:val="none"/>
                <w:lang w:eastAsia="zh-CN"/>
              </w:rPr>
              <w:t>（</w:t>
            </w:r>
            <w:r>
              <w:rPr>
                <w:rFonts w:hint="default" w:ascii="Times New Roman" w:hAnsi="Times New Roman" w:cs="Times New Roman"/>
                <w:b w:val="0"/>
                <w:bCs w:val="0"/>
                <w:color w:val="auto"/>
                <w:sz w:val="21"/>
                <w:szCs w:val="21"/>
                <w:highlight w:val="none"/>
                <w:u w:val="none"/>
                <w:lang w:eastAsia="zh-CN"/>
              </w:rPr>
              <w:t>GB3838-2002</w:t>
            </w:r>
            <w:r>
              <w:rPr>
                <w:rFonts w:hint="eastAsia" w:cs="Times New Roman"/>
                <w:b w:val="0"/>
                <w:bCs w:val="0"/>
                <w:color w:val="auto"/>
                <w:sz w:val="21"/>
                <w:szCs w:val="21"/>
                <w:highlight w:val="none"/>
                <w:u w:val="none"/>
                <w:lang w:eastAsia="zh-CN"/>
              </w:rPr>
              <w:t>）</w:t>
            </w:r>
            <w:r>
              <w:rPr>
                <w:rFonts w:hint="default" w:ascii="Times New Roman" w:hAnsi="Times New Roman" w:cs="Times New Roman"/>
                <w:b w:val="0"/>
                <w:bCs w:val="0"/>
                <w:color w:val="auto"/>
                <w:sz w:val="21"/>
                <w:szCs w:val="21"/>
                <w:highlight w:val="none"/>
                <w:u w:val="none"/>
                <w:lang w:eastAsia="zh-CN"/>
              </w:rPr>
              <w:t>IV类。</w:t>
            </w:r>
            <w:r>
              <w:rPr>
                <w:rFonts w:hint="eastAsia" w:cs="Times New Roman"/>
                <w:b w:val="0"/>
                <w:bCs w:val="0"/>
                <w:color w:val="auto"/>
                <w:sz w:val="21"/>
                <w:szCs w:val="21"/>
                <w:highlight w:val="none"/>
                <w:u w:val="none"/>
                <w:lang w:eastAsia="zh-CN"/>
              </w:rPr>
              <w:t>本次评价</w:t>
            </w:r>
            <w:r>
              <w:rPr>
                <w:rFonts w:hint="default" w:ascii="Times New Roman" w:hAnsi="Times New Roman" w:cs="Times New Roman"/>
                <w:b w:val="0"/>
                <w:bCs w:val="0"/>
                <w:color w:val="auto"/>
                <w:sz w:val="21"/>
                <w:szCs w:val="21"/>
                <w:highlight w:val="none"/>
                <w:u w:val="none"/>
                <w:lang w:eastAsia="zh-CN"/>
              </w:rPr>
              <w:t>引用《新乡市新能源电池专业园区发展规划（2022-2035年）环境影响报告书》中河南宜信检测技术服务有限公司于2022年7月27日~7月29日对凤泉区污水处理厂出水口上游500m处、凤泉区污水处理厂出水口下游500m处及小尚庄污水处理厂出水口上游500m处、小尚庄污水处理厂出水口下游500m处断面进行的监测数据</w:t>
            </w:r>
            <w:r>
              <w:rPr>
                <w:rFonts w:hint="eastAsia" w:cs="Times New Roman"/>
                <w:b w:val="0"/>
                <w:bCs w:val="0"/>
                <w:color w:val="auto"/>
                <w:sz w:val="21"/>
                <w:szCs w:val="21"/>
                <w:highlight w:val="none"/>
                <w:u w:val="none"/>
                <w:lang w:eastAsia="zh-CN"/>
              </w:rPr>
              <w:t>。</w:t>
            </w:r>
          </w:p>
          <w:p>
            <w:pPr>
              <w:keepNext w:val="0"/>
              <w:keepLines w:val="0"/>
              <w:pageBreakBefore w:val="0"/>
              <w:kinsoku/>
              <w:wordWrap/>
              <w:overflowPunct/>
              <w:topLinePunct w:val="0"/>
              <w:bidi w:val="0"/>
              <w:adjustRightInd/>
              <w:snapToGrid/>
              <w:spacing w:line="360" w:lineRule="auto"/>
              <w:ind w:left="0" w:leftChars="0" w:right="0" w:firstLine="420" w:firstLineChars="200"/>
              <w:textAlignment w:val="auto"/>
              <w:rPr>
                <w:rFonts w:hint="default" w:ascii="Times New Roman" w:hAnsi="Times New Roman" w:cs="Times New Roman"/>
                <w:b w:val="0"/>
                <w:bCs w:val="0"/>
                <w:color w:val="auto"/>
                <w:sz w:val="21"/>
                <w:szCs w:val="21"/>
                <w:highlight w:val="none"/>
                <w:u w:val="none"/>
                <w:lang w:eastAsia="zh-CN"/>
              </w:rPr>
            </w:pPr>
            <w:r>
              <w:rPr>
                <w:rFonts w:hint="default" w:ascii="Times New Roman" w:hAnsi="Times New Roman" w:cs="Times New Roman"/>
                <w:b w:val="0"/>
                <w:bCs w:val="0"/>
                <w:color w:val="auto"/>
                <w:sz w:val="21"/>
                <w:szCs w:val="21"/>
                <w:highlight w:val="none"/>
                <w:u w:val="none"/>
                <w:lang w:eastAsia="zh-CN"/>
              </w:rPr>
              <w:t>卫河出市口断面2022年1月～2022年10月水质状况为：COD为11.7~22mg/L，标准指数为0.39~0.73；NH3-N为0.34~1.61mg/L，标准指数为0.23~1.07；TP为0.12~0.276mg/L，标准指数为0.4~0.92；除NH</w:t>
            </w:r>
            <w:r>
              <w:rPr>
                <w:rFonts w:hint="default" w:ascii="Times New Roman" w:hAnsi="Times New Roman" w:cs="Times New Roman"/>
                <w:b w:val="0"/>
                <w:bCs w:val="0"/>
                <w:color w:val="auto"/>
                <w:sz w:val="21"/>
                <w:szCs w:val="21"/>
                <w:highlight w:val="none"/>
                <w:u w:val="none"/>
                <w:vertAlign w:val="subscript"/>
                <w:lang w:eastAsia="zh-CN"/>
              </w:rPr>
              <w:t>3</w:t>
            </w:r>
            <w:r>
              <w:rPr>
                <w:rFonts w:hint="default" w:ascii="Times New Roman" w:hAnsi="Times New Roman" w:cs="Times New Roman"/>
                <w:b w:val="0"/>
                <w:bCs w:val="0"/>
                <w:color w:val="auto"/>
                <w:sz w:val="21"/>
                <w:szCs w:val="21"/>
                <w:highlight w:val="none"/>
                <w:u w:val="none"/>
                <w:lang w:eastAsia="zh-CN"/>
              </w:rPr>
              <w:t>-N略有超标外，COD、TP均能够满足《地表水环境质量标准》（GB3838-2002）IV类标准（COD30mg/L、氨氮1.5 mg/L、总磷0.3 mg/L）。</w:t>
            </w:r>
          </w:p>
          <w:p>
            <w:pPr>
              <w:keepNext w:val="0"/>
              <w:keepLines w:val="0"/>
              <w:pageBreakBefore w:val="0"/>
              <w:kinsoku/>
              <w:wordWrap/>
              <w:overflowPunct/>
              <w:topLinePunct w:val="0"/>
              <w:bidi w:val="0"/>
              <w:adjustRightInd/>
              <w:snapToGrid/>
              <w:spacing w:line="360" w:lineRule="auto"/>
              <w:ind w:left="0" w:leftChars="0" w:right="0" w:firstLine="420" w:firstLineChars="200"/>
              <w:textAlignment w:val="auto"/>
              <w:rPr>
                <w:rFonts w:hint="default" w:ascii="Times New Roman" w:hAnsi="Times New Roman" w:cs="Times New Roman"/>
                <w:b w:val="0"/>
                <w:bCs w:val="0"/>
                <w:color w:val="auto"/>
                <w:sz w:val="21"/>
                <w:szCs w:val="21"/>
                <w:highlight w:val="none"/>
                <w:u w:val="none"/>
                <w:lang w:eastAsia="zh-CN"/>
              </w:rPr>
            </w:pPr>
            <w:r>
              <w:rPr>
                <w:rFonts w:hint="default" w:ascii="Times New Roman" w:hAnsi="Times New Roman" w:cs="Times New Roman"/>
                <w:b w:val="0"/>
                <w:bCs w:val="0"/>
                <w:color w:val="auto"/>
                <w:sz w:val="21"/>
                <w:szCs w:val="21"/>
                <w:highlight w:val="none"/>
                <w:u w:val="none"/>
                <w:lang w:eastAsia="zh-CN"/>
              </w:rPr>
              <w:t>民生渠入共渠断面2022年1月～2022年10月水质状况为：COD为20.09~52.75mg/L，标准指数为0.67~1.76；NH3-N为1.47~9.91mg/L，标准指数为0.98~6.61；TP为0.193~0.818mg/L，标准指数为0.64~2.73；COD、NH</w:t>
            </w:r>
            <w:r>
              <w:rPr>
                <w:rFonts w:hint="default" w:ascii="Times New Roman" w:hAnsi="Times New Roman" w:cs="Times New Roman"/>
                <w:b w:val="0"/>
                <w:bCs w:val="0"/>
                <w:color w:val="auto"/>
                <w:sz w:val="21"/>
                <w:szCs w:val="21"/>
                <w:highlight w:val="none"/>
                <w:u w:val="none"/>
                <w:vertAlign w:val="subscript"/>
                <w:lang w:eastAsia="zh-CN"/>
              </w:rPr>
              <w:t>3</w:t>
            </w:r>
            <w:r>
              <w:rPr>
                <w:rFonts w:hint="default" w:ascii="Times New Roman" w:hAnsi="Times New Roman" w:cs="Times New Roman"/>
                <w:b w:val="0"/>
                <w:bCs w:val="0"/>
                <w:color w:val="auto"/>
                <w:sz w:val="21"/>
                <w:szCs w:val="21"/>
                <w:highlight w:val="none"/>
                <w:u w:val="none"/>
                <w:lang w:eastAsia="zh-CN"/>
              </w:rPr>
              <w:t>-N、TP均不能够满足《地表水环境质量标准》（GB3838-2002）IV类标准（COD30mg/L、氨氮1.5 mg/L、总磷0.3 mg/L）。目前新乡市正在推进实施《新乡市2023年碧水保卫战实施方案》（新环攻坚办〔2023〕66号）等一系列方案，将进一步改善新乡市水环境质量。</w:t>
            </w:r>
          </w:p>
          <w:p>
            <w:pPr>
              <w:pStyle w:val="54"/>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bidi="ar-SA"/>
              </w:rPr>
              <w:t>本项目废气、废水在采取报告中提出的治理措施后，能够达到相应的排放标准，因此对周边环境质量影响较小。综上，本项目的建设运行不会突破项目所在地的环境质量底线，因此项目符合环境质量底线标准。</w:t>
            </w:r>
          </w:p>
          <w:p>
            <w:pPr>
              <w:pStyle w:val="2"/>
              <w:bidi w:val="0"/>
              <w:ind w:left="0" w:leftChars="0" w:firstLine="0" w:firstLineChars="0"/>
              <w:rPr>
                <w:rFonts w:hint="default" w:ascii="Times New Roman" w:hAnsi="Times New Roman" w:cs="Times New Roman"/>
                <w:color w:val="auto"/>
                <w:highlight w:val="none"/>
                <w:lang w:eastAsia="zh-CN"/>
              </w:rPr>
            </w:pPr>
            <w:r>
              <w:rPr>
                <w:rFonts w:hint="eastAsia" w:cs="Times New Roman"/>
                <w:color w:val="auto"/>
                <w:highlight w:val="none"/>
                <w:lang w:val="en-US" w:eastAsia="zh-CN"/>
              </w:rPr>
              <w:t>12.3</w:t>
            </w:r>
            <w:r>
              <w:rPr>
                <w:rFonts w:hint="default" w:ascii="Times New Roman" w:hAnsi="Times New Roman" w:cs="Times New Roman"/>
                <w:color w:val="auto"/>
                <w:highlight w:val="none"/>
                <w:lang w:eastAsia="zh-CN"/>
              </w:rPr>
              <w:t>资源利用上线</w:t>
            </w:r>
          </w:p>
          <w:p>
            <w:pPr>
              <w:keepNext w:val="0"/>
              <w:keepLines w:val="0"/>
              <w:pageBreakBefore w:val="0"/>
              <w:widowControl w:val="0"/>
              <w:kinsoku/>
              <w:wordWrap/>
              <w:overflowPunct/>
              <w:topLinePunct w:val="0"/>
              <w:bidi w:val="0"/>
              <w:adjustRightInd/>
              <w:snapToGrid/>
              <w:spacing w:line="360" w:lineRule="auto"/>
              <w:ind w:left="0" w:leftChars="0" w:right="0" w:firstLine="420" w:firstLineChars="200"/>
              <w:textAlignment w:val="auto"/>
              <w:rPr>
                <w:rFonts w:hint="default" w:ascii="Times New Roman" w:hAnsi="Times New Roman" w:cs="Times New Roman"/>
                <w:b w:val="0"/>
                <w:bCs/>
                <w:color w:val="auto"/>
                <w:szCs w:val="28"/>
                <w:highlight w:val="none"/>
                <w:lang w:val="en-US" w:eastAsia="zh-CN"/>
              </w:rPr>
            </w:pPr>
            <w:r>
              <w:rPr>
                <w:rFonts w:hint="default" w:ascii="Times New Roman" w:hAnsi="Times New Roman" w:cs="Times New Roman"/>
                <w:color w:val="auto"/>
                <w:highlight w:val="none"/>
              </w:rPr>
              <w:t>土地资源：</w:t>
            </w:r>
            <w:r>
              <w:rPr>
                <w:rFonts w:hint="eastAsia" w:cs="Times New Roman"/>
                <w:color w:val="auto"/>
                <w:highlight w:val="none"/>
                <w:lang w:eastAsia="zh-CN"/>
              </w:rPr>
              <w:t>本项目租赁现有厂房进行建设</w:t>
            </w:r>
            <w:r>
              <w:rPr>
                <w:rFonts w:hint="default" w:ascii="Times New Roman" w:hAnsi="Times New Roman" w:cs="Times New Roman"/>
                <w:color w:val="auto"/>
                <w:highlight w:val="none"/>
                <w:lang w:eastAsia="zh-CN"/>
              </w:rPr>
              <w:t>，无新增占地</w:t>
            </w:r>
            <w:r>
              <w:rPr>
                <w:rFonts w:hint="eastAsia" w:cs="Times New Roman"/>
                <w:color w:val="auto"/>
                <w:highlight w:val="none"/>
                <w:lang w:eastAsia="zh-CN"/>
              </w:rPr>
              <w:t>，该厂址位于</w:t>
            </w:r>
            <w:r>
              <w:rPr>
                <w:rFonts w:hint="eastAsia" w:cs="Times New Roman"/>
                <w:color w:val="auto"/>
                <w:sz w:val="21"/>
                <w:szCs w:val="21"/>
                <w:highlight w:val="none"/>
                <w:lang w:eastAsia="zh-CN"/>
              </w:rPr>
              <w:t>新乡市新能源电池专业园区东片区内</w:t>
            </w:r>
            <w:r>
              <w:rPr>
                <w:rFonts w:hint="eastAsia" w:cs="Times New Roman"/>
                <w:b w:val="0"/>
                <w:bCs/>
                <w:color w:val="auto"/>
                <w:szCs w:val="28"/>
                <w:highlight w:val="none"/>
                <w:lang w:eastAsia="zh-CN"/>
              </w:rPr>
              <w:t>，经对照</w:t>
            </w:r>
            <w:r>
              <w:rPr>
                <w:rFonts w:hint="default" w:ascii="Times New Roman" w:hAnsi="Times New Roman" w:cs="Times New Roman"/>
                <w:b w:val="0"/>
                <w:bCs/>
                <w:color w:val="auto"/>
                <w:sz w:val="21"/>
                <w:szCs w:val="21"/>
                <w:highlight w:val="none"/>
                <w:u w:val="none"/>
              </w:rPr>
              <w:t>《</w:t>
            </w:r>
            <w:r>
              <w:rPr>
                <w:rFonts w:hint="eastAsia" w:cs="Times New Roman"/>
                <w:color w:val="auto"/>
                <w:sz w:val="21"/>
                <w:szCs w:val="21"/>
                <w:highlight w:val="none"/>
                <w:lang w:eastAsia="zh-CN"/>
              </w:rPr>
              <w:t>新乡市新能源电池专业园区</w:t>
            </w:r>
            <w:r>
              <w:rPr>
                <w:rFonts w:hint="default" w:ascii="Times New Roman" w:hAnsi="Times New Roman" w:cs="Times New Roman"/>
                <w:color w:val="auto"/>
                <w:sz w:val="21"/>
                <w:szCs w:val="21"/>
                <w:highlight w:val="none"/>
              </w:rPr>
              <w:t>发展规划（2017-2020年）——用地规划图</w:t>
            </w:r>
            <w:r>
              <w:rPr>
                <w:rFonts w:hint="default" w:ascii="Times New Roman" w:hAnsi="Times New Roman" w:cs="Times New Roman"/>
                <w:b w:val="0"/>
                <w:bCs/>
                <w:color w:val="auto"/>
                <w:sz w:val="21"/>
                <w:szCs w:val="21"/>
                <w:highlight w:val="none"/>
                <w:u w:val="none"/>
              </w:rPr>
              <w:t>》（详见附图</w:t>
            </w:r>
            <w:r>
              <w:rPr>
                <w:rFonts w:hint="default" w:ascii="Times New Roman" w:hAnsi="Times New Roman" w:cs="Times New Roman"/>
                <w:b w:val="0"/>
                <w:bCs/>
                <w:color w:val="auto"/>
                <w:sz w:val="21"/>
                <w:szCs w:val="21"/>
                <w:highlight w:val="none"/>
                <w:u w:val="none"/>
                <w:lang w:eastAsia="zh-CN"/>
              </w:rPr>
              <w:t>五</w:t>
            </w:r>
            <w:r>
              <w:rPr>
                <w:rFonts w:hint="default" w:ascii="Times New Roman" w:hAnsi="Times New Roman" w:cs="Times New Roman"/>
                <w:b w:val="0"/>
                <w:bCs/>
                <w:color w:val="auto"/>
                <w:sz w:val="21"/>
                <w:szCs w:val="21"/>
                <w:highlight w:val="none"/>
                <w:u w:val="none"/>
              </w:rPr>
              <w:t>），项目占地</w:t>
            </w:r>
            <w:r>
              <w:rPr>
                <w:rFonts w:hint="default" w:ascii="Times New Roman" w:hAnsi="Times New Roman" w:cs="Times New Roman"/>
                <w:b w:val="0"/>
                <w:bCs/>
                <w:color w:val="auto"/>
                <w:sz w:val="21"/>
                <w:szCs w:val="21"/>
                <w:highlight w:val="none"/>
                <w:u w:val="none"/>
                <w:lang w:eastAsia="zh-CN"/>
              </w:rPr>
              <w:t>属于工业用地</w:t>
            </w:r>
            <w:r>
              <w:rPr>
                <w:rFonts w:hint="default" w:ascii="Times New Roman" w:hAnsi="Times New Roman" w:cs="Times New Roman"/>
                <w:b w:val="0"/>
                <w:bCs/>
                <w:color w:val="auto"/>
                <w:szCs w:val="28"/>
                <w:highlight w:val="none"/>
                <w:lang w:eastAsia="zh-CN"/>
              </w:rPr>
              <w:t>，不会突破区域土地资源利用上线</w:t>
            </w:r>
            <w:r>
              <w:rPr>
                <w:rFonts w:hint="default" w:ascii="Times New Roman" w:hAnsi="Times New Roman" w:cs="Times New Roman"/>
                <w:b w:val="0"/>
                <w:bCs/>
                <w:color w:val="auto"/>
                <w:szCs w:val="28"/>
                <w:highlight w:val="none"/>
                <w:lang w:val="en-US" w:eastAsia="zh-CN"/>
              </w:rPr>
              <w:t>。</w:t>
            </w:r>
          </w:p>
          <w:p>
            <w:pPr>
              <w:bidi w:val="0"/>
              <w:rPr>
                <w:rFonts w:hint="default" w:ascii="Times New Roman" w:hAnsi="Times New Roman" w:cs="Times New Roman"/>
                <w:color w:val="auto"/>
                <w:szCs w:val="21"/>
                <w:highlight w:val="none"/>
                <w:lang w:eastAsia="zh-CN"/>
              </w:rPr>
            </w:pPr>
            <w:r>
              <w:rPr>
                <w:rFonts w:hint="default" w:ascii="Times New Roman" w:hAnsi="Times New Roman" w:cs="Times New Roman"/>
                <w:color w:val="auto"/>
                <w:highlight w:val="none"/>
              </w:rPr>
              <w:t>水资源：</w:t>
            </w:r>
            <w:r>
              <w:rPr>
                <w:rFonts w:hint="eastAsia" w:cs="Times New Roman"/>
                <w:color w:val="auto"/>
                <w:highlight w:val="none"/>
                <w:lang w:eastAsia="zh-CN"/>
              </w:rPr>
              <w:t>本项目无生产用水，用水主要为生活用水，经核算项目建成后</w:t>
            </w:r>
            <w:r>
              <w:rPr>
                <w:rFonts w:hint="default" w:ascii="Times New Roman" w:hAnsi="Times New Roman" w:cs="Times New Roman"/>
                <w:color w:val="auto"/>
                <w:szCs w:val="21"/>
                <w:highlight w:val="none"/>
              </w:rPr>
              <w:t>合计</w:t>
            </w:r>
            <w:r>
              <w:rPr>
                <w:rFonts w:hint="default" w:ascii="Times New Roman" w:hAnsi="Times New Roman" w:cs="Times New Roman"/>
                <w:color w:val="auto"/>
                <w:szCs w:val="21"/>
                <w:highlight w:val="none"/>
                <w:lang w:eastAsia="zh-CN"/>
              </w:rPr>
              <w:t>用水量</w:t>
            </w:r>
            <w:r>
              <w:rPr>
                <w:rFonts w:hint="default" w:ascii="Times New Roman" w:hAnsi="Times New Roman" w:cs="Times New Roman"/>
                <w:color w:val="auto"/>
                <w:szCs w:val="21"/>
                <w:highlight w:val="none"/>
              </w:rPr>
              <w:t>为</w:t>
            </w:r>
            <w:r>
              <w:rPr>
                <w:rFonts w:hint="eastAsia" w:cs="Times New Roman"/>
                <w:bCs/>
                <w:color w:val="auto"/>
                <w:kern w:val="0"/>
                <w:szCs w:val="21"/>
                <w:highlight w:val="none"/>
                <w:lang w:val="en-US" w:eastAsia="zh-CN"/>
              </w:rPr>
              <w:t>1.2</w:t>
            </w:r>
            <w:r>
              <w:rPr>
                <w:rFonts w:hint="default" w:ascii="Times New Roman" w:hAnsi="Times New Roman" w:cs="Times New Roman"/>
                <w:bCs/>
                <w:color w:val="auto"/>
                <w:kern w:val="0"/>
                <w:szCs w:val="21"/>
                <w:highlight w:val="none"/>
                <w:lang w:val="en-US" w:eastAsia="zh-CN"/>
              </w:rPr>
              <w:t>m</w:t>
            </w:r>
            <w:r>
              <w:rPr>
                <w:rFonts w:hint="default" w:ascii="Times New Roman" w:hAnsi="Times New Roman" w:cs="Times New Roman"/>
                <w:bCs/>
                <w:color w:val="auto"/>
                <w:kern w:val="0"/>
                <w:szCs w:val="21"/>
                <w:highlight w:val="none"/>
                <w:vertAlign w:val="superscript"/>
                <w:lang w:val="en-US" w:eastAsia="zh-CN"/>
              </w:rPr>
              <w:t>3</w:t>
            </w:r>
            <w:r>
              <w:rPr>
                <w:rFonts w:hint="default" w:ascii="Times New Roman" w:hAnsi="Times New Roman" w:cs="Times New Roman"/>
                <w:bCs/>
                <w:color w:val="auto"/>
                <w:kern w:val="0"/>
                <w:szCs w:val="21"/>
                <w:highlight w:val="none"/>
                <w:lang w:val="en-US" w:eastAsia="zh-CN"/>
              </w:rPr>
              <w:t>/d（</w:t>
            </w:r>
            <w:r>
              <w:rPr>
                <w:rFonts w:hint="eastAsia" w:cs="Times New Roman"/>
                <w:color w:val="auto"/>
                <w:sz w:val="21"/>
                <w:szCs w:val="21"/>
                <w:highlight w:val="none"/>
                <w:lang w:val="en-US" w:eastAsia="zh-CN"/>
              </w:rPr>
              <w:t>360</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r>
              <w:rPr>
                <w:rFonts w:hint="default" w:ascii="Times New Roman" w:hAnsi="Times New Roman" w:cs="Times New Roman"/>
                <w:bCs/>
                <w:color w:val="auto"/>
                <w:kern w:val="0"/>
                <w:szCs w:val="21"/>
                <w:highlight w:val="none"/>
                <w:lang w:val="en-US" w:eastAsia="zh-CN"/>
              </w:rPr>
              <w:t>）</w:t>
            </w:r>
            <w:r>
              <w:rPr>
                <w:rFonts w:hint="eastAsia" w:cs="Times New Roman"/>
                <w:bCs/>
                <w:color w:val="auto"/>
                <w:kern w:val="0"/>
                <w:szCs w:val="21"/>
                <w:highlight w:val="none"/>
                <w:lang w:val="en-US" w:eastAsia="zh-CN"/>
              </w:rPr>
              <w:t>，用水来源为市政供水，供应能力能够满足本项目的使用要求，不会突破区域水资源利用上线。</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color w:val="auto"/>
                <w:highlight w:val="none"/>
              </w:rPr>
              <w:t>能源资源：</w:t>
            </w:r>
            <w:r>
              <w:rPr>
                <w:rFonts w:hint="eastAsia" w:cs="Times New Roman"/>
                <w:color w:val="auto"/>
                <w:highlight w:val="none"/>
                <w:lang w:eastAsia="zh-CN"/>
              </w:rPr>
              <w:t>本项目建成后所需用电量为</w:t>
            </w:r>
            <w:r>
              <w:rPr>
                <w:rFonts w:hint="eastAsia" w:cs="Times New Roman"/>
                <w:color w:val="auto"/>
                <w:highlight w:val="none"/>
                <w:lang w:val="en-US" w:eastAsia="zh-CN"/>
              </w:rPr>
              <w:t>1</w:t>
            </w:r>
            <w:r>
              <w:rPr>
                <w:rFonts w:hint="eastAsia" w:cs="Times New Roman"/>
                <w:bCs/>
                <w:color w:val="auto"/>
                <w:kern w:val="0"/>
                <w:szCs w:val="21"/>
                <w:highlight w:val="none"/>
                <w:lang w:val="en-US" w:eastAsia="zh-CN"/>
              </w:rPr>
              <w:t>50</w:t>
            </w:r>
            <w:r>
              <w:rPr>
                <w:rFonts w:hint="default" w:ascii="Times New Roman" w:hAnsi="Times New Roman" w:cs="Times New Roman"/>
                <w:bCs/>
                <w:color w:val="auto"/>
                <w:kern w:val="0"/>
                <w:szCs w:val="21"/>
                <w:highlight w:val="none"/>
                <w:lang w:val="en-US" w:eastAsia="zh-CN"/>
              </w:rPr>
              <w:t>万kW‧h</w:t>
            </w:r>
            <w:r>
              <w:rPr>
                <w:rFonts w:hint="eastAsia" w:cs="Times New Roman"/>
                <w:bCs/>
                <w:color w:val="auto"/>
                <w:kern w:val="0"/>
                <w:szCs w:val="21"/>
                <w:highlight w:val="none"/>
                <w:lang w:val="en-US" w:eastAsia="zh-CN"/>
              </w:rPr>
              <w:t>/a</w:t>
            </w:r>
            <w:r>
              <w:rPr>
                <w:rFonts w:hint="default" w:ascii="Times New Roman" w:hAnsi="Times New Roman" w:cs="Times New Roman"/>
                <w:bCs/>
                <w:color w:val="auto"/>
                <w:kern w:val="0"/>
                <w:szCs w:val="21"/>
                <w:highlight w:val="none"/>
                <w:lang w:eastAsia="zh-CN"/>
              </w:rPr>
              <w:t>，来源由市政供电管网</w:t>
            </w:r>
            <w:r>
              <w:rPr>
                <w:rFonts w:hint="default" w:ascii="Times New Roman" w:hAnsi="Times New Roman" w:cs="Times New Roman"/>
                <w:bCs/>
                <w:color w:val="auto"/>
                <w:kern w:val="0"/>
                <w:szCs w:val="21"/>
                <w:highlight w:val="none"/>
              </w:rPr>
              <w:t>供电</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rPr>
              <w:t>项目建成运行后通过内部管理、设备选择、原辅材料的选用和管理、废物回收利用、污染治理等多方面采取合理可行的防治措施，以“节能、降耗、减污”为目标，有效地控制污染。</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综上</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项目</w:t>
            </w:r>
            <w:r>
              <w:rPr>
                <w:rFonts w:hint="default" w:ascii="Times New Roman" w:hAnsi="Times New Roman" w:cs="Times New Roman"/>
                <w:color w:val="auto"/>
                <w:highlight w:val="none"/>
              </w:rPr>
              <w:t>不会增加园区能源资源利用。项目的土地、水、能源等资源利用不会突破区域的资源利用上线。</w:t>
            </w:r>
          </w:p>
          <w:p>
            <w:pPr>
              <w:pStyle w:val="2"/>
              <w:bidi w:val="0"/>
              <w:ind w:left="0" w:leftChars="0" w:firstLine="0" w:firstLineChars="0"/>
              <w:rPr>
                <w:rFonts w:hint="default" w:ascii="Times New Roman" w:hAnsi="Times New Roman" w:cs="Times New Roman"/>
                <w:color w:val="auto"/>
                <w:highlight w:val="none"/>
                <w:lang w:eastAsia="zh-CN"/>
              </w:rPr>
            </w:pPr>
            <w:r>
              <w:rPr>
                <w:rFonts w:hint="eastAsia" w:cs="Times New Roman"/>
                <w:color w:val="auto"/>
                <w:highlight w:val="none"/>
                <w:lang w:val="en-US" w:eastAsia="zh-CN"/>
              </w:rPr>
              <w:t>12.4</w:t>
            </w:r>
            <w:r>
              <w:rPr>
                <w:rFonts w:hint="default" w:ascii="Times New Roman" w:hAnsi="Times New Roman" w:cs="Times New Roman"/>
                <w:color w:val="auto"/>
                <w:highlight w:val="none"/>
                <w:lang w:eastAsia="zh-CN"/>
              </w:rPr>
              <w:t>生态环境准入清单</w:t>
            </w:r>
          </w:p>
          <w:p>
            <w:pPr>
              <w:keepNext w:val="0"/>
              <w:keepLines w:val="0"/>
              <w:pageBreakBefore w:val="0"/>
              <w:widowControl w:val="0"/>
              <w:kinsoku/>
              <w:wordWrap/>
              <w:overflowPunct/>
              <w:topLinePunct w:val="0"/>
              <w:autoSpaceDE/>
              <w:autoSpaceDN/>
              <w:bidi w:val="0"/>
              <w:adjustRightInd/>
              <w:snapToGrid/>
              <w:ind w:left="0" w:leftChars="0"/>
              <w:textAlignment w:val="auto"/>
              <w:rPr>
                <w:rFonts w:hint="default"/>
                <w:color w:val="auto"/>
                <w:lang w:eastAsia="zh-CN"/>
              </w:rPr>
            </w:pPr>
            <w:r>
              <w:rPr>
                <w:rFonts w:hint="default" w:ascii="Times New Roman" w:hAnsi="Times New Roman" w:cs="Times New Roman"/>
                <w:color w:val="auto"/>
                <w:highlight w:val="none"/>
                <w:lang w:eastAsia="zh-CN"/>
              </w:rPr>
              <w:t>根据新乡市生态环境局关于发布《新乡市“三线一单”生态环境准入清单》（试行）的函，本项目与《新乡市“三线一单”生态环境准入清单》（试行）对照情况如下：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与新乡市生态环境总体准入要求对照</w:t>
            </w:r>
          </w:p>
          <w:tbl>
            <w:tblPr>
              <w:tblStyle w:val="21"/>
              <w:tblW w:w="4999" w:type="pct"/>
              <w:jc w:val="center"/>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639"/>
              <w:gridCol w:w="4091"/>
              <w:gridCol w:w="2056"/>
            </w:tblGrid>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70"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right="0" w:rightChars="0"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维度</w:t>
                  </w:r>
                </w:p>
              </w:tc>
              <w:tc>
                <w:tcPr>
                  <w:tcW w:w="3014"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right="0" w:rightChars="0" w:firstLine="0" w:firstLineChars="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管控要求</w:t>
                  </w:r>
                </w:p>
              </w:tc>
              <w:tc>
                <w:tcPr>
                  <w:tcW w:w="1514"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right="0" w:rightChars="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本项目情况</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70"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空间布局约束</w:t>
                  </w:r>
                </w:p>
              </w:tc>
              <w:tc>
                <w:tcPr>
                  <w:tcW w:w="3014"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1、</w:t>
                  </w:r>
                  <w:r>
                    <w:rPr>
                      <w:rFonts w:hint="default" w:ascii="Times New Roman" w:hAnsi="Times New Roman" w:eastAsia="宋体" w:cs="Times New Roman"/>
                      <w:i w:val="0"/>
                      <w:iCs w:val="0"/>
                      <w:color w:val="auto"/>
                      <w:kern w:val="0"/>
                      <w:sz w:val="18"/>
                      <w:szCs w:val="18"/>
                      <w:highlight w:val="none"/>
                      <w:u w:val="none"/>
                      <w:lang w:val="en-US" w:eastAsia="zh-CN" w:bidi="ar"/>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在风景名胜区内禁止进行下列活动：（一）开山、采石、开矿、开荒、修坟立碑等破坏景观、植被和地形地貌的活动；（二）修建储存爆炸性、易燃性、放射性、毒害性、腐蚀性物品的设施；（三）在景物或者设施上刻划、涂污；（四）乱扔垃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饮用水地表水源各级保护区必须遵守下列规定：一、禁止一切破坏水环境生态平衡的活动以及破坏水源林、护岸林、与水源保护相关植被的活动；二、禁止向水域倾倒工业废渣、城市垃圾、粪便及其它废弃物；三、运输有毒有害物质、油类、粪便的船舶和车辆一般不准进入保护区，必须进入者应事先申请并经有关部门批准、登记并设置防渗、防溢、防漏设施；四、禁止使用剧毒和高残留农药，不得滥用化肥，不得使用炸药、毒品捕杀鱼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一级保护区内禁止新建、扩建与供水设施和保护水源无关的建设项目；禁止向水域排放污水，已设置的排污口必须拆除；不得设置与供水需要无关的码头，禁止停靠船舶；禁止堆置和存放工业废渣、城市垃圾、粪便和其他废弃物；禁止设置油库；禁止从事种植、放养禽畜，严格控制网箱养殖活动；禁止可能污染水源的旅游活动和其他活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二级保护区内不准新建、扩建向水体排放污染物的建设项目。改建项目必须削减污染物排放量；原有排污口必须削减污水排放量，保证保护区内水质满足规定的水质标准；禁止设立装卸垃圾、粪便、油类和有毒物品的码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饮用水地下水源各级保护区必须遵守下列规定：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一、禁止利用渗坑、渗井、裂隙、溶洞等排放污水和其它有害废弃物；二、禁止利用透水层孔隙、裂隙、溶洞及废弃矿坑储存石油、天然气、放射性物质、有毒有害化工原料、农药等；三、实行人工回灌地下水时不得污染当地地下水源。一级保护区内禁止建设与取水设施无关的建筑物；禁止从事农牧业活动；禁止倾倒、堆放工业废渣及城市垃圾、粪便和其它有害废弃物；禁止输送污水的渠道、管道及输油管道通过本区；禁止建设油库；禁止建立墓地。潜水含水层地下水水源地二级保护区内禁止建设化工、电镀、皮革、造纸、制浆、冶炼、放射性、印染、染料、炼焦、炼油及其它有严重污染的企业，已建成的要限期治理，转产或搬迁；禁止设置城市垃圾、粪便和易溶、有毒有害废弃物堆放场和转运站，已有的上述场站要限期搬迁；禁止利用未经净化的污水灌溉农田，已有的污灌农田要限期改用清水灌溉；化工原料、矿物油类及有毒有害矿产品的堆放场所必须有防雨、防渗措施。承压含水层地下水水源地二级保护区内禁止承压水和潜水的混合开采，作好潜水的止水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9.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严格控制新增燃煤项目建设，燃煤发电项目严格按照政府工作部署落实。</w:t>
                  </w:r>
                </w:p>
              </w:tc>
              <w:tc>
                <w:tcPr>
                  <w:tcW w:w="1514"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both"/>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i w:val="0"/>
                      <w:iCs w:val="0"/>
                      <w:color w:val="auto"/>
                      <w:kern w:val="0"/>
                      <w:sz w:val="18"/>
                      <w:szCs w:val="18"/>
                      <w:highlight w:val="none"/>
                      <w:u w:val="none"/>
                      <w:lang w:val="en-US" w:eastAsia="zh-CN" w:bidi="ar"/>
                    </w:rPr>
                    <w:t>1、根据现场勘查，项目选址不在</w:t>
                  </w:r>
                  <w:r>
                    <w:rPr>
                      <w:rFonts w:hint="default" w:ascii="Times New Roman" w:hAnsi="Times New Roman" w:eastAsia="宋体" w:cs="Times New Roman"/>
                      <w:i w:val="0"/>
                      <w:iCs w:val="0"/>
                      <w:color w:val="auto"/>
                      <w:kern w:val="0"/>
                      <w:sz w:val="18"/>
                      <w:szCs w:val="18"/>
                      <w:highlight w:val="none"/>
                      <w:u w:val="none"/>
                      <w:lang w:val="en-US" w:eastAsia="zh-CN" w:bidi="ar"/>
                    </w:rPr>
                    <w:t>自然保护区的核心区和缓冲区内</w:t>
                  </w:r>
                  <w:r>
                    <w:rPr>
                      <w:rFonts w:hint="default" w:ascii="Times New Roman" w:hAnsi="Times New Roman" w:cs="Times New Roman"/>
                      <w:i w:val="0"/>
                      <w:iCs w:val="0"/>
                      <w:color w:val="auto"/>
                      <w:kern w:val="0"/>
                      <w:sz w:val="18"/>
                      <w:szCs w:val="18"/>
                      <w:highlight w:val="none"/>
                      <w:u w:val="none"/>
                      <w:lang w:val="en-US" w:eastAsia="zh-CN" w:bidi="ar"/>
                    </w:rPr>
                    <w:t>；</w:t>
                  </w:r>
                  <w:r>
                    <w:rPr>
                      <w:rFonts w:hint="default" w:ascii="Times New Roman" w:hAnsi="Times New Roman" w:cs="Times New Roman"/>
                      <w:i w:val="0"/>
                      <w:iCs w:val="0"/>
                      <w:color w:val="auto"/>
                      <w:kern w:val="0"/>
                      <w:sz w:val="18"/>
                      <w:szCs w:val="18"/>
                      <w:highlight w:val="none"/>
                      <w:u w:val="none"/>
                      <w:lang w:val="en-US" w:eastAsia="zh-CN" w:bidi="ar"/>
                    </w:rPr>
                    <w:br w:type="textWrapping"/>
                  </w:r>
                  <w:r>
                    <w:rPr>
                      <w:rFonts w:hint="default" w:ascii="Times New Roman" w:hAnsi="Times New Roman" w:cs="Times New Roman"/>
                      <w:i w:val="0"/>
                      <w:iCs w:val="0"/>
                      <w:color w:val="auto"/>
                      <w:kern w:val="0"/>
                      <w:sz w:val="18"/>
                      <w:szCs w:val="18"/>
                      <w:highlight w:val="none"/>
                      <w:u w:val="none"/>
                      <w:lang w:val="en-US" w:eastAsia="zh-CN" w:bidi="ar"/>
                    </w:rPr>
                    <w:t>2、项目选址位于新乡市凤泉区河南省新乡市凤泉区产业集聚区28#厂房一层，根据现场勘查，周边不存在</w:t>
                  </w:r>
                  <w:r>
                    <w:rPr>
                      <w:rFonts w:hint="default" w:ascii="Times New Roman" w:hAnsi="Times New Roman" w:eastAsia="宋体" w:cs="Times New Roman"/>
                      <w:i w:val="0"/>
                      <w:iCs w:val="0"/>
                      <w:color w:val="auto"/>
                      <w:kern w:val="0"/>
                      <w:sz w:val="18"/>
                      <w:szCs w:val="18"/>
                      <w:highlight w:val="none"/>
                      <w:u w:val="none"/>
                      <w:lang w:val="en-US" w:eastAsia="zh-CN" w:bidi="ar"/>
                    </w:rPr>
                    <w:t>风景名胜区</w:t>
                  </w:r>
                  <w:r>
                    <w:rPr>
                      <w:rFonts w:hint="default" w:ascii="Times New Roman" w:hAnsi="Times New Roman" w:cs="Times New Roman"/>
                      <w:i w:val="0"/>
                      <w:iCs w:val="0"/>
                      <w:color w:val="auto"/>
                      <w:kern w:val="0"/>
                      <w:sz w:val="18"/>
                      <w:szCs w:val="18"/>
                      <w:highlight w:val="none"/>
                      <w:u w:val="none"/>
                      <w:lang w:val="en-US" w:eastAsia="zh-CN" w:bidi="ar"/>
                    </w:rPr>
                    <w:t>；</w:t>
                  </w:r>
                  <w:r>
                    <w:rPr>
                      <w:rFonts w:hint="default" w:ascii="Times New Roman" w:hAnsi="Times New Roman" w:cs="Times New Roman"/>
                      <w:i w:val="0"/>
                      <w:iCs w:val="0"/>
                      <w:color w:val="auto"/>
                      <w:kern w:val="0"/>
                      <w:sz w:val="18"/>
                      <w:szCs w:val="18"/>
                      <w:highlight w:val="none"/>
                      <w:u w:val="none"/>
                      <w:lang w:val="en-US" w:eastAsia="zh-CN" w:bidi="ar"/>
                    </w:rPr>
                    <w:br w:type="textWrapping"/>
                  </w:r>
                  <w:r>
                    <w:rPr>
                      <w:rFonts w:hint="default" w:ascii="Times New Roman" w:hAnsi="Times New Roman" w:cs="Times New Roman"/>
                      <w:i w:val="0"/>
                      <w:iCs w:val="0"/>
                      <w:color w:val="auto"/>
                      <w:kern w:val="0"/>
                      <w:sz w:val="18"/>
                      <w:szCs w:val="18"/>
                      <w:highlight w:val="none"/>
                      <w:u w:val="none"/>
                      <w:lang w:val="en-US" w:eastAsia="zh-CN" w:bidi="ar"/>
                    </w:rPr>
                    <w:t>3、</w:t>
                  </w:r>
                  <w:r>
                    <w:rPr>
                      <w:rFonts w:hint="default" w:ascii="Times New Roman" w:hAnsi="Times New Roman" w:cs="Times New Roman"/>
                      <w:color w:val="auto"/>
                      <w:sz w:val="18"/>
                      <w:szCs w:val="18"/>
                      <w:highlight w:val="none"/>
                      <w:lang w:val="en-US" w:eastAsia="zh-CN"/>
                    </w:rPr>
                    <w:t>距离本项目最近的地表水体为</w:t>
                  </w:r>
                  <w:r>
                    <w:rPr>
                      <w:rFonts w:hint="eastAsia" w:cs="Times New Roman"/>
                      <w:color w:val="auto"/>
                      <w:sz w:val="18"/>
                      <w:szCs w:val="18"/>
                      <w:highlight w:val="none"/>
                      <w:lang w:val="en-US" w:eastAsia="zh-CN"/>
                    </w:rPr>
                    <w:t>西南1640</w:t>
                  </w:r>
                  <w:r>
                    <w:rPr>
                      <w:rFonts w:hint="default" w:ascii="Times New Roman" w:hAnsi="Times New Roman" w:cs="Times New Roman"/>
                      <w:color w:val="auto"/>
                      <w:sz w:val="18"/>
                      <w:szCs w:val="18"/>
                      <w:highlight w:val="none"/>
                      <w:lang w:val="en-US" w:eastAsia="zh-CN"/>
                    </w:rPr>
                    <w:t>m处的</w:t>
                  </w:r>
                  <w:r>
                    <w:rPr>
                      <w:rFonts w:hint="eastAsia" w:cs="Times New Roman"/>
                      <w:color w:val="auto"/>
                      <w:sz w:val="18"/>
                      <w:szCs w:val="18"/>
                      <w:highlight w:val="none"/>
                      <w:lang w:val="en-US" w:eastAsia="zh-CN"/>
                    </w:rPr>
                    <w:t>民生渠</w:t>
                  </w:r>
                  <w:r>
                    <w:rPr>
                      <w:rFonts w:hint="default" w:ascii="Times New Roman" w:hAnsi="Times New Roman" w:cs="Times New Roman"/>
                      <w:color w:val="auto"/>
                      <w:sz w:val="18"/>
                      <w:szCs w:val="18"/>
                      <w:highlight w:val="none"/>
                      <w:lang w:val="en-US" w:eastAsia="zh-CN"/>
                    </w:rPr>
                    <w:t>，该河流最终汇入共产主义渠内；距离项目最近饮用水源保护区为</w:t>
                  </w:r>
                  <w:r>
                    <w:rPr>
                      <w:rFonts w:hint="eastAsia" w:cs="Times New Roman"/>
                      <w:color w:val="auto"/>
                      <w:sz w:val="18"/>
                      <w:szCs w:val="18"/>
                      <w:highlight w:val="none"/>
                      <w:lang w:val="en-US" w:eastAsia="zh-CN"/>
                    </w:rPr>
                    <w:t>东侧</w:t>
                  </w:r>
                  <w:r>
                    <w:rPr>
                      <w:rFonts w:hint="default" w:ascii="Times New Roman" w:hAnsi="Times New Roman" w:cs="Times New Roman"/>
                      <w:color w:val="auto"/>
                      <w:sz w:val="18"/>
                      <w:szCs w:val="18"/>
                      <w:highlight w:val="none"/>
                      <w:lang w:val="en-US" w:eastAsia="zh-CN"/>
                    </w:rPr>
                    <w:t>的凤泉区水厂地下水饮用水源保护区，本项目距离该饮用水源二级保护区边界约</w:t>
                  </w:r>
                  <w:r>
                    <w:rPr>
                      <w:rFonts w:hint="eastAsia" w:cs="Times New Roman"/>
                      <w:color w:val="auto"/>
                      <w:sz w:val="18"/>
                      <w:szCs w:val="18"/>
                      <w:highlight w:val="none"/>
                      <w:lang w:val="en-US" w:eastAsia="zh-CN"/>
                    </w:rPr>
                    <w:t>5.3</w:t>
                  </w:r>
                  <w:r>
                    <w:rPr>
                      <w:rFonts w:hint="default" w:ascii="Times New Roman" w:hAnsi="Times New Roman" w:cs="Times New Roman"/>
                      <w:color w:val="auto"/>
                      <w:sz w:val="18"/>
                      <w:szCs w:val="18"/>
                      <w:highlight w:val="none"/>
                      <w:lang w:val="en-US" w:eastAsia="zh-CN"/>
                    </w:rPr>
                    <w:t>km，不在其保护区范围内；</w:t>
                  </w:r>
                  <w:r>
                    <w:rPr>
                      <w:rFonts w:hint="default" w:ascii="Times New Roman" w:hAnsi="Times New Roman" w:cs="Times New Roman"/>
                      <w:i w:val="0"/>
                      <w:iCs w:val="0"/>
                      <w:color w:val="auto"/>
                      <w:kern w:val="0"/>
                      <w:sz w:val="18"/>
                      <w:szCs w:val="18"/>
                      <w:highlight w:val="none"/>
                      <w:u w:val="none"/>
                      <w:lang w:val="en-US" w:eastAsia="zh-CN" w:bidi="ar"/>
                    </w:rPr>
                    <w:t>本项目生产过程无生产废水产生，废水主要为</w:t>
                  </w:r>
                  <w:r>
                    <w:rPr>
                      <w:rFonts w:hint="default" w:ascii="Times New Roman" w:hAnsi="Times New Roman" w:cs="Times New Roman"/>
                      <w:color w:val="auto"/>
                      <w:sz w:val="18"/>
                      <w:szCs w:val="18"/>
                      <w:highlight w:val="none"/>
                      <w:lang w:val="en-US" w:eastAsia="zh-CN"/>
                    </w:rPr>
                    <w:t>生活污水，</w:t>
                  </w:r>
                  <w:r>
                    <w:rPr>
                      <w:rFonts w:hint="eastAsia" w:ascii="Times New Roman" w:hAnsi="Times New Roman" w:cs="Times New Roman"/>
                      <w:color w:val="auto"/>
                      <w:sz w:val="18"/>
                      <w:szCs w:val="18"/>
                      <w:highlight w:val="none"/>
                      <w:lang w:val="en-US" w:eastAsia="zh-CN"/>
                    </w:rPr>
                    <w:t>目前经自建一体化污水处理设施处理后，通过污水管网排入新乡市小尚庄污水处理厂进行进一步处理。待后期区域规划新乡市凤泉区污水处理厂建成后排入新乡市凤泉区污水处理厂处理</w:t>
                  </w:r>
                  <w:r>
                    <w:rPr>
                      <w:rFonts w:hint="default" w:ascii="Times New Roman" w:hAnsi="Times New Roman" w:cs="Times New Roman"/>
                      <w:color w:val="auto"/>
                      <w:sz w:val="18"/>
                      <w:szCs w:val="18"/>
                      <w:highlight w:val="none"/>
                      <w:lang w:val="en-US" w:eastAsia="zh-CN"/>
                    </w:rPr>
                    <w:t>，不会对周围地表水体造成较大影响；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both"/>
                    <w:textAlignment w:val="center"/>
                    <w:rPr>
                      <w:rFonts w:hint="default" w:ascii="Times New Roman" w:hAnsi="Times New Roman" w:eastAsia="宋体" w:cs="Times New Roman"/>
                      <w:i w:val="0"/>
                      <w:iCs w:val="0"/>
                      <w:color w:val="auto"/>
                      <w:kern w:val="0"/>
                      <w:sz w:val="18"/>
                      <w:szCs w:val="18"/>
                      <w:highlight w:val="green"/>
                      <w:u w:val="none"/>
                      <w:lang w:val="en-US" w:eastAsia="zh-CN" w:bidi="ar"/>
                    </w:rPr>
                  </w:pPr>
                  <w:r>
                    <w:rPr>
                      <w:rFonts w:hint="default" w:ascii="Times New Roman" w:hAnsi="Times New Roman" w:cs="Times New Roman"/>
                      <w:color w:val="auto"/>
                      <w:sz w:val="18"/>
                      <w:szCs w:val="18"/>
                      <w:highlight w:val="none"/>
                      <w:lang w:val="en-US" w:eastAsia="zh-CN"/>
                    </w:rPr>
                    <w:t>9、项目属于</w:t>
                  </w:r>
                  <w:r>
                    <w:rPr>
                      <w:rFonts w:hint="eastAsia" w:cs="Times New Roman"/>
                      <w:color w:val="auto"/>
                      <w:sz w:val="18"/>
                      <w:szCs w:val="18"/>
                      <w:highlight w:val="none"/>
                      <w:lang w:val="en-US" w:eastAsia="zh-CN"/>
                    </w:rPr>
                    <w:t>锂电子电池制造</w:t>
                  </w:r>
                  <w:r>
                    <w:rPr>
                      <w:rFonts w:hint="default" w:ascii="Times New Roman" w:hAnsi="Times New Roman" w:cs="Times New Roman"/>
                      <w:color w:val="auto"/>
                      <w:sz w:val="18"/>
                      <w:szCs w:val="18"/>
                      <w:highlight w:val="none"/>
                      <w:lang w:val="en-US" w:eastAsia="zh-CN"/>
                    </w:rPr>
                    <w:t>，选址位于</w:t>
                  </w:r>
                  <w:r>
                    <w:rPr>
                      <w:rFonts w:hint="default" w:ascii="Times New Roman" w:hAnsi="Times New Roman" w:cs="Times New Roman"/>
                      <w:i w:val="0"/>
                      <w:iCs w:val="0"/>
                      <w:color w:val="auto"/>
                      <w:kern w:val="0"/>
                      <w:sz w:val="18"/>
                      <w:szCs w:val="18"/>
                      <w:highlight w:val="none"/>
                      <w:u w:val="none"/>
                      <w:lang w:val="en-US" w:eastAsia="zh-CN" w:bidi="ar"/>
                    </w:rPr>
                    <w:t>新乡市凤泉区河南省新乡市凤泉区产业集聚区28#厂房一层</w:t>
                  </w:r>
                  <w:r>
                    <w:rPr>
                      <w:rFonts w:hint="default" w:ascii="Times New Roman" w:hAnsi="Times New Roman" w:cs="Times New Roman"/>
                      <w:color w:val="auto"/>
                      <w:sz w:val="18"/>
                      <w:szCs w:val="18"/>
                      <w:highlight w:val="none"/>
                      <w:lang w:val="en-US" w:eastAsia="zh-CN"/>
                    </w:rPr>
                    <w:t>，不属于钢铁冶炼、水泥、有色金属冶炼、平板玻璃、化工、建筑陶瓷、耐火材料、砖瓦、矿山开采等行业的高排放、高污染项目。</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70"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污染物排放管控</w:t>
                  </w:r>
                </w:p>
              </w:tc>
              <w:tc>
                <w:tcPr>
                  <w:tcW w:w="3014"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1.新、改、扩建项目主要污染物排放要求满足当地总量减排要求。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卫河、共产主义渠、文岩渠保持Ⅴ类指标，黄庄河、西柳青河达到Ⅳ类指标，天然渠、人民胜利渠达到Ⅲ类指标；城市集中式饮用水水源地取水水质达标率达到100%；地下水质量考核点位水质级别保持稳定；确保完成国家水质考核目标。全市建成区全面消除黑臭水体，县（市）建成区基本完成黑臭水体整治任务。重点治理市域内卫河、共产主义渠、东孟姜女河等海河流域河流，以及西柳青河、天然渠、文岩渠等黄河流域河流，全面开展清河行动、实施河道清淤、规范入河排污口管理，统筹推进水污染综合整治及水生态保护修复，提升河流自净能力，建立生态调水长效机制，保障河流水质稳定达标。禁止以任何方式直接向水功能区要求为Ⅱ类的水体和地表水型集中式生活饮用水水源保护区内的水体排放污水；污水排入黄河干流、黄河一级支流和涉及Ⅲ类水功能区要求的其它水体时，执行一级标准；污水排入除上述水体以外的其它河流、湖泊、水库、运河、渠道、湿地、坑塘、蓄滞洪区等地表水体时，执行二级标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新建项目审批实施“增产不増污”或“增产减污”。全省新建、改建、扩建重点行业重金属污染物排放项目，通过“以新带老”治理、淘汰落后产能、区域替代曾“等量置换”或“减量置换”措施，实现所在区域重点重金属污染排放总量零增长或进一步削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新建“两高”项目应按照《关于加强重点行业建设项目区域削减措施监督管理的通知》（环办环评〔2020〕36号）要求，依据区域环境质量改善目标，制定配套区域污染物削减方案，采取有效的污染物区域削减措施，腾出足够的环境容量。国家大气污染防治重点区域内新建耗煤项目还应严格按规定采取煤炭消费减量替代措施，不得使用高污染燃料作为煤炭减量替代措施。</w:t>
                  </w:r>
                </w:p>
              </w:tc>
              <w:tc>
                <w:tcPr>
                  <w:tcW w:w="1514"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both"/>
                    <w:textAlignment w:val="center"/>
                    <w:rPr>
                      <w:rFonts w:hint="default" w:ascii="Times New Roman" w:hAnsi="Times New Roman"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1、项目属于</w:t>
                  </w:r>
                  <w:r>
                    <w:rPr>
                      <w:rFonts w:hint="eastAsia" w:cs="Times New Roman"/>
                      <w:i w:val="0"/>
                      <w:iCs w:val="0"/>
                      <w:color w:val="auto"/>
                      <w:kern w:val="0"/>
                      <w:sz w:val="18"/>
                      <w:szCs w:val="18"/>
                      <w:highlight w:val="none"/>
                      <w:u w:val="none"/>
                      <w:lang w:val="en-US" w:eastAsia="zh-CN" w:bidi="ar"/>
                    </w:rPr>
                    <w:t>新建</w:t>
                  </w:r>
                  <w:r>
                    <w:rPr>
                      <w:rFonts w:hint="eastAsia" w:cs="Times New Roman"/>
                      <w:color w:val="auto"/>
                      <w:sz w:val="18"/>
                      <w:szCs w:val="18"/>
                      <w:highlight w:val="none"/>
                      <w:lang w:val="en-US" w:eastAsia="zh-CN"/>
                    </w:rPr>
                    <w:t>锂电子电池制造项目</w:t>
                  </w:r>
                  <w:r>
                    <w:rPr>
                      <w:rFonts w:hint="default" w:ascii="Times New Roman" w:hAnsi="Times New Roman" w:cs="Times New Roman"/>
                      <w:i w:val="0"/>
                      <w:iCs w:val="0"/>
                      <w:color w:val="auto"/>
                      <w:kern w:val="0"/>
                      <w:sz w:val="18"/>
                      <w:szCs w:val="18"/>
                      <w:highlight w:val="none"/>
                      <w:u w:val="none"/>
                      <w:lang w:val="en-US" w:eastAsia="zh-CN" w:bidi="ar"/>
                    </w:rPr>
                    <w:t>，排放的污染物将按照《新乡市建设项目新增总量指标替代管理指导意见（试行）》的要求进行倍量消减替代。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both"/>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i w:val="0"/>
                      <w:iCs w:val="0"/>
                      <w:color w:val="auto"/>
                      <w:kern w:val="0"/>
                      <w:sz w:val="18"/>
                      <w:szCs w:val="18"/>
                      <w:highlight w:val="none"/>
                      <w:u w:val="none"/>
                      <w:lang w:val="en-US" w:eastAsia="zh-CN" w:bidi="ar"/>
                    </w:rPr>
                    <w:t>2、本项目生产过程无生产废水产生，废水主要为生活污水，</w:t>
                  </w:r>
                  <w:r>
                    <w:rPr>
                      <w:rFonts w:hint="eastAsia" w:ascii="Times New Roman" w:hAnsi="Times New Roman" w:cs="Times New Roman"/>
                      <w:color w:val="auto"/>
                      <w:sz w:val="18"/>
                      <w:szCs w:val="18"/>
                      <w:highlight w:val="none"/>
                      <w:lang w:val="en-US" w:eastAsia="zh-CN"/>
                    </w:rPr>
                    <w:t>目前经自建一体化污水处理设施处理后，通过污水管网排入新乡市小尚庄污水处理厂进行进一步处理。待后期区域规划新乡市凤泉区污水处理厂建成后排入新乡市凤泉区污水处理厂处理</w:t>
                  </w:r>
                  <w:r>
                    <w:rPr>
                      <w:rFonts w:hint="default" w:ascii="Times New Roman" w:hAnsi="Times New Roman" w:cs="Times New Roman"/>
                      <w:color w:val="auto"/>
                      <w:sz w:val="18"/>
                      <w:szCs w:val="18"/>
                      <w:highlight w:val="none"/>
                      <w:lang w:val="en-US" w:eastAsia="zh-CN"/>
                    </w:rPr>
                    <w:t>，不会对周围地表水体造成较大影响；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both"/>
                    <w:textAlignment w:val="center"/>
                    <w:rPr>
                      <w:rFonts w:hint="default" w:ascii="Times New Roman" w:hAnsi="Times New Roman" w:eastAsia="宋体" w:cs="Times New Roman"/>
                      <w:i w:val="0"/>
                      <w:iCs w:val="0"/>
                      <w:color w:val="auto"/>
                      <w:kern w:val="0"/>
                      <w:sz w:val="18"/>
                      <w:szCs w:val="18"/>
                      <w:highlight w:val="green"/>
                      <w:u w:val="none"/>
                      <w:lang w:val="en-US" w:eastAsia="zh-CN" w:bidi="ar"/>
                    </w:rPr>
                  </w:pPr>
                  <w:r>
                    <w:rPr>
                      <w:rFonts w:hint="default" w:ascii="Times New Roman" w:hAnsi="Times New Roman" w:cs="Times New Roman"/>
                      <w:color w:val="auto"/>
                      <w:sz w:val="18"/>
                      <w:szCs w:val="18"/>
                      <w:highlight w:val="none"/>
                      <w:lang w:val="en-US" w:eastAsia="zh-CN"/>
                    </w:rPr>
                    <w:t>4、项目新增</w:t>
                  </w:r>
                  <w:r>
                    <w:rPr>
                      <w:rFonts w:hint="default" w:ascii="Times New Roman" w:hAnsi="Times New Roman" w:cs="Times New Roman"/>
                      <w:i w:val="0"/>
                      <w:iCs w:val="0"/>
                      <w:color w:val="auto"/>
                      <w:kern w:val="0"/>
                      <w:sz w:val="18"/>
                      <w:szCs w:val="18"/>
                      <w:highlight w:val="none"/>
                      <w:u w:val="none"/>
                      <w:lang w:val="en-US" w:eastAsia="zh-CN" w:bidi="ar"/>
                    </w:rPr>
                    <w:t>污染物将按照《新乡市建设项目新增总量指标替代管理指导意见（试行）》的要求进行倍量消减替代。</w:t>
                  </w:r>
                  <w:r>
                    <w:rPr>
                      <w:rFonts w:hint="default" w:ascii="Times New Roman" w:hAnsi="Times New Roman" w:cs="Times New Roman"/>
                      <w:i w:val="0"/>
                      <w:iCs w:val="0"/>
                      <w:color w:val="auto"/>
                      <w:kern w:val="0"/>
                      <w:sz w:val="18"/>
                      <w:szCs w:val="18"/>
                      <w:highlight w:val="none"/>
                      <w:u w:val="none"/>
                      <w:lang w:val="en-US" w:eastAsia="zh-CN" w:bidi="ar"/>
                    </w:rPr>
                    <w:br w:type="textWrapping"/>
                  </w:r>
                  <w:r>
                    <w:rPr>
                      <w:rFonts w:hint="default" w:ascii="Times New Roman" w:hAnsi="Times New Roman" w:cs="Times New Roman"/>
                      <w:i w:val="0"/>
                      <w:iCs w:val="0"/>
                      <w:color w:val="auto"/>
                      <w:kern w:val="0"/>
                      <w:sz w:val="18"/>
                      <w:szCs w:val="18"/>
                      <w:highlight w:val="none"/>
                      <w:u w:val="none"/>
                      <w:lang w:val="en-US" w:eastAsia="zh-CN" w:bidi="ar"/>
                    </w:rPr>
                    <w:t>6、</w:t>
                  </w:r>
                  <w:r>
                    <w:rPr>
                      <w:rFonts w:hint="default" w:ascii="Times New Roman" w:hAnsi="Times New Roman" w:eastAsia="宋体" w:cs="Times New Roman"/>
                      <w:color w:val="auto"/>
                      <w:sz w:val="18"/>
                      <w:szCs w:val="18"/>
                      <w:highlight w:val="none"/>
                      <w:lang w:val="en-US" w:eastAsia="zh-CN"/>
                    </w:rPr>
                    <w:t>经对照河南省《关于建立“两高”项目会商联审机制的通知》，本项目不属于“两高”类项目。</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70"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资源开发效率要求</w:t>
                  </w:r>
                </w:p>
              </w:tc>
              <w:tc>
                <w:tcPr>
                  <w:tcW w:w="3014"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1.“十四五”期间按照政府目标控制能耗增量指标。鼓励使用清洁燃料，重点区域建设项目原则上不新建燃煤自备锅炉。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2</w:t>
                  </w:r>
                  <w:r>
                    <w:rPr>
                      <w:rFonts w:hint="default" w:ascii="Times New Roman" w:hAnsi="Times New Roman" w:eastAsia="宋体" w:cs="Times New Roman"/>
                      <w:i w:val="0"/>
                      <w:iCs w:val="0"/>
                      <w:color w:val="auto"/>
                      <w:kern w:val="0"/>
                      <w:sz w:val="18"/>
                      <w:szCs w:val="18"/>
                      <w:highlight w:val="none"/>
                      <w:u w:val="none"/>
                      <w:lang w:val="en-US" w:eastAsia="zh-CN" w:bidi="ar"/>
                    </w:rPr>
                    <w:t>.开展高耗水工业行业节水技术改造，大力推广工业水循环利用，推进节水型企业、节水型工业园区建设。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按照合理有序使用地表水、控制使用地下水、积极利用非常规水源的要求，做好区域水资源统筹调配，逐步降低区域内的水资源开发利用强度，退减被挤占的生态用水，2030年全市浅层地下水开采控制在57390万立方米。</w:t>
                  </w:r>
                </w:p>
              </w:tc>
              <w:tc>
                <w:tcPr>
                  <w:tcW w:w="1514"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1、项目</w:t>
                  </w:r>
                  <w:r>
                    <w:rPr>
                      <w:rFonts w:hint="eastAsia" w:cs="Times New Roman"/>
                      <w:i w:val="0"/>
                      <w:iCs w:val="0"/>
                      <w:color w:val="auto"/>
                      <w:kern w:val="0"/>
                      <w:sz w:val="18"/>
                      <w:szCs w:val="18"/>
                      <w:highlight w:val="none"/>
                      <w:u w:val="none"/>
                      <w:lang w:val="en-US" w:eastAsia="zh-CN" w:bidi="ar"/>
                    </w:rPr>
                    <w:t>生产过程不需使用自备锅炉，项目生产过程所用能源均为电能</w:t>
                  </w:r>
                  <w:r>
                    <w:rPr>
                      <w:rFonts w:hint="default" w:ascii="Times New Roman" w:hAnsi="Times New Roman" w:cs="Times New Roman"/>
                      <w:i w:val="0"/>
                      <w:iCs w:val="0"/>
                      <w:color w:val="auto"/>
                      <w:kern w:val="0"/>
                      <w:sz w:val="18"/>
                      <w:szCs w:val="18"/>
                      <w:highlight w:val="none"/>
                      <w:u w:val="none"/>
                      <w:lang w:val="en-US" w:eastAsia="zh-CN" w:bidi="ar"/>
                    </w:rPr>
                    <w:t>，属于清洁能源。</w:t>
                  </w:r>
                  <w:r>
                    <w:rPr>
                      <w:rFonts w:hint="default" w:ascii="Times New Roman" w:hAnsi="Times New Roman" w:cs="Times New Roman"/>
                      <w:i w:val="0"/>
                      <w:iCs w:val="0"/>
                      <w:color w:val="auto"/>
                      <w:kern w:val="0"/>
                      <w:sz w:val="18"/>
                      <w:szCs w:val="18"/>
                      <w:highlight w:val="none"/>
                      <w:u w:val="none"/>
                      <w:lang w:val="en-US" w:eastAsia="zh-CN" w:bidi="ar"/>
                    </w:rPr>
                    <w:br w:type="textWrapping"/>
                  </w:r>
                  <w:r>
                    <w:rPr>
                      <w:rFonts w:hint="default" w:ascii="Times New Roman" w:hAnsi="Times New Roman" w:cs="Times New Roman"/>
                      <w:i w:val="0"/>
                      <w:iCs w:val="0"/>
                      <w:color w:val="auto"/>
                      <w:kern w:val="0"/>
                      <w:sz w:val="18"/>
                      <w:szCs w:val="18"/>
                      <w:highlight w:val="none"/>
                      <w:u w:val="none"/>
                      <w:lang w:val="en-US" w:eastAsia="zh-CN" w:bidi="ar"/>
                    </w:rPr>
                    <w:t>2、项目属于</w:t>
                  </w:r>
                  <w:r>
                    <w:rPr>
                      <w:rFonts w:hint="eastAsia" w:cs="Times New Roman"/>
                      <w:i w:val="0"/>
                      <w:iCs w:val="0"/>
                      <w:color w:val="auto"/>
                      <w:kern w:val="0"/>
                      <w:sz w:val="18"/>
                      <w:szCs w:val="18"/>
                      <w:highlight w:val="none"/>
                      <w:u w:val="none"/>
                      <w:lang w:val="en-US" w:eastAsia="zh-CN" w:bidi="ar"/>
                    </w:rPr>
                    <w:t>锂电子电池制造</w:t>
                  </w:r>
                  <w:r>
                    <w:rPr>
                      <w:rFonts w:hint="default" w:ascii="Times New Roman" w:hAnsi="Times New Roman" w:cs="Times New Roman"/>
                      <w:i w:val="0"/>
                      <w:iCs w:val="0"/>
                      <w:color w:val="auto"/>
                      <w:kern w:val="0"/>
                      <w:sz w:val="18"/>
                      <w:szCs w:val="18"/>
                      <w:highlight w:val="none"/>
                      <w:u w:val="none"/>
                      <w:lang w:val="en-US" w:eastAsia="zh-CN" w:bidi="ar"/>
                    </w:rPr>
                    <w:t>，本项目无生产用水，用水主要为生活用水，经核算项目建成后合计用水量为1.2m</w:t>
                  </w:r>
                  <w:r>
                    <w:rPr>
                      <w:rFonts w:hint="default" w:ascii="Times New Roman" w:hAnsi="Times New Roman" w:cs="Times New Roman"/>
                      <w:i w:val="0"/>
                      <w:iCs w:val="0"/>
                      <w:color w:val="auto"/>
                      <w:kern w:val="0"/>
                      <w:sz w:val="18"/>
                      <w:szCs w:val="18"/>
                      <w:highlight w:val="none"/>
                      <w:u w:val="none"/>
                      <w:vertAlign w:val="superscript"/>
                      <w:lang w:val="en-US" w:eastAsia="zh-CN" w:bidi="ar"/>
                    </w:rPr>
                    <w:t>3</w:t>
                  </w:r>
                  <w:r>
                    <w:rPr>
                      <w:rFonts w:hint="default" w:ascii="Times New Roman" w:hAnsi="Times New Roman" w:cs="Times New Roman"/>
                      <w:i w:val="0"/>
                      <w:iCs w:val="0"/>
                      <w:color w:val="auto"/>
                      <w:kern w:val="0"/>
                      <w:sz w:val="18"/>
                      <w:szCs w:val="18"/>
                      <w:highlight w:val="none"/>
                      <w:u w:val="none"/>
                      <w:lang w:val="en-US" w:eastAsia="zh-CN" w:bidi="ar"/>
                    </w:rPr>
                    <w:t>/d（360m</w:t>
                  </w:r>
                  <w:r>
                    <w:rPr>
                      <w:rFonts w:hint="default" w:ascii="Times New Roman" w:hAnsi="Times New Roman" w:cs="Times New Roman"/>
                      <w:i w:val="0"/>
                      <w:iCs w:val="0"/>
                      <w:color w:val="auto"/>
                      <w:kern w:val="0"/>
                      <w:sz w:val="18"/>
                      <w:szCs w:val="18"/>
                      <w:highlight w:val="none"/>
                      <w:u w:val="none"/>
                      <w:vertAlign w:val="superscript"/>
                      <w:lang w:val="en-US" w:eastAsia="zh-CN" w:bidi="ar"/>
                    </w:rPr>
                    <w:t>3</w:t>
                  </w:r>
                  <w:r>
                    <w:rPr>
                      <w:rFonts w:hint="default" w:ascii="Times New Roman" w:hAnsi="Times New Roman" w:cs="Times New Roman"/>
                      <w:i w:val="0"/>
                      <w:iCs w:val="0"/>
                      <w:color w:val="auto"/>
                      <w:kern w:val="0"/>
                      <w:sz w:val="18"/>
                      <w:szCs w:val="18"/>
                      <w:highlight w:val="none"/>
                      <w:u w:val="none"/>
                      <w:lang w:val="en-US" w:eastAsia="zh-CN" w:bidi="ar"/>
                    </w:rPr>
                    <w:t>/a），不属于高耗水项目。</w:t>
                  </w:r>
                  <w:r>
                    <w:rPr>
                      <w:rFonts w:hint="default" w:ascii="Times New Roman" w:hAnsi="Times New Roman" w:cs="Times New Roman"/>
                      <w:i w:val="0"/>
                      <w:iCs w:val="0"/>
                      <w:color w:val="auto"/>
                      <w:kern w:val="0"/>
                      <w:sz w:val="18"/>
                      <w:szCs w:val="18"/>
                      <w:highlight w:val="none"/>
                      <w:u w:val="none"/>
                      <w:lang w:val="en-US" w:eastAsia="zh-CN" w:bidi="ar"/>
                    </w:rPr>
                    <w:br w:type="textWrapping"/>
                  </w:r>
                  <w:r>
                    <w:rPr>
                      <w:rFonts w:hint="default" w:ascii="Times New Roman" w:hAnsi="Times New Roman" w:cs="Times New Roman"/>
                      <w:i w:val="0"/>
                      <w:iCs w:val="0"/>
                      <w:color w:val="auto"/>
                      <w:kern w:val="0"/>
                      <w:sz w:val="18"/>
                      <w:szCs w:val="18"/>
                      <w:highlight w:val="none"/>
                      <w:u w:val="none"/>
                      <w:lang w:val="en-US" w:eastAsia="zh-CN" w:bidi="ar"/>
                    </w:rPr>
                    <w:t>4、项目用水均通过市政供水管线提供。</w:t>
                  </w:r>
                </w:p>
              </w:tc>
            </w:tr>
          </w:tbl>
          <w:p>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default" w:cs="Times New Roman"/>
                <w:color w:val="auto"/>
                <w:kern w:val="0"/>
                <w:szCs w:val="21"/>
                <w:highlight w:val="none"/>
                <w:lang w:eastAsia="zh-CN"/>
              </w:rPr>
            </w:pPr>
          </w:p>
        </w:tc>
      </w:tr>
    </w:tbl>
    <w:p>
      <w:pPr>
        <w:spacing w:line="360" w:lineRule="auto"/>
        <w:outlineLvl w:val="0"/>
        <w:rPr>
          <w:rFonts w:hint="default" w:ascii="Times New Roman" w:hAnsi="Times New Roman" w:eastAsia="黑体" w:cs="Times New Roman"/>
          <w:color w:val="auto"/>
          <w:sz w:val="30"/>
          <w:highlight w:val="green"/>
        </w:rPr>
        <w:sectPr>
          <w:footerReference r:id="rId7" w:type="default"/>
          <w:pgSz w:w="11906" w:h="16838"/>
          <w:pgMar w:top="1803" w:right="1440" w:bottom="1803" w:left="1440" w:header="851" w:footer="1077" w:gutter="0"/>
          <w:pgBorders>
            <w:top w:val="none" w:sz="0" w:space="0"/>
            <w:left w:val="none" w:sz="0" w:space="0"/>
            <w:bottom w:val="none" w:sz="0" w:space="0"/>
            <w:right w:val="none" w:sz="0" w:space="0"/>
          </w:pgBorders>
          <w:pgNumType w:fmt="decimal" w:start="1"/>
          <w:cols w:space="0" w:num="1"/>
          <w:rtlGutter w:val="0"/>
          <w:docGrid w:linePitch="312" w:charSpace="0"/>
        </w:sectPr>
      </w:pP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8" w:hRule="atLeast"/>
        </w:trPr>
        <w:tc>
          <w:tcPr>
            <w:tcW w:w="5000" w:type="pct"/>
          </w:tcPr>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项目与</w:t>
            </w:r>
            <w:r>
              <w:rPr>
                <w:rFonts w:hint="eastAsia" w:cs="Times New Roman"/>
                <w:b/>
                <w:bCs/>
                <w:color w:val="auto"/>
                <w:sz w:val="18"/>
                <w:szCs w:val="18"/>
                <w:highlight w:val="none"/>
                <w:lang w:val="en-US" w:eastAsia="zh-CN"/>
              </w:rPr>
              <w:t>新乡市</w:t>
            </w:r>
            <w:r>
              <w:rPr>
                <w:rFonts w:hint="default" w:ascii="Times New Roman" w:hAnsi="Times New Roman" w:cs="Times New Roman"/>
                <w:b/>
                <w:bCs/>
                <w:color w:val="auto"/>
                <w:sz w:val="18"/>
                <w:szCs w:val="18"/>
                <w:highlight w:val="none"/>
                <w:lang w:val="en-US" w:eastAsia="zh-CN"/>
              </w:rPr>
              <w:t>生态环境准入清单对照情况</w:t>
            </w:r>
          </w:p>
          <w:tbl>
            <w:tblPr>
              <w:tblStyle w:val="21"/>
              <w:tblW w:w="499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728"/>
              <w:gridCol w:w="924"/>
              <w:gridCol w:w="583"/>
              <w:gridCol w:w="586"/>
              <w:gridCol w:w="999"/>
              <w:gridCol w:w="4506"/>
              <w:gridCol w:w="416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环境管控单元编码</w:t>
                  </w:r>
                </w:p>
              </w:tc>
              <w:tc>
                <w:tcPr>
                  <w:tcW w:w="261"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管控单元分类</w:t>
                  </w:r>
                </w:p>
              </w:tc>
              <w:tc>
                <w:tcPr>
                  <w:tcW w:w="331"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环境管控单元名称</w:t>
                  </w:r>
                </w:p>
              </w:tc>
              <w:tc>
                <w:tcPr>
                  <w:tcW w:w="419"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行政区划</w:t>
                  </w:r>
                </w:p>
              </w:tc>
              <w:tc>
                <w:tcPr>
                  <w:tcW w:w="1973" w:type="pct"/>
                  <w:gridSpan w:val="2"/>
                  <w:vMerge w:val="restar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ind w:firstLine="0" w:firstLineChars="0"/>
                    <w:jc w:val="center"/>
                    <w:textAlignment w:val="center"/>
                    <w:rPr>
                      <w:rStyle w:val="71"/>
                      <w:rFonts w:hint="default" w:ascii="Times New Roman" w:hAnsi="Times New Roman" w:eastAsia="宋体" w:cs="Times New Roman"/>
                      <w:b w:val="0"/>
                      <w:bCs w:val="0"/>
                      <w:color w:val="auto"/>
                      <w:sz w:val="18"/>
                      <w:szCs w:val="18"/>
                      <w:highlight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管控要求</w:t>
                  </w:r>
                </w:p>
              </w:tc>
              <w:tc>
                <w:tcPr>
                  <w:tcW w:w="1494" w:type="pct"/>
                  <w:vMerge w:val="restar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ind w:firstLine="0" w:firstLineChars="0"/>
                    <w:jc w:val="center"/>
                    <w:textAlignment w:val="center"/>
                    <w:rPr>
                      <w:rStyle w:val="71"/>
                      <w:rFonts w:hint="default" w:ascii="Times New Roman" w:hAnsi="Times New Roman" w:eastAsia="宋体" w:cs="Times New Roman"/>
                      <w:b w:val="0"/>
                      <w:bCs w:val="0"/>
                      <w:color w:val="auto"/>
                      <w:sz w:val="18"/>
                      <w:szCs w:val="18"/>
                      <w:highlight w:val="none"/>
                      <w:lang w:val="en-US" w:eastAsia="zh-CN" w:bidi="ar"/>
                    </w:rPr>
                  </w:pPr>
                  <w:r>
                    <w:rPr>
                      <w:rFonts w:hint="default" w:ascii="Times New Roman" w:hAnsi="Times New Roman" w:eastAsia="宋体" w:cs="Times New Roman"/>
                      <w:b w:val="0"/>
                      <w:bCs w:val="0"/>
                      <w:color w:val="auto"/>
                      <w:sz w:val="18"/>
                      <w:szCs w:val="18"/>
                      <w:highlight w:val="none"/>
                      <w:lang w:eastAsia="zh-CN"/>
                    </w:rPr>
                    <w:t>本项目情况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green"/>
                      <w:u w:val="none"/>
                      <w:lang w:val="en-US" w:eastAsia="zh-CN" w:bidi="ar"/>
                    </w:rPr>
                  </w:pPr>
                </w:p>
              </w:tc>
              <w:tc>
                <w:tcPr>
                  <w:tcW w:w="26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green"/>
                      <w:u w:val="none"/>
                      <w:lang w:val="en-US" w:eastAsia="zh-CN" w:bidi="ar"/>
                    </w:rPr>
                  </w:pPr>
                </w:p>
              </w:tc>
              <w:tc>
                <w:tcPr>
                  <w:tcW w:w="33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green"/>
                      <w:u w:val="none"/>
                      <w:lang w:val="en-US" w:eastAsia="zh-CN" w:bidi="ar"/>
                    </w:rPr>
                  </w:pPr>
                </w:p>
              </w:tc>
              <w:tc>
                <w:tcPr>
                  <w:tcW w:w="20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区县</w:t>
                  </w:r>
                </w:p>
              </w:tc>
              <w:tc>
                <w:tcPr>
                  <w:tcW w:w="2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乡镇</w:t>
                  </w:r>
                </w:p>
              </w:tc>
              <w:tc>
                <w:tcPr>
                  <w:tcW w:w="1973" w:type="pct"/>
                  <w:gridSpan w:val="2"/>
                  <w:vMerge w:val="continue"/>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green"/>
                      <w:u w:val="none"/>
                      <w:lang w:val="en-US" w:eastAsia="zh-CN" w:bidi="ar"/>
                    </w:rPr>
                  </w:pPr>
                </w:p>
              </w:tc>
              <w:tc>
                <w:tcPr>
                  <w:tcW w:w="1494" w:type="pct"/>
                  <w:vMerge w:val="continue"/>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ind w:firstLine="0" w:firstLineChars="0"/>
                    <w:jc w:val="center"/>
                    <w:textAlignment w:val="center"/>
                    <w:rPr>
                      <w:rStyle w:val="71"/>
                      <w:rFonts w:hint="default" w:ascii="Times New Roman" w:hAnsi="Times New Roman" w:eastAsia="宋体" w:cs="Times New Roman"/>
                      <w:b w:val="0"/>
                      <w:bCs w:val="0"/>
                      <w:color w:val="auto"/>
                      <w:sz w:val="18"/>
                      <w:szCs w:val="18"/>
                      <w:highlight w:val="green"/>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sz w:val="18"/>
                      <w:szCs w:val="18"/>
                      <w:highlight w:val="none"/>
                      <w:u w:val="none"/>
                      <w:lang w:val="en-US" w:eastAsia="zh-CN"/>
                    </w:rPr>
                    <w:t>ZH41070420003</w:t>
                  </w:r>
                </w:p>
              </w:tc>
              <w:tc>
                <w:tcPr>
                  <w:tcW w:w="261"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eastAsia" w:ascii="Times New Roman" w:hAnsi="Times New Roman" w:eastAsia="宋体" w:cs="Times New Roman"/>
                      <w:b w:val="0"/>
                      <w:bCs w:val="0"/>
                      <w:i w:val="0"/>
                      <w:iCs w:val="0"/>
                      <w:color w:val="auto"/>
                      <w:sz w:val="18"/>
                      <w:szCs w:val="18"/>
                      <w:highlight w:val="none"/>
                      <w:u w:val="none"/>
                      <w:lang w:val="en-US" w:eastAsia="zh-CN"/>
                    </w:rPr>
                    <w:t>重点管控单元3</w:t>
                  </w:r>
                </w:p>
              </w:tc>
              <w:tc>
                <w:tcPr>
                  <w:tcW w:w="331"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eastAsia" w:ascii="Times New Roman" w:hAnsi="Times New Roman" w:eastAsia="宋体" w:cs="Times New Roman"/>
                      <w:b w:val="0"/>
                      <w:bCs w:val="0"/>
                      <w:i w:val="0"/>
                      <w:iCs w:val="0"/>
                      <w:color w:val="auto"/>
                      <w:sz w:val="18"/>
                      <w:szCs w:val="18"/>
                      <w:highlight w:val="none"/>
                      <w:u w:val="none"/>
                      <w:lang w:val="en-US" w:eastAsia="zh-CN"/>
                    </w:rPr>
                    <w:t>凤泉区大气布局敏感区</w:t>
                  </w:r>
                </w:p>
              </w:tc>
              <w:tc>
                <w:tcPr>
                  <w:tcW w:w="20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宋体" w:cs="Times New Roman"/>
                      <w:b w:val="0"/>
                      <w:bCs w:val="0"/>
                      <w:i w:val="0"/>
                      <w:iCs w:val="0"/>
                      <w:color w:val="auto"/>
                      <w:sz w:val="18"/>
                      <w:szCs w:val="18"/>
                      <w:highlight w:val="none"/>
                      <w:u w:val="none"/>
                      <w:lang w:eastAsia="zh-CN"/>
                    </w:rPr>
                  </w:pPr>
                  <w:r>
                    <w:rPr>
                      <w:rFonts w:hint="eastAsia" w:ascii="Times New Roman" w:hAnsi="Times New Roman" w:eastAsia="宋体" w:cs="Times New Roman"/>
                      <w:b w:val="0"/>
                      <w:bCs w:val="0"/>
                      <w:i w:val="0"/>
                      <w:iCs w:val="0"/>
                      <w:color w:val="auto"/>
                      <w:sz w:val="18"/>
                      <w:szCs w:val="18"/>
                      <w:highlight w:val="none"/>
                      <w:u w:val="none"/>
                      <w:lang w:eastAsia="zh-CN"/>
                    </w:rPr>
                    <w:t>凤泉区</w:t>
                  </w:r>
                </w:p>
              </w:tc>
              <w:tc>
                <w:tcPr>
                  <w:tcW w:w="21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eastAsia" w:ascii="Times New Roman" w:hAnsi="Times New Roman" w:eastAsia="宋体" w:cs="Times New Roman"/>
                      <w:b w:val="0"/>
                      <w:bCs w:val="0"/>
                      <w:i w:val="0"/>
                      <w:iCs w:val="0"/>
                      <w:color w:val="auto"/>
                      <w:sz w:val="18"/>
                      <w:szCs w:val="18"/>
                      <w:highlight w:val="none"/>
                      <w:u w:val="none"/>
                      <w:lang w:val="en-US" w:eastAsia="zh-CN"/>
                    </w:rPr>
                    <w:t>耿黄镇</w:t>
                  </w:r>
                </w:p>
              </w:tc>
              <w:tc>
                <w:tcPr>
                  <w:tcW w:w="3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空间布</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局约束</w:t>
                  </w:r>
                </w:p>
              </w:tc>
              <w:tc>
                <w:tcPr>
                  <w:tcW w:w="1615" w:type="pct"/>
                  <w:tcBorders>
                    <w:tl2br w:val="nil"/>
                    <w:tr2bl w:val="nil"/>
                  </w:tcBorders>
                  <w:noWrap w:val="0"/>
                  <w:vAlign w:val="center"/>
                </w:tcPr>
                <w:p>
                  <w:pPr>
                    <w:keepNext w:val="0"/>
                    <w:keepLines w:val="0"/>
                    <w:pageBreakBefore w:val="0"/>
                    <w:widowControl/>
                    <w:numPr>
                      <w:ilvl w:val="0"/>
                      <w:numId w:val="7"/>
                    </w:numPr>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sz w:val="18"/>
                      <w:szCs w:val="18"/>
                      <w:highlight w:val="none"/>
                      <w:u w:val="none"/>
                    </w:rPr>
                    <w:t>禁止新建、扩建、改建燃用高污染燃料的项目（集中供热、热电联产设施除外），并按照凤泉区生态城建设总体规划要求，整合各类资源，发挥工业用地最大效能。</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sz w:val="18"/>
                      <w:szCs w:val="18"/>
                      <w:highlight w:val="none"/>
                      <w:u w:val="none"/>
                    </w:rPr>
                    <w:t>禁止新建、改建及扩建高排放、高污染项目，包括钢铁、有色、水泥、平板玻璃、建筑陶瓷等行业及其他排放重金属、持久性有机污染物的工业项目等。</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sz w:val="18"/>
                      <w:szCs w:val="18"/>
                      <w:highlight w:val="none"/>
                      <w:u w:val="none"/>
                    </w:rPr>
                    <w:t>3、禁止新、改、扩建“两高”项目。</w:t>
                  </w:r>
                </w:p>
              </w:tc>
              <w:tc>
                <w:tcPr>
                  <w:tcW w:w="149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eastAsia" w:cs="Times New Roman"/>
                      <w:b w:val="0"/>
                      <w:bCs w:val="0"/>
                      <w:i w:val="0"/>
                      <w:iCs w:val="0"/>
                      <w:color w:val="auto"/>
                      <w:sz w:val="18"/>
                      <w:szCs w:val="18"/>
                      <w:highlight w:val="none"/>
                      <w:u w:val="none"/>
                      <w:lang w:val="en-US" w:eastAsia="zh-CN"/>
                    </w:rPr>
                  </w:pPr>
                  <w:r>
                    <w:rPr>
                      <w:rFonts w:hint="eastAsia" w:ascii="Times New Roman" w:hAnsi="Times New Roman" w:eastAsia="宋体" w:cs="Times New Roman"/>
                      <w:b w:val="0"/>
                      <w:bCs w:val="0"/>
                      <w:i w:val="0"/>
                      <w:iCs w:val="0"/>
                      <w:color w:val="auto"/>
                      <w:sz w:val="18"/>
                      <w:szCs w:val="18"/>
                      <w:highlight w:val="none"/>
                      <w:u w:val="none"/>
                      <w:lang w:val="en-US" w:eastAsia="zh-CN"/>
                    </w:rPr>
                    <w:t>1、</w:t>
                  </w:r>
                  <w:r>
                    <w:rPr>
                      <w:rFonts w:hint="eastAsia" w:cs="Times New Roman"/>
                      <w:b w:val="0"/>
                      <w:bCs w:val="0"/>
                      <w:i w:val="0"/>
                      <w:iCs w:val="0"/>
                      <w:color w:val="auto"/>
                      <w:sz w:val="18"/>
                      <w:szCs w:val="18"/>
                      <w:highlight w:val="none"/>
                      <w:u w:val="none"/>
                      <w:lang w:val="en-US" w:eastAsia="zh-CN"/>
                    </w:rPr>
                    <w:t>本</w:t>
                  </w:r>
                  <w:r>
                    <w:rPr>
                      <w:rFonts w:hint="eastAsia" w:ascii="Times New Roman" w:hAnsi="Times New Roman" w:eastAsia="宋体" w:cs="Times New Roman"/>
                      <w:b w:val="0"/>
                      <w:bCs w:val="0"/>
                      <w:i w:val="0"/>
                      <w:iCs w:val="0"/>
                      <w:color w:val="auto"/>
                      <w:sz w:val="18"/>
                      <w:szCs w:val="18"/>
                      <w:highlight w:val="none"/>
                      <w:u w:val="none"/>
                      <w:lang w:val="en-US" w:eastAsia="zh-CN"/>
                    </w:rPr>
                    <w:t>项目属于新建锂电子电池制造项目，不属于高污染燃料的项目</w:t>
                  </w:r>
                  <w:r>
                    <w:rPr>
                      <w:rFonts w:hint="eastAsia" w:cs="Times New Roman"/>
                      <w:b w:val="0"/>
                      <w:bCs w:val="0"/>
                      <w:i w:val="0"/>
                      <w:iCs w:val="0"/>
                      <w:color w:val="auto"/>
                      <w:sz w:val="18"/>
                      <w:szCs w:val="18"/>
                      <w:highlight w:val="none"/>
                      <w:u w:val="none"/>
                      <w:lang w:val="en-US" w:eastAsia="zh-CN"/>
                    </w:rPr>
                    <w:t>，项目位于新乡市新能源电池专业园区（东片区），项目符合园区土地利用规划和产业布局规划；</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eastAsia" w:cs="Times New Roman"/>
                      <w:b w:val="0"/>
                      <w:bCs w:val="0"/>
                      <w:i w:val="0"/>
                      <w:iCs w:val="0"/>
                      <w:color w:val="auto"/>
                      <w:sz w:val="18"/>
                      <w:szCs w:val="18"/>
                      <w:highlight w:val="none"/>
                      <w:u w:val="none"/>
                      <w:lang w:eastAsia="zh-CN"/>
                    </w:rPr>
                  </w:pPr>
                  <w:r>
                    <w:rPr>
                      <w:rFonts w:hint="eastAsia" w:cs="Times New Roman"/>
                      <w:b w:val="0"/>
                      <w:bCs w:val="0"/>
                      <w:i w:val="0"/>
                      <w:iCs w:val="0"/>
                      <w:color w:val="auto"/>
                      <w:sz w:val="18"/>
                      <w:szCs w:val="18"/>
                      <w:highlight w:val="none"/>
                      <w:u w:val="none"/>
                      <w:lang w:val="en-US" w:eastAsia="zh-CN"/>
                    </w:rPr>
                    <w:t>2、本项目不属于钢铁、有色、水泥、平板玻璃、建筑陶瓷等</w:t>
                  </w:r>
                  <w:r>
                    <w:rPr>
                      <w:rFonts w:hint="default" w:ascii="Times New Roman" w:hAnsi="Times New Roman" w:eastAsia="宋体" w:cs="Times New Roman"/>
                      <w:b w:val="0"/>
                      <w:bCs w:val="0"/>
                      <w:i w:val="0"/>
                      <w:iCs w:val="0"/>
                      <w:color w:val="auto"/>
                      <w:sz w:val="18"/>
                      <w:szCs w:val="18"/>
                      <w:highlight w:val="none"/>
                      <w:u w:val="none"/>
                    </w:rPr>
                    <w:t>高排放、高污染项目</w:t>
                  </w:r>
                  <w:r>
                    <w:rPr>
                      <w:rFonts w:hint="eastAsia" w:cs="Times New Roman"/>
                      <w:b w:val="0"/>
                      <w:bCs w:val="0"/>
                      <w:i w:val="0"/>
                      <w:iCs w:val="0"/>
                      <w:color w:val="auto"/>
                      <w:sz w:val="18"/>
                      <w:szCs w:val="18"/>
                      <w:highlight w:val="none"/>
                      <w:u w:val="none"/>
                      <w:lang w:eastAsia="zh-CN"/>
                    </w:rPr>
                    <w:t>，不属于排放重金属、持久性有机污染物的工业项目；</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宋体" w:cs="Times New Roman"/>
                      <w:b w:val="0"/>
                      <w:bCs w:val="0"/>
                      <w:i w:val="0"/>
                      <w:iCs w:val="0"/>
                      <w:color w:val="auto"/>
                      <w:sz w:val="18"/>
                      <w:szCs w:val="18"/>
                      <w:highlight w:val="none"/>
                      <w:u w:val="none"/>
                      <w:lang w:val="en-US" w:eastAsia="zh-CN"/>
                    </w:rPr>
                  </w:pPr>
                  <w:r>
                    <w:rPr>
                      <w:rFonts w:hint="eastAsia" w:cs="Times New Roman"/>
                      <w:b w:val="0"/>
                      <w:bCs w:val="0"/>
                      <w:i w:val="0"/>
                      <w:iCs w:val="0"/>
                      <w:color w:val="auto"/>
                      <w:sz w:val="18"/>
                      <w:szCs w:val="18"/>
                      <w:highlight w:val="none"/>
                      <w:u w:val="none"/>
                      <w:lang w:val="en-US" w:eastAsia="zh-CN"/>
                    </w:rPr>
                    <w:t>3、本项目不属于“两高”项目。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none"/>
                      <w:u w:val="none"/>
                    </w:rPr>
                  </w:pPr>
                </w:p>
              </w:tc>
              <w:tc>
                <w:tcPr>
                  <w:tcW w:w="26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none"/>
                      <w:u w:val="none"/>
                    </w:rPr>
                  </w:pPr>
                </w:p>
              </w:tc>
              <w:tc>
                <w:tcPr>
                  <w:tcW w:w="33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none"/>
                      <w:u w:val="none"/>
                    </w:rPr>
                  </w:pPr>
                </w:p>
              </w:tc>
              <w:tc>
                <w:tcPr>
                  <w:tcW w:w="2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none"/>
                      <w:u w:val="none"/>
                    </w:rPr>
                  </w:pPr>
                </w:p>
              </w:tc>
              <w:tc>
                <w:tcPr>
                  <w:tcW w:w="21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none"/>
                      <w:u w:val="none"/>
                    </w:rPr>
                  </w:pPr>
                </w:p>
              </w:tc>
              <w:tc>
                <w:tcPr>
                  <w:tcW w:w="3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污染物排放管控</w:t>
                  </w:r>
                </w:p>
              </w:tc>
              <w:tc>
                <w:tcPr>
                  <w:tcW w:w="16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sz w:val="18"/>
                      <w:szCs w:val="18"/>
                      <w:highlight w:val="none"/>
                      <w:u w:val="none"/>
                    </w:rPr>
                    <w:t>1、二氧化硫、氮氧化物、颗粒物、VOCs全面执行大气污染物特别排放限值。</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sz w:val="18"/>
                      <w:szCs w:val="18"/>
                      <w:highlight w:val="none"/>
                      <w:u w:val="none"/>
                    </w:rPr>
                    <w:t>2、禁止填埋场渗滤液直排或超标排放。</w:t>
                  </w:r>
                </w:p>
              </w:tc>
              <w:tc>
                <w:tcPr>
                  <w:tcW w:w="1494" w:type="pct"/>
                  <w:tcBorders>
                    <w:tl2br w:val="nil"/>
                    <w:tr2bl w:val="nil"/>
                  </w:tcBorders>
                  <w:noWrap w:val="0"/>
                  <w:vAlign w:val="center"/>
                </w:tcPr>
                <w:p>
                  <w:pPr>
                    <w:pStyle w:val="20"/>
                    <w:keepNext w:val="0"/>
                    <w:keepLines w:val="0"/>
                    <w:pageBreakBefore w:val="0"/>
                    <w:kinsoku/>
                    <w:wordWrap/>
                    <w:overflowPunct/>
                    <w:topLinePunct w:val="0"/>
                    <w:autoSpaceDE/>
                    <w:autoSpaceDN/>
                    <w:bidi w:val="0"/>
                    <w:adjustRightInd/>
                    <w:snapToGrid/>
                    <w:spacing w:after="0" w:line="240" w:lineRule="exact"/>
                    <w:ind w:left="0" w:leftChars="0" w:firstLine="0" w:firstLineChars="0"/>
                    <w:jc w:val="both"/>
                    <w:rPr>
                      <w:rFonts w:hint="eastAsia" w:cs="Times New Roman"/>
                      <w:b w:val="0"/>
                      <w:bCs w:val="0"/>
                      <w:i w:val="0"/>
                      <w:iCs w:val="0"/>
                      <w:color w:val="auto"/>
                      <w:kern w:val="2"/>
                      <w:sz w:val="18"/>
                      <w:szCs w:val="18"/>
                      <w:highlight w:val="none"/>
                      <w:u w:val="none"/>
                      <w:lang w:val="en-US" w:eastAsia="zh-CN" w:bidi="ar-SA"/>
                    </w:rPr>
                  </w:pPr>
                  <w:r>
                    <w:rPr>
                      <w:rFonts w:hint="eastAsia" w:cs="Times New Roman"/>
                      <w:b w:val="0"/>
                      <w:bCs w:val="0"/>
                      <w:i w:val="0"/>
                      <w:iCs w:val="0"/>
                      <w:color w:val="auto"/>
                      <w:kern w:val="2"/>
                      <w:sz w:val="18"/>
                      <w:szCs w:val="18"/>
                      <w:highlight w:val="none"/>
                      <w:u w:val="none"/>
                      <w:lang w:val="en-US" w:eastAsia="zh-CN" w:bidi="ar-SA"/>
                    </w:rPr>
                    <w:t>1、本项目生产过程VOCS废气污染物排放满足《电池工业污染物排放标准》（GB30484-2013）的规定。</w:t>
                  </w:r>
                </w:p>
                <w:p>
                  <w:pPr>
                    <w:pStyle w:val="20"/>
                    <w:keepNext w:val="0"/>
                    <w:keepLines w:val="0"/>
                    <w:pageBreakBefore w:val="0"/>
                    <w:kinsoku/>
                    <w:wordWrap/>
                    <w:overflowPunct/>
                    <w:topLinePunct w:val="0"/>
                    <w:autoSpaceDE/>
                    <w:autoSpaceDN/>
                    <w:bidi w:val="0"/>
                    <w:adjustRightInd/>
                    <w:snapToGrid/>
                    <w:spacing w:after="0" w:line="240" w:lineRule="exact"/>
                    <w:ind w:left="0" w:leftChars="0" w:firstLine="0" w:firstLineChars="0"/>
                    <w:jc w:val="both"/>
                    <w:rPr>
                      <w:rFonts w:hint="eastAsia"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cs="Times New Roman"/>
                      <w:b w:val="0"/>
                      <w:bCs w:val="0"/>
                      <w:i w:val="0"/>
                      <w:iCs w:val="0"/>
                      <w:color w:val="auto"/>
                      <w:kern w:val="2"/>
                      <w:sz w:val="18"/>
                      <w:szCs w:val="18"/>
                      <w:highlight w:val="none"/>
                      <w:u w:val="none"/>
                      <w:lang w:val="en-US" w:eastAsia="zh-CN" w:bidi="ar-SA"/>
                    </w:rPr>
                    <w:t>2、本项目不涉及</w:t>
                  </w:r>
                  <w:r>
                    <w:rPr>
                      <w:rFonts w:hint="default" w:ascii="Times New Roman" w:hAnsi="Times New Roman" w:eastAsia="宋体" w:cs="Times New Roman"/>
                      <w:b w:val="0"/>
                      <w:bCs w:val="0"/>
                      <w:i w:val="0"/>
                      <w:iCs w:val="0"/>
                      <w:color w:val="auto"/>
                      <w:sz w:val="18"/>
                      <w:szCs w:val="18"/>
                      <w:highlight w:val="none"/>
                      <w:u w:val="none"/>
                    </w:rPr>
                    <w:t>填埋场渗滤液</w:t>
                  </w:r>
                  <w:r>
                    <w:rPr>
                      <w:rFonts w:hint="eastAsia" w:cs="Times New Roman"/>
                      <w:b w:val="0"/>
                      <w:bCs w:val="0"/>
                      <w:i w:val="0"/>
                      <w:iCs w:val="0"/>
                      <w:color w:val="auto"/>
                      <w:sz w:val="18"/>
                      <w:szCs w:val="18"/>
                      <w:highlight w:val="none"/>
                      <w:u w:val="none"/>
                      <w:lang w:eastAsia="zh-CN"/>
                    </w:rPr>
                    <w:t>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none"/>
                      <w:u w:val="none"/>
                    </w:rPr>
                  </w:pPr>
                </w:p>
              </w:tc>
              <w:tc>
                <w:tcPr>
                  <w:tcW w:w="26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none"/>
                      <w:u w:val="none"/>
                    </w:rPr>
                  </w:pPr>
                </w:p>
              </w:tc>
              <w:tc>
                <w:tcPr>
                  <w:tcW w:w="33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none"/>
                      <w:u w:val="none"/>
                    </w:rPr>
                  </w:pPr>
                </w:p>
              </w:tc>
              <w:tc>
                <w:tcPr>
                  <w:tcW w:w="2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none"/>
                      <w:u w:val="none"/>
                    </w:rPr>
                  </w:pPr>
                </w:p>
              </w:tc>
              <w:tc>
                <w:tcPr>
                  <w:tcW w:w="21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none"/>
                      <w:u w:val="none"/>
                    </w:rPr>
                  </w:pPr>
                </w:p>
              </w:tc>
              <w:tc>
                <w:tcPr>
                  <w:tcW w:w="3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环境风</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险防控</w:t>
                  </w:r>
                </w:p>
              </w:tc>
              <w:tc>
                <w:tcPr>
                  <w:tcW w:w="16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宋体" w:cs="Times New Roman"/>
                      <w:b w:val="0"/>
                      <w:bCs w:val="0"/>
                      <w:i w:val="0"/>
                      <w:iCs w:val="0"/>
                      <w:color w:val="auto"/>
                      <w:sz w:val="18"/>
                      <w:szCs w:val="18"/>
                      <w:highlight w:val="none"/>
                      <w:u w:val="none"/>
                      <w:lang w:val="en-US" w:eastAsia="zh-CN"/>
                    </w:rPr>
                  </w:pPr>
                  <w:r>
                    <w:rPr>
                      <w:rFonts w:hint="default" w:ascii="Times New Roman" w:hAnsi="Times New Roman" w:eastAsia="宋体" w:cs="Times New Roman"/>
                      <w:b w:val="0"/>
                      <w:bCs w:val="0"/>
                      <w:i w:val="0"/>
                      <w:iCs w:val="0"/>
                      <w:color w:val="auto"/>
                      <w:sz w:val="18"/>
                      <w:szCs w:val="18"/>
                      <w:highlight w:val="none"/>
                      <w:u w:val="none"/>
                      <w:lang w:val="en-US" w:eastAsia="zh-CN"/>
                    </w:rPr>
                    <w:t>1、对涉重行业企业加强管理，建立土壤和地下水污染隐患排查治理制度、风险防控体系和长效监管机制。</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宋体" w:cs="Times New Roman"/>
                      <w:b w:val="0"/>
                      <w:bCs w:val="0"/>
                      <w:i w:val="0"/>
                      <w:iCs w:val="0"/>
                      <w:color w:val="auto"/>
                      <w:sz w:val="18"/>
                      <w:szCs w:val="18"/>
                      <w:highlight w:val="none"/>
                      <w:u w:val="none"/>
                      <w:lang w:val="en-US" w:eastAsia="zh-CN"/>
                    </w:rPr>
                  </w:pPr>
                  <w:r>
                    <w:rPr>
                      <w:rFonts w:hint="default" w:ascii="Times New Roman" w:hAnsi="Times New Roman" w:eastAsia="宋体" w:cs="Times New Roman"/>
                      <w:b w:val="0"/>
                      <w:bCs w:val="0"/>
                      <w:i w:val="0"/>
                      <w:iCs w:val="0"/>
                      <w:color w:val="auto"/>
                      <w:sz w:val="18"/>
                      <w:szCs w:val="18"/>
                      <w:highlight w:val="none"/>
                      <w:u w:val="none"/>
                      <w:lang w:val="en-US" w:eastAsia="zh-CN"/>
                    </w:rPr>
                    <w:t>2、有色金属冶炼、铅酸蓄电池、石油加工、化工、电镀、制革和危险化学品生产、储存、使用等企业在拆除生产设施设备、污染治理设施时，要事先制定残留污染物清理和安全处置方案。</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Style w:val="72"/>
                      <w:rFonts w:hint="default" w:ascii="Times New Roman" w:hAnsi="Times New Roman" w:eastAsia="宋体" w:cs="Times New Roman"/>
                      <w:b w:val="0"/>
                      <w:bCs w:val="0"/>
                      <w:color w:val="auto"/>
                      <w:sz w:val="18"/>
                      <w:szCs w:val="18"/>
                      <w:highlight w:val="none"/>
                      <w:lang w:val="en-US" w:eastAsia="zh-CN" w:bidi="ar"/>
                    </w:rPr>
                  </w:pPr>
                  <w:r>
                    <w:rPr>
                      <w:rFonts w:hint="default" w:ascii="Times New Roman" w:hAnsi="Times New Roman" w:eastAsia="宋体" w:cs="Times New Roman"/>
                      <w:b w:val="0"/>
                      <w:bCs w:val="0"/>
                      <w:i w:val="0"/>
                      <w:iCs w:val="0"/>
                      <w:color w:val="auto"/>
                      <w:sz w:val="18"/>
                      <w:szCs w:val="18"/>
                      <w:highlight w:val="none"/>
                      <w:u w:val="none"/>
                      <w:lang w:val="en-US" w:eastAsia="zh-CN"/>
                    </w:rPr>
                    <w:t>3、高关注地块划分污染风险等级，纳入优先管控名录。</w:t>
                  </w:r>
                </w:p>
              </w:tc>
              <w:tc>
                <w:tcPr>
                  <w:tcW w:w="149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eastAsia" w:cs="Times New Roman"/>
                      <w:b w:val="0"/>
                      <w:bCs w:val="0"/>
                      <w:i w:val="0"/>
                      <w:iCs w:val="0"/>
                      <w:color w:val="auto"/>
                      <w:kern w:val="2"/>
                      <w:sz w:val="18"/>
                      <w:szCs w:val="18"/>
                      <w:highlight w:val="none"/>
                      <w:u w:val="none"/>
                      <w:lang w:val="en-US" w:eastAsia="zh-CN" w:bidi="ar-SA"/>
                    </w:rPr>
                  </w:pPr>
                  <w:r>
                    <w:rPr>
                      <w:rFonts w:hint="eastAsia" w:cs="Times New Roman"/>
                      <w:b w:val="0"/>
                      <w:bCs w:val="0"/>
                      <w:i w:val="0"/>
                      <w:iCs w:val="0"/>
                      <w:color w:val="auto"/>
                      <w:kern w:val="2"/>
                      <w:sz w:val="18"/>
                      <w:szCs w:val="18"/>
                      <w:highlight w:val="none"/>
                      <w:u w:val="none"/>
                      <w:lang w:val="en-US" w:eastAsia="zh-CN" w:bidi="ar-SA"/>
                    </w:rPr>
                    <w:t>1、本项目生产过程不涉及重金属污染物排放；</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cs="Times New Roman"/>
                      <w:b w:val="0"/>
                      <w:bCs w:val="0"/>
                      <w:i w:val="0"/>
                      <w:iCs w:val="0"/>
                      <w:color w:val="auto"/>
                      <w:kern w:val="2"/>
                      <w:sz w:val="18"/>
                      <w:szCs w:val="18"/>
                      <w:highlight w:val="none"/>
                      <w:u w:val="none"/>
                      <w:lang w:val="en-US" w:eastAsia="zh-CN" w:bidi="ar-SA"/>
                    </w:rPr>
                    <w:t>2、本项目新建锂电子电池制造，不属于</w:t>
                  </w:r>
                  <w:r>
                    <w:rPr>
                      <w:rFonts w:hint="default" w:ascii="Times New Roman" w:hAnsi="Times New Roman" w:eastAsia="宋体" w:cs="Times New Roman"/>
                      <w:b w:val="0"/>
                      <w:bCs w:val="0"/>
                      <w:i w:val="0"/>
                      <w:iCs w:val="0"/>
                      <w:color w:val="auto"/>
                      <w:sz w:val="18"/>
                      <w:szCs w:val="18"/>
                      <w:highlight w:val="none"/>
                      <w:u w:val="none"/>
                      <w:lang w:val="en-US" w:eastAsia="zh-CN"/>
                    </w:rPr>
                    <w:t>有色金属冶炼、铅酸蓄电池、石油加工、化工、电镀、制革和危险化学品生产、储存、使用等企业</w:t>
                  </w:r>
                  <w:r>
                    <w:rPr>
                      <w:rFonts w:hint="eastAsia" w:eastAsia="宋体" w:cs="Times New Roman"/>
                      <w:b w:val="0"/>
                      <w:bCs w:val="0"/>
                      <w:i w:val="0"/>
                      <w:iCs w:val="0"/>
                      <w:color w:val="auto"/>
                      <w:sz w:val="18"/>
                      <w:szCs w:val="18"/>
                      <w:highlight w:val="none"/>
                      <w:u w:val="none"/>
                      <w:lang w:val="en-US" w:eastAsia="zh-CN"/>
                    </w:rPr>
                    <w:t>；</w:t>
                  </w:r>
                  <w:r>
                    <w:rPr>
                      <w:rFonts w:hint="eastAsia" w:cs="Times New Roman"/>
                      <w:b w:val="0"/>
                      <w:bCs w:val="0"/>
                      <w:i w:val="0"/>
                      <w:iCs w:val="0"/>
                      <w:color w:val="auto"/>
                      <w:kern w:val="2"/>
                      <w:sz w:val="18"/>
                      <w:szCs w:val="18"/>
                      <w:highlight w:val="none"/>
                      <w:u w:val="none"/>
                      <w:lang w:val="en-US" w:eastAsia="zh-CN" w:bidi="ar-SA"/>
                    </w:rPr>
                    <w:br w:type="textWrapping"/>
                  </w:r>
                  <w:r>
                    <w:rPr>
                      <w:rFonts w:hint="eastAsia" w:cs="Times New Roman"/>
                      <w:b w:val="0"/>
                      <w:bCs w:val="0"/>
                      <w:i w:val="0"/>
                      <w:iCs w:val="0"/>
                      <w:color w:val="auto"/>
                      <w:kern w:val="2"/>
                      <w:sz w:val="18"/>
                      <w:szCs w:val="18"/>
                      <w:highlight w:val="none"/>
                      <w:u w:val="none"/>
                      <w:lang w:val="en-US" w:eastAsia="zh-CN" w:bidi="ar-SA"/>
                    </w:rPr>
                    <w:t>3、本项目选址位于新乡市新能源电池专业园区（东片区），选址不属于污染地块。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none"/>
                      <w:u w:val="none"/>
                    </w:rPr>
                  </w:pPr>
                </w:p>
              </w:tc>
              <w:tc>
                <w:tcPr>
                  <w:tcW w:w="26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none"/>
                      <w:u w:val="none"/>
                    </w:rPr>
                  </w:pPr>
                </w:p>
              </w:tc>
              <w:tc>
                <w:tcPr>
                  <w:tcW w:w="33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none"/>
                      <w:u w:val="none"/>
                    </w:rPr>
                  </w:pPr>
                </w:p>
              </w:tc>
              <w:tc>
                <w:tcPr>
                  <w:tcW w:w="20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none"/>
                      <w:u w:val="none"/>
                    </w:rPr>
                  </w:pPr>
                </w:p>
              </w:tc>
              <w:tc>
                <w:tcPr>
                  <w:tcW w:w="21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none"/>
                      <w:u w:val="none"/>
                    </w:rPr>
                  </w:pPr>
                </w:p>
              </w:tc>
              <w:tc>
                <w:tcPr>
                  <w:tcW w:w="3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资源利用效率要求</w:t>
                  </w:r>
                </w:p>
              </w:tc>
              <w:tc>
                <w:tcPr>
                  <w:tcW w:w="16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Style w:val="72"/>
                      <w:rFonts w:hint="default" w:ascii="Times New Roman" w:hAnsi="Times New Roman" w:eastAsia="宋体" w:cs="Times New Roman"/>
                      <w:b w:val="0"/>
                      <w:bCs w:val="0"/>
                      <w:color w:val="auto"/>
                      <w:sz w:val="18"/>
                      <w:szCs w:val="18"/>
                      <w:highlight w:val="none"/>
                      <w:lang w:val="en-US" w:eastAsia="zh-CN" w:bidi="ar"/>
                    </w:rPr>
                  </w:pPr>
                  <w:r>
                    <w:rPr>
                      <w:rFonts w:hint="default" w:ascii="Times New Roman" w:hAnsi="Times New Roman" w:eastAsia="宋体" w:cs="Times New Roman"/>
                      <w:b w:val="0"/>
                      <w:bCs w:val="0"/>
                      <w:i w:val="0"/>
                      <w:iCs w:val="0"/>
                      <w:color w:val="auto"/>
                      <w:sz w:val="18"/>
                      <w:szCs w:val="18"/>
                      <w:highlight w:val="none"/>
                      <w:u w:val="none"/>
                      <w:lang w:val="en-US" w:eastAsia="zh-CN"/>
                    </w:rPr>
                    <w:t>进一步优化能源结构，加快园区配套管网建设。不得新改扩建分散燃煤设施。</w:t>
                  </w:r>
                </w:p>
              </w:tc>
              <w:tc>
                <w:tcPr>
                  <w:tcW w:w="149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cs="Times New Roman"/>
                      <w:b w:val="0"/>
                      <w:bCs w:val="0"/>
                      <w:i w:val="0"/>
                      <w:iCs w:val="0"/>
                      <w:color w:val="auto"/>
                      <w:kern w:val="2"/>
                      <w:sz w:val="18"/>
                      <w:szCs w:val="18"/>
                      <w:highlight w:val="none"/>
                      <w:u w:val="none"/>
                      <w:lang w:val="en-US" w:eastAsia="zh-CN" w:bidi="ar-SA"/>
                    </w:rPr>
                    <w:t>本项目</w:t>
                  </w:r>
                  <w:r>
                    <w:rPr>
                      <w:rFonts w:hint="default" w:ascii="Times New Roman" w:hAnsi="Times New Roman" w:eastAsia="宋体" w:cs="Times New Roman"/>
                      <w:b w:val="0"/>
                      <w:bCs w:val="0"/>
                      <w:i w:val="0"/>
                      <w:iCs w:val="0"/>
                      <w:color w:val="auto"/>
                      <w:kern w:val="2"/>
                      <w:sz w:val="18"/>
                      <w:szCs w:val="18"/>
                      <w:highlight w:val="none"/>
                      <w:u w:val="none"/>
                      <w:lang w:val="en-US" w:eastAsia="zh-CN" w:bidi="ar-SA"/>
                    </w:rPr>
                    <w:t>不涉及</w:t>
                  </w:r>
                  <w:r>
                    <w:rPr>
                      <w:rFonts w:hint="eastAsia" w:cs="Times New Roman"/>
                      <w:b w:val="0"/>
                      <w:bCs w:val="0"/>
                      <w:i w:val="0"/>
                      <w:iCs w:val="0"/>
                      <w:color w:val="auto"/>
                      <w:kern w:val="2"/>
                      <w:sz w:val="18"/>
                      <w:szCs w:val="18"/>
                      <w:highlight w:val="none"/>
                      <w:u w:val="none"/>
                      <w:lang w:val="en-US" w:eastAsia="zh-CN" w:bidi="ar-SA"/>
                    </w:rPr>
                    <w:t>燃煤设施</w:t>
                  </w:r>
                </w:p>
              </w:tc>
            </w:tr>
          </w:tbl>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left"/>
              <w:textAlignment w:val="auto"/>
              <w:rPr>
                <w:rFonts w:hint="default" w:ascii="Times New Roman" w:hAnsi="Times New Roman" w:cs="Times New Roman"/>
                <w:color w:val="auto"/>
                <w:highlight w:val="green"/>
                <w:lang w:val="en-US" w:eastAsia="zh-CN"/>
              </w:rPr>
            </w:pPr>
            <w:r>
              <w:rPr>
                <w:rFonts w:hint="default" w:ascii="Times New Roman" w:hAnsi="Times New Roman" w:cs="Times New Roman"/>
                <w:color w:val="auto"/>
                <w:sz w:val="21"/>
                <w:szCs w:val="21"/>
                <w:highlight w:val="none"/>
                <w:lang w:val="en-US" w:eastAsia="zh-CN"/>
              </w:rPr>
              <w:t>综上，本项目选址不在当地饮用水源、风景区、自然保护区等生态保护区内，不在环境功能区划等相关文件划定的生态保护红线范围内，满足生态保护红线要求，本项目符合生态环境分区管控要求。项目</w:t>
            </w:r>
            <w:r>
              <w:rPr>
                <w:rFonts w:hint="eastAsia" w:cs="Times New Roman"/>
                <w:color w:val="auto"/>
                <w:sz w:val="21"/>
                <w:szCs w:val="21"/>
                <w:highlight w:val="none"/>
                <w:lang w:val="en-US" w:eastAsia="zh-CN"/>
              </w:rPr>
              <w:t>租用</w:t>
            </w:r>
            <w:r>
              <w:rPr>
                <w:rFonts w:hint="default" w:ascii="Times New Roman" w:hAnsi="Times New Roman" w:cs="Times New Roman"/>
                <w:color w:val="auto"/>
                <w:sz w:val="21"/>
                <w:szCs w:val="21"/>
                <w:highlight w:val="none"/>
                <w:lang w:val="en-US" w:eastAsia="zh-CN"/>
              </w:rPr>
              <w:t>现有</w:t>
            </w:r>
            <w:r>
              <w:rPr>
                <w:rFonts w:hint="eastAsia" w:cs="Times New Roman"/>
                <w:color w:val="auto"/>
                <w:sz w:val="21"/>
                <w:szCs w:val="21"/>
                <w:highlight w:val="none"/>
                <w:lang w:val="en-US" w:eastAsia="zh-CN"/>
              </w:rPr>
              <w:t>标准化</w:t>
            </w:r>
            <w:r>
              <w:rPr>
                <w:rFonts w:hint="default" w:ascii="Times New Roman" w:hAnsi="Times New Roman" w:cs="Times New Roman"/>
                <w:color w:val="auto"/>
                <w:sz w:val="21"/>
                <w:szCs w:val="21"/>
                <w:highlight w:val="none"/>
                <w:lang w:val="en-US" w:eastAsia="zh-CN"/>
              </w:rPr>
              <w:t>厂房进行建设，不新增用地</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符合</w:t>
            </w:r>
            <w:r>
              <w:rPr>
                <w:rFonts w:hint="eastAsia" w:cs="Times New Roman"/>
                <w:color w:val="auto"/>
                <w:sz w:val="21"/>
                <w:szCs w:val="21"/>
                <w:highlight w:val="none"/>
                <w:lang w:val="en-US" w:eastAsia="zh-CN"/>
              </w:rPr>
              <w:t>新乡市新能源电池专业园区</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东</w:t>
            </w:r>
            <w:r>
              <w:rPr>
                <w:rFonts w:hint="default" w:ascii="Times New Roman" w:hAnsi="Times New Roman" w:cs="Times New Roman"/>
                <w:color w:val="auto"/>
                <w:sz w:val="21"/>
                <w:szCs w:val="21"/>
                <w:highlight w:val="none"/>
                <w:lang w:val="en-US" w:eastAsia="zh-CN"/>
              </w:rPr>
              <w:t>片区）土地利用规划和产业布局规划要求</w:t>
            </w:r>
            <w:r>
              <w:rPr>
                <w:rFonts w:hint="eastAsia" w:cs="Times New Roman"/>
                <w:color w:val="auto"/>
                <w:sz w:val="21"/>
                <w:szCs w:val="21"/>
                <w:highlight w:val="none"/>
                <w:lang w:val="en-US" w:eastAsia="zh-CN"/>
              </w:rPr>
              <w:t>；项目用水、用电均</w:t>
            </w:r>
            <w:r>
              <w:rPr>
                <w:rFonts w:hint="default" w:ascii="Times New Roman" w:hAnsi="Times New Roman" w:cs="Times New Roman"/>
                <w:color w:val="auto"/>
                <w:sz w:val="21"/>
                <w:szCs w:val="21"/>
                <w:highlight w:val="none"/>
                <w:lang w:val="en-US" w:eastAsia="zh-CN"/>
              </w:rPr>
              <w:t>符合资源上线要求</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eastAsia="zh-CN"/>
              </w:rPr>
              <w:t>对照《新乡市“三线一单”生态环境准入清单》（试行），本项目符合生态环境准入清单要求。综上，本项目符合“三线一单”控制要求。</w:t>
            </w:r>
          </w:p>
        </w:tc>
      </w:tr>
    </w:tbl>
    <w:p>
      <w:pPr>
        <w:pStyle w:val="31"/>
        <w:rPr>
          <w:rFonts w:hint="default" w:ascii="Times New Roman" w:hAnsi="Times New Roman" w:cs="Times New Roman"/>
          <w:color w:val="auto"/>
          <w:highlight w:val="green"/>
        </w:rPr>
        <w:sectPr>
          <w:pgSz w:w="16838" w:h="11906" w:orient="landscape"/>
          <w:pgMar w:top="1803" w:right="1440" w:bottom="1803" w:left="1440"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二、建设项目工程分析</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85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388" w:type="pct"/>
            <w:noWrap w:val="0"/>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firstLine="0" w:firstLineChars="0"/>
              <w:jc w:val="center"/>
              <w:textAlignment w:val="auto"/>
              <w:rPr>
                <w:rFonts w:hint="default" w:ascii="Times New Roman" w:hAnsi="Times New Roman" w:cs="Times New Roman"/>
                <w:color w:val="auto"/>
                <w:sz w:val="21"/>
                <w:szCs w:val="21"/>
                <w:highlight w:val="green"/>
              </w:rPr>
            </w:pPr>
            <w:r>
              <w:rPr>
                <w:rFonts w:hint="default" w:ascii="Times New Roman" w:hAnsi="Times New Roman" w:cs="Times New Roman"/>
                <w:color w:val="auto"/>
                <w:sz w:val="21"/>
                <w:szCs w:val="21"/>
                <w:highlight w:val="none"/>
              </w:rPr>
              <w:t>建设内容</w:t>
            </w:r>
          </w:p>
        </w:tc>
        <w:tc>
          <w:tcPr>
            <w:tcW w:w="4611" w:type="pct"/>
            <w:noWrap w:val="0"/>
            <w:vAlign w:val="top"/>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val="0"/>
                <w:color w:val="auto"/>
                <w:kern w:val="0"/>
                <w:sz w:val="21"/>
                <w:szCs w:val="21"/>
                <w:highlight w:val="none"/>
                <w:lang w:val="en-US" w:eastAsia="zh-CN"/>
              </w:rPr>
            </w:pPr>
            <w:r>
              <w:rPr>
                <w:rFonts w:hint="default" w:ascii="Times New Roman" w:hAnsi="Times New Roman" w:cs="Times New Roman"/>
                <w:b/>
                <w:bCs w:val="0"/>
                <w:color w:val="auto"/>
                <w:kern w:val="0"/>
                <w:sz w:val="21"/>
                <w:szCs w:val="21"/>
                <w:highlight w:val="none"/>
                <w:lang w:val="en-US" w:eastAsia="zh-CN"/>
              </w:rPr>
              <w:t>1、项目概况</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锂离子电池是二十世纪九十年代迅速发展起来的新一代二次电池，以其能量密度高、循环寿命长且安全无污染等优势，被广泛的应用于移动通讯、照相机、计算机存储器后备电源、心脏起搏器、安全报警器、电动自行车、电动汽车电源等领域。由于在各行各业的广泛应用，锂离子电池在国民经济中具有重要地位，发展前景广阔。在此背景下，河南省东恒锂电能源有限公司拟投资</w:t>
            </w:r>
            <w:r>
              <w:rPr>
                <w:rFonts w:hint="eastAsia" w:cs="Times New Roman"/>
                <w:bCs/>
                <w:color w:val="auto"/>
                <w:kern w:val="0"/>
                <w:sz w:val="21"/>
                <w:szCs w:val="21"/>
                <w:highlight w:val="none"/>
                <w:lang w:val="en-US" w:eastAsia="zh-CN"/>
              </w:rPr>
              <w:t>500</w:t>
            </w:r>
            <w:r>
              <w:rPr>
                <w:rFonts w:hint="default" w:ascii="Times New Roman" w:hAnsi="Times New Roman" w:cs="Times New Roman"/>
                <w:bCs/>
                <w:color w:val="auto"/>
                <w:kern w:val="0"/>
                <w:sz w:val="21"/>
                <w:szCs w:val="21"/>
                <w:highlight w:val="none"/>
                <w:lang w:val="en-US" w:eastAsia="zh-CN"/>
              </w:rPr>
              <w:t>万元建设河南省东恒锂电能源有限公司年产</w:t>
            </w:r>
            <w:r>
              <w:rPr>
                <w:rFonts w:hint="eastAsia" w:cs="Times New Roman"/>
                <w:bCs/>
                <w:color w:val="auto"/>
                <w:kern w:val="0"/>
                <w:sz w:val="21"/>
                <w:szCs w:val="21"/>
                <w:highlight w:val="none"/>
                <w:lang w:val="en-US" w:eastAsia="zh-CN"/>
              </w:rPr>
              <w:t>500</w:t>
            </w:r>
            <w:r>
              <w:rPr>
                <w:rFonts w:hint="default" w:ascii="Times New Roman" w:hAnsi="Times New Roman" w:cs="Times New Roman"/>
                <w:bCs/>
                <w:color w:val="auto"/>
                <w:kern w:val="0"/>
                <w:sz w:val="21"/>
                <w:szCs w:val="21"/>
                <w:highlight w:val="none"/>
                <w:lang w:val="en-US" w:eastAsia="zh-CN"/>
              </w:rPr>
              <w:t>万只锂离子电池项目</w:t>
            </w:r>
            <w:r>
              <w:rPr>
                <w:rFonts w:hint="eastAsia" w:cs="Times New Roman"/>
                <w:bCs/>
                <w:color w:val="auto"/>
                <w:kern w:val="0"/>
                <w:sz w:val="21"/>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eastAsia" w:ascii="Times New Roman" w:hAnsi="Times New Roman" w:cs="Times New Roman"/>
                <w:bCs/>
                <w:color w:val="auto"/>
                <w:kern w:val="0"/>
                <w:sz w:val="21"/>
                <w:szCs w:val="21"/>
                <w:highlight w:val="none"/>
                <w:lang w:val="en-US" w:eastAsia="zh-CN"/>
              </w:rPr>
              <w:t>本项目租赁新乡市</w:t>
            </w:r>
            <w:r>
              <w:rPr>
                <w:rFonts w:hint="eastAsia" w:cs="Times New Roman"/>
                <w:bCs/>
                <w:color w:val="auto"/>
                <w:kern w:val="0"/>
                <w:sz w:val="21"/>
                <w:szCs w:val="21"/>
                <w:highlight w:val="none"/>
                <w:lang w:val="en-US" w:eastAsia="zh-CN"/>
              </w:rPr>
              <w:t>凤泉湖实业有限公司建设的标准化厂房一层区域进行建设，根据现场勘查，目前拟租用的标准化厂房一层区域闲置，二层为河南创达电子科技有限公司。</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2、</w:t>
            </w:r>
            <w:r>
              <w:rPr>
                <w:rFonts w:hint="default" w:ascii="Times New Roman" w:hAnsi="Times New Roman" w:cs="Times New Roman"/>
                <w:b/>
                <w:color w:val="auto"/>
                <w:kern w:val="0"/>
                <w:szCs w:val="21"/>
                <w:highlight w:val="none"/>
              </w:rPr>
              <w:t>本项目建设内容</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color w:val="auto"/>
                <w:highlight w:val="none"/>
              </w:rPr>
            </w:pPr>
            <w:r>
              <w:rPr>
                <w:rFonts w:hint="eastAsia" w:cs="Times New Roman"/>
                <w:bCs/>
                <w:color w:val="auto"/>
                <w:kern w:val="0"/>
                <w:szCs w:val="21"/>
                <w:highlight w:val="none"/>
                <w:lang w:eastAsia="zh-CN"/>
              </w:rPr>
              <w:t>本项目租赁现有厂房二层区域进行建设，建成后主要由主体工程、公用工程和环保工程等内容组成。</w:t>
            </w:r>
            <w:r>
              <w:rPr>
                <w:rFonts w:hint="default" w:ascii="Times New Roman" w:hAnsi="Times New Roman" w:cs="Times New Roman"/>
                <w:bCs/>
                <w:color w:val="auto"/>
                <w:kern w:val="0"/>
                <w:szCs w:val="21"/>
                <w:highlight w:val="none"/>
                <w:lang w:eastAsia="zh-CN"/>
              </w:rPr>
              <w:t>具体</w:t>
            </w:r>
            <w:r>
              <w:rPr>
                <w:rFonts w:hint="default" w:ascii="Times New Roman" w:hAnsi="Times New Roman" w:cs="Times New Roman"/>
                <w:bCs/>
                <w:color w:val="auto"/>
                <w:kern w:val="0"/>
                <w:szCs w:val="21"/>
                <w:highlight w:val="none"/>
              </w:rPr>
              <w:t>组成见</w:t>
            </w:r>
            <w:r>
              <w:rPr>
                <w:rFonts w:hint="default" w:ascii="Times New Roman" w:hAnsi="Times New Roman" w:cs="Times New Roman"/>
                <w:bCs/>
                <w:color w:val="auto"/>
                <w:kern w:val="0"/>
                <w:szCs w:val="21"/>
                <w:highlight w:val="none"/>
                <w:lang w:eastAsia="zh-CN"/>
              </w:rPr>
              <w:t>下表</w:t>
            </w:r>
            <w:r>
              <w:rPr>
                <w:rFonts w:hint="default" w:ascii="Times New Roman" w:hAnsi="Times New Roman" w:cs="Times New Roman"/>
                <w:bCs/>
                <w:color w:val="auto"/>
                <w:kern w:val="0"/>
                <w:szCs w:val="21"/>
                <w:highlight w:val="none"/>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项目主要建设内容一览表</w:t>
            </w:r>
          </w:p>
          <w:tbl>
            <w:tblPr>
              <w:tblStyle w:val="2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1045"/>
              <w:gridCol w:w="1740"/>
              <w:gridCol w:w="3247"/>
              <w:gridCol w:w="127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类别</w:t>
                  </w:r>
                </w:p>
              </w:tc>
              <w:tc>
                <w:tcPr>
                  <w:tcW w:w="62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名称</w:t>
                  </w:r>
                </w:p>
              </w:tc>
              <w:tc>
                <w:tcPr>
                  <w:tcW w:w="3001"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建设内容</w:t>
                  </w:r>
                </w:p>
              </w:tc>
              <w:tc>
                <w:tcPr>
                  <w:tcW w:w="76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eastAsia" w:cs="Times New Roman"/>
                      <w:snapToGrid w:val="0"/>
                      <w:color w:val="auto"/>
                      <w:kern w:val="0"/>
                      <w:sz w:val="18"/>
                      <w:szCs w:val="18"/>
                      <w:highlight w:val="none"/>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主体工程</w:t>
                  </w:r>
                </w:p>
              </w:tc>
              <w:tc>
                <w:tcPr>
                  <w:tcW w:w="62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生产车间</w:t>
                  </w:r>
                </w:p>
              </w:tc>
              <w:tc>
                <w:tcPr>
                  <w:tcW w:w="3001"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租赁现有厂区</w:t>
                  </w:r>
                  <w:r>
                    <w:rPr>
                      <w:rFonts w:hint="eastAsia" w:cs="Times New Roman"/>
                      <w:snapToGrid w:val="0"/>
                      <w:color w:val="auto"/>
                      <w:kern w:val="0"/>
                      <w:sz w:val="18"/>
                      <w:szCs w:val="18"/>
                      <w:highlight w:val="none"/>
                      <w:lang w:val="en-US" w:eastAsia="zh-CN"/>
                    </w:rPr>
                    <w:t>内厂房</w:t>
                  </w:r>
                  <w:r>
                    <w:rPr>
                      <w:rFonts w:hint="default" w:ascii="Times New Roman" w:hAnsi="Times New Roman" w:cs="Times New Roman"/>
                      <w:snapToGrid w:val="0"/>
                      <w:color w:val="auto"/>
                      <w:kern w:val="0"/>
                      <w:sz w:val="18"/>
                      <w:szCs w:val="18"/>
                      <w:highlight w:val="none"/>
                      <w:lang w:val="en-US" w:eastAsia="zh-CN"/>
                    </w:rPr>
                    <w:t>建设，</w:t>
                  </w:r>
                  <w:r>
                    <w:rPr>
                      <w:rFonts w:hint="eastAsia" w:cs="Times New Roman"/>
                      <w:snapToGrid w:val="0"/>
                      <w:color w:val="auto"/>
                      <w:kern w:val="0"/>
                      <w:sz w:val="18"/>
                      <w:szCs w:val="18"/>
                      <w:highlight w:val="none"/>
                      <w:lang w:val="en-US" w:eastAsia="zh-CN"/>
                    </w:rPr>
                    <w:t>该厂房</w:t>
                  </w:r>
                  <w:r>
                    <w:rPr>
                      <w:rFonts w:hint="default" w:ascii="Times New Roman" w:hAnsi="Times New Roman" w:cs="Times New Roman"/>
                      <w:snapToGrid w:val="0"/>
                      <w:color w:val="auto"/>
                      <w:kern w:val="0"/>
                      <w:sz w:val="18"/>
                      <w:szCs w:val="18"/>
                      <w:highlight w:val="none"/>
                      <w:lang w:val="en-US" w:eastAsia="zh-CN"/>
                    </w:rPr>
                    <w:t>共</w:t>
                  </w:r>
                  <w:r>
                    <w:rPr>
                      <w:rFonts w:hint="eastAsia" w:cs="Times New Roman"/>
                      <w:snapToGrid w:val="0"/>
                      <w:color w:val="auto"/>
                      <w:kern w:val="0"/>
                      <w:sz w:val="18"/>
                      <w:szCs w:val="18"/>
                      <w:highlight w:val="none"/>
                      <w:lang w:val="en-US" w:eastAsia="zh-CN"/>
                    </w:rPr>
                    <w:t>2</w:t>
                  </w:r>
                  <w:r>
                    <w:rPr>
                      <w:rFonts w:hint="default" w:ascii="Times New Roman" w:hAnsi="Times New Roman" w:cs="Times New Roman"/>
                      <w:snapToGrid w:val="0"/>
                      <w:color w:val="auto"/>
                      <w:kern w:val="0"/>
                      <w:sz w:val="18"/>
                      <w:szCs w:val="18"/>
                      <w:highlight w:val="none"/>
                      <w:lang w:val="en-US" w:eastAsia="zh-CN"/>
                    </w:rPr>
                    <w:t>层，钢结构，本次仅租用</w:t>
                  </w:r>
                  <w:r>
                    <w:rPr>
                      <w:rFonts w:hint="eastAsia" w:cs="Times New Roman"/>
                      <w:snapToGrid w:val="0"/>
                      <w:color w:val="auto"/>
                      <w:kern w:val="0"/>
                      <w:sz w:val="18"/>
                      <w:szCs w:val="18"/>
                      <w:highlight w:val="none"/>
                      <w:lang w:val="en-US" w:eastAsia="zh-CN"/>
                    </w:rPr>
                    <w:t>一</w:t>
                  </w:r>
                  <w:r>
                    <w:rPr>
                      <w:rFonts w:hint="default" w:ascii="Times New Roman" w:hAnsi="Times New Roman" w:cs="Times New Roman"/>
                      <w:snapToGrid w:val="0"/>
                      <w:color w:val="auto"/>
                      <w:kern w:val="0"/>
                      <w:sz w:val="18"/>
                      <w:szCs w:val="18"/>
                      <w:highlight w:val="none"/>
                      <w:lang w:val="en-US" w:eastAsia="zh-CN"/>
                    </w:rPr>
                    <w:t>层区域，租赁</w:t>
                  </w:r>
                  <w:r>
                    <w:rPr>
                      <w:rFonts w:hint="eastAsia" w:cs="Times New Roman"/>
                      <w:snapToGrid w:val="0"/>
                      <w:color w:val="auto"/>
                      <w:kern w:val="0"/>
                      <w:sz w:val="18"/>
                      <w:szCs w:val="18"/>
                      <w:highlight w:val="none"/>
                      <w:lang w:val="en-US" w:eastAsia="zh-CN"/>
                    </w:rPr>
                    <w:t>区域建筑面积1500m</w:t>
                  </w:r>
                  <w:r>
                    <w:rPr>
                      <w:rFonts w:hint="eastAsia" w:cs="Times New Roman"/>
                      <w:snapToGrid w:val="0"/>
                      <w:color w:val="auto"/>
                      <w:kern w:val="0"/>
                      <w:sz w:val="18"/>
                      <w:szCs w:val="18"/>
                      <w:highlight w:val="none"/>
                      <w:vertAlign w:val="superscript"/>
                      <w:lang w:val="en-US" w:eastAsia="zh-CN"/>
                    </w:rPr>
                    <w:t>2</w:t>
                  </w:r>
                  <w:r>
                    <w:rPr>
                      <w:rFonts w:hint="eastAsia" w:cs="Times New Roman"/>
                      <w:snapToGrid w:val="0"/>
                      <w:color w:val="auto"/>
                      <w:kern w:val="0"/>
                      <w:sz w:val="18"/>
                      <w:szCs w:val="18"/>
                      <w:highlight w:val="none"/>
                      <w:vertAlign w:val="baseline"/>
                      <w:lang w:val="en-US" w:eastAsia="zh-CN"/>
                    </w:rPr>
                    <w:t>（租赁协议中不含办公用房区面积）</w:t>
                  </w:r>
                  <w:r>
                    <w:rPr>
                      <w:rFonts w:hint="default" w:ascii="Times New Roman" w:hAnsi="Times New Roman" w:cs="Times New Roman"/>
                      <w:snapToGrid w:val="0"/>
                      <w:color w:val="auto"/>
                      <w:kern w:val="0"/>
                      <w:sz w:val="18"/>
                      <w:szCs w:val="18"/>
                      <w:highlight w:val="none"/>
                      <w:lang w:val="en-US" w:eastAsia="zh-CN"/>
                    </w:rPr>
                    <w:t>，</w:t>
                  </w:r>
                  <w:r>
                    <w:rPr>
                      <w:rFonts w:hint="eastAsia" w:cs="Times New Roman"/>
                      <w:snapToGrid w:val="0"/>
                      <w:color w:val="auto"/>
                      <w:kern w:val="0"/>
                      <w:sz w:val="18"/>
                      <w:szCs w:val="18"/>
                      <w:highlight w:val="none"/>
                      <w:lang w:val="en-US" w:eastAsia="zh-CN"/>
                    </w:rPr>
                    <w:t>项目主要建设内容包括：注液封口区（300m</w:t>
                  </w:r>
                  <w:r>
                    <w:rPr>
                      <w:rFonts w:hint="eastAsia" w:cs="Times New Roman"/>
                      <w:snapToGrid w:val="0"/>
                      <w:color w:val="auto"/>
                      <w:kern w:val="0"/>
                      <w:sz w:val="18"/>
                      <w:szCs w:val="18"/>
                      <w:highlight w:val="none"/>
                      <w:vertAlign w:val="superscript"/>
                      <w:lang w:val="en-US" w:eastAsia="zh-CN"/>
                    </w:rPr>
                    <w:t>2</w:t>
                  </w:r>
                  <w:r>
                    <w:rPr>
                      <w:rFonts w:hint="eastAsia" w:cs="Times New Roman"/>
                      <w:snapToGrid w:val="0"/>
                      <w:color w:val="auto"/>
                      <w:kern w:val="0"/>
                      <w:sz w:val="18"/>
                      <w:szCs w:val="18"/>
                      <w:highlight w:val="none"/>
                      <w:lang w:val="en-US" w:eastAsia="zh-CN"/>
                    </w:rPr>
                    <w:t>）、焊接装配区（150m</w:t>
                  </w:r>
                  <w:r>
                    <w:rPr>
                      <w:rFonts w:hint="eastAsia" w:cs="Times New Roman"/>
                      <w:snapToGrid w:val="0"/>
                      <w:color w:val="auto"/>
                      <w:kern w:val="0"/>
                      <w:sz w:val="18"/>
                      <w:szCs w:val="18"/>
                      <w:highlight w:val="none"/>
                      <w:vertAlign w:val="superscript"/>
                      <w:lang w:val="en-US" w:eastAsia="zh-CN"/>
                    </w:rPr>
                    <w:t>2</w:t>
                  </w:r>
                  <w:r>
                    <w:rPr>
                      <w:rFonts w:hint="eastAsia" w:cs="Times New Roman"/>
                      <w:snapToGrid w:val="0"/>
                      <w:color w:val="auto"/>
                      <w:kern w:val="0"/>
                      <w:sz w:val="18"/>
                      <w:szCs w:val="18"/>
                      <w:highlight w:val="none"/>
                      <w:lang w:val="en-US" w:eastAsia="zh-CN"/>
                    </w:rPr>
                    <w:t>）、极片制作区（200m</w:t>
                  </w:r>
                  <w:r>
                    <w:rPr>
                      <w:rFonts w:hint="eastAsia" w:cs="Times New Roman"/>
                      <w:snapToGrid w:val="0"/>
                      <w:color w:val="auto"/>
                      <w:kern w:val="0"/>
                      <w:sz w:val="18"/>
                      <w:szCs w:val="18"/>
                      <w:highlight w:val="none"/>
                      <w:vertAlign w:val="superscript"/>
                      <w:lang w:val="en-US" w:eastAsia="zh-CN"/>
                    </w:rPr>
                    <w:t>2</w:t>
                  </w:r>
                  <w:r>
                    <w:rPr>
                      <w:rFonts w:hint="eastAsia" w:cs="Times New Roman"/>
                      <w:snapToGrid w:val="0"/>
                      <w:color w:val="auto"/>
                      <w:kern w:val="0"/>
                      <w:sz w:val="18"/>
                      <w:szCs w:val="18"/>
                      <w:highlight w:val="none"/>
                      <w:lang w:val="en-US" w:eastAsia="zh-CN"/>
                    </w:rPr>
                    <w:t>）、化成分容区（140m</w:t>
                  </w:r>
                  <w:r>
                    <w:rPr>
                      <w:rFonts w:hint="eastAsia" w:cs="Times New Roman"/>
                      <w:snapToGrid w:val="0"/>
                      <w:color w:val="auto"/>
                      <w:kern w:val="0"/>
                      <w:sz w:val="18"/>
                      <w:szCs w:val="18"/>
                      <w:highlight w:val="none"/>
                      <w:vertAlign w:val="superscript"/>
                      <w:lang w:val="en-US" w:eastAsia="zh-CN"/>
                    </w:rPr>
                    <w:t>2</w:t>
                  </w:r>
                  <w:r>
                    <w:rPr>
                      <w:rFonts w:hint="eastAsia" w:cs="Times New Roman"/>
                      <w:snapToGrid w:val="0"/>
                      <w:color w:val="auto"/>
                      <w:kern w:val="0"/>
                      <w:sz w:val="18"/>
                      <w:szCs w:val="18"/>
                      <w:highlight w:val="none"/>
                      <w:lang w:val="en-US" w:eastAsia="zh-CN"/>
                    </w:rPr>
                    <w:t>）、办公用房（82m</w:t>
                  </w:r>
                  <w:r>
                    <w:rPr>
                      <w:rFonts w:hint="eastAsia" w:cs="Times New Roman"/>
                      <w:snapToGrid w:val="0"/>
                      <w:color w:val="auto"/>
                      <w:kern w:val="0"/>
                      <w:sz w:val="18"/>
                      <w:szCs w:val="18"/>
                      <w:highlight w:val="none"/>
                      <w:vertAlign w:val="superscript"/>
                      <w:lang w:val="en-US" w:eastAsia="zh-CN"/>
                    </w:rPr>
                    <w:t>2</w:t>
                  </w:r>
                  <w:r>
                    <w:rPr>
                      <w:rFonts w:hint="eastAsia" w:cs="Times New Roman"/>
                      <w:snapToGrid w:val="0"/>
                      <w:color w:val="auto"/>
                      <w:kern w:val="0"/>
                      <w:sz w:val="18"/>
                      <w:szCs w:val="18"/>
                      <w:highlight w:val="none"/>
                      <w:lang w:val="en-US" w:eastAsia="zh-CN"/>
                    </w:rPr>
                    <w:t>）、成品区（300m</w:t>
                  </w:r>
                  <w:r>
                    <w:rPr>
                      <w:rFonts w:hint="eastAsia" w:cs="Times New Roman"/>
                      <w:snapToGrid w:val="0"/>
                      <w:color w:val="auto"/>
                      <w:kern w:val="0"/>
                      <w:sz w:val="18"/>
                      <w:szCs w:val="18"/>
                      <w:highlight w:val="none"/>
                      <w:vertAlign w:val="superscript"/>
                      <w:lang w:val="en-US" w:eastAsia="zh-CN"/>
                    </w:rPr>
                    <w:t>2</w:t>
                  </w:r>
                  <w:r>
                    <w:rPr>
                      <w:rFonts w:hint="eastAsia" w:cs="Times New Roman"/>
                      <w:snapToGrid w:val="0"/>
                      <w:color w:val="auto"/>
                      <w:kern w:val="0"/>
                      <w:sz w:val="18"/>
                      <w:szCs w:val="18"/>
                      <w:highlight w:val="none"/>
                      <w:lang w:val="en-US" w:eastAsia="zh-CN"/>
                    </w:rPr>
                    <w:t>）、检验包装间（35m</w:t>
                  </w:r>
                  <w:r>
                    <w:rPr>
                      <w:rFonts w:hint="eastAsia" w:cs="Times New Roman"/>
                      <w:snapToGrid w:val="0"/>
                      <w:color w:val="auto"/>
                      <w:kern w:val="0"/>
                      <w:sz w:val="18"/>
                      <w:szCs w:val="18"/>
                      <w:highlight w:val="none"/>
                      <w:vertAlign w:val="superscript"/>
                      <w:lang w:val="en-US" w:eastAsia="zh-CN"/>
                    </w:rPr>
                    <w:t>2</w:t>
                  </w:r>
                  <w:r>
                    <w:rPr>
                      <w:rFonts w:hint="eastAsia" w:cs="Times New Roman"/>
                      <w:snapToGrid w:val="0"/>
                      <w:color w:val="auto"/>
                      <w:kern w:val="0"/>
                      <w:sz w:val="18"/>
                      <w:szCs w:val="18"/>
                      <w:highlight w:val="none"/>
                      <w:lang w:val="en-US" w:eastAsia="zh-CN"/>
                    </w:rPr>
                    <w:t>）、原辅材料库（50m</w:t>
                  </w:r>
                  <w:r>
                    <w:rPr>
                      <w:rFonts w:hint="eastAsia" w:cs="Times New Roman"/>
                      <w:snapToGrid w:val="0"/>
                      <w:color w:val="auto"/>
                      <w:kern w:val="0"/>
                      <w:sz w:val="18"/>
                      <w:szCs w:val="18"/>
                      <w:highlight w:val="none"/>
                      <w:vertAlign w:val="superscript"/>
                      <w:lang w:val="en-US" w:eastAsia="zh-CN"/>
                    </w:rPr>
                    <w:t>2</w:t>
                  </w:r>
                  <w:r>
                    <w:rPr>
                      <w:rFonts w:hint="eastAsia" w:cs="Times New Roman"/>
                      <w:snapToGrid w:val="0"/>
                      <w:color w:val="auto"/>
                      <w:kern w:val="0"/>
                      <w:sz w:val="18"/>
                      <w:szCs w:val="18"/>
                      <w:highlight w:val="none"/>
                      <w:lang w:val="en-US" w:eastAsia="zh-CN"/>
                    </w:rPr>
                    <w:t>）、一般固废暂存间（20m</w:t>
                  </w:r>
                  <w:r>
                    <w:rPr>
                      <w:rFonts w:hint="eastAsia" w:cs="Times New Roman"/>
                      <w:snapToGrid w:val="0"/>
                      <w:color w:val="auto"/>
                      <w:kern w:val="0"/>
                      <w:sz w:val="18"/>
                      <w:szCs w:val="18"/>
                      <w:highlight w:val="none"/>
                      <w:vertAlign w:val="superscript"/>
                      <w:lang w:val="en-US" w:eastAsia="zh-CN"/>
                    </w:rPr>
                    <w:t>2</w:t>
                  </w:r>
                  <w:r>
                    <w:rPr>
                      <w:rFonts w:hint="eastAsia" w:cs="Times New Roman"/>
                      <w:snapToGrid w:val="0"/>
                      <w:color w:val="auto"/>
                      <w:kern w:val="0"/>
                      <w:sz w:val="18"/>
                      <w:szCs w:val="18"/>
                      <w:highlight w:val="none"/>
                      <w:lang w:val="en-US" w:eastAsia="zh-CN"/>
                    </w:rPr>
                    <w:t>）、危险固废暂存间（15m</w:t>
                  </w:r>
                  <w:r>
                    <w:rPr>
                      <w:rFonts w:hint="eastAsia" w:cs="Times New Roman"/>
                      <w:snapToGrid w:val="0"/>
                      <w:color w:val="auto"/>
                      <w:kern w:val="0"/>
                      <w:sz w:val="18"/>
                      <w:szCs w:val="18"/>
                      <w:highlight w:val="none"/>
                      <w:vertAlign w:val="superscript"/>
                      <w:lang w:val="en-US" w:eastAsia="zh-CN"/>
                    </w:rPr>
                    <w:t>2</w:t>
                  </w:r>
                  <w:r>
                    <w:rPr>
                      <w:rFonts w:hint="eastAsia" w:cs="Times New Roman"/>
                      <w:snapToGrid w:val="0"/>
                      <w:color w:val="auto"/>
                      <w:kern w:val="0"/>
                      <w:sz w:val="18"/>
                      <w:szCs w:val="18"/>
                      <w:highlight w:val="none"/>
                      <w:lang w:val="en-US" w:eastAsia="zh-CN"/>
                    </w:rPr>
                    <w:t>）及其他区域（包括卫生间、过道、周转区等，共计208m</w:t>
                  </w:r>
                  <w:r>
                    <w:rPr>
                      <w:rFonts w:hint="eastAsia" w:cs="Times New Roman"/>
                      <w:snapToGrid w:val="0"/>
                      <w:color w:val="auto"/>
                      <w:kern w:val="0"/>
                      <w:sz w:val="18"/>
                      <w:szCs w:val="18"/>
                      <w:highlight w:val="none"/>
                      <w:vertAlign w:val="superscript"/>
                      <w:lang w:val="en-US" w:eastAsia="zh-CN"/>
                    </w:rPr>
                    <w:t>2</w:t>
                  </w:r>
                  <w:r>
                    <w:rPr>
                      <w:rFonts w:hint="eastAsia" w:cs="Times New Roman"/>
                      <w:snapToGrid w:val="0"/>
                      <w:color w:val="auto"/>
                      <w:kern w:val="0"/>
                      <w:sz w:val="18"/>
                      <w:szCs w:val="18"/>
                      <w:highlight w:val="none"/>
                      <w:lang w:val="en-US" w:eastAsia="zh-CN"/>
                    </w:rPr>
                    <w:t>）</w:t>
                  </w:r>
                </w:p>
              </w:tc>
              <w:tc>
                <w:tcPr>
                  <w:tcW w:w="76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val="en-US" w:eastAsia="zh-CN"/>
                    </w:rPr>
                  </w:pPr>
                  <w:r>
                    <w:rPr>
                      <w:rFonts w:hint="eastAsia" w:cs="Times New Roman"/>
                      <w:snapToGrid w:val="0"/>
                      <w:color w:val="auto"/>
                      <w:kern w:val="0"/>
                      <w:sz w:val="18"/>
                      <w:szCs w:val="18"/>
                      <w:highlight w:val="none"/>
                      <w:lang w:val="en-US" w:eastAsia="zh-CN"/>
                    </w:rPr>
                    <w:t>租赁现有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公用工程</w:t>
                  </w:r>
                </w:p>
              </w:tc>
              <w:tc>
                <w:tcPr>
                  <w:tcW w:w="62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sz w:val="18"/>
                      <w:szCs w:val="18"/>
                      <w:highlight w:val="none"/>
                    </w:rPr>
                  </w:pPr>
                  <w:r>
                    <w:rPr>
                      <w:rFonts w:hint="default" w:ascii="Times New Roman" w:hAnsi="Times New Roman" w:cs="Times New Roman"/>
                      <w:snapToGrid w:val="0"/>
                      <w:color w:val="auto"/>
                      <w:sz w:val="18"/>
                      <w:szCs w:val="18"/>
                      <w:highlight w:val="none"/>
                    </w:rPr>
                    <w:t>供水</w:t>
                  </w:r>
                </w:p>
              </w:tc>
              <w:tc>
                <w:tcPr>
                  <w:tcW w:w="3001"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sz w:val="18"/>
                      <w:szCs w:val="18"/>
                      <w:highlight w:val="none"/>
                      <w:lang w:eastAsia="zh-CN"/>
                    </w:rPr>
                  </w:pPr>
                  <w:r>
                    <w:rPr>
                      <w:rFonts w:hint="eastAsia" w:cs="Times New Roman"/>
                      <w:snapToGrid w:val="0"/>
                      <w:color w:val="auto"/>
                      <w:sz w:val="18"/>
                      <w:szCs w:val="18"/>
                      <w:highlight w:val="none"/>
                      <w:lang w:eastAsia="zh-CN"/>
                    </w:rPr>
                    <w:t>市政供水</w:t>
                  </w:r>
                </w:p>
              </w:tc>
              <w:tc>
                <w:tcPr>
                  <w:tcW w:w="76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cs="Times New Roman"/>
                      <w:snapToGrid w:val="0"/>
                      <w:color w:val="auto"/>
                      <w:sz w:val="18"/>
                      <w:szCs w:val="18"/>
                      <w:highlight w:val="none"/>
                      <w:lang w:eastAsia="zh-CN"/>
                    </w:rPr>
                  </w:pPr>
                  <w:r>
                    <w:rPr>
                      <w:rFonts w:hint="eastAsia" w:cs="Times New Roman"/>
                      <w:color w:val="auto"/>
                      <w:sz w:val="18"/>
                      <w:szCs w:val="18"/>
                      <w:highlight w:val="none"/>
                      <w:lang w:eastAsia="zh-CN"/>
                    </w:rPr>
                    <w:t>利用租赁厂区已建供水系统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62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排水</w:t>
                  </w:r>
                </w:p>
              </w:tc>
              <w:tc>
                <w:tcPr>
                  <w:tcW w:w="3001"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eastAsia="zh-CN"/>
                    </w:rPr>
                    <w:t>生活污水经</w:t>
                  </w:r>
                  <w:r>
                    <w:rPr>
                      <w:rFonts w:hint="eastAsia" w:cs="Times New Roman"/>
                      <w:snapToGrid w:val="0"/>
                      <w:color w:val="auto"/>
                      <w:kern w:val="0"/>
                      <w:sz w:val="18"/>
                      <w:szCs w:val="18"/>
                      <w:highlight w:val="none"/>
                      <w:lang w:eastAsia="zh-CN"/>
                    </w:rPr>
                    <w:t>自建</w:t>
                  </w:r>
                  <w:r>
                    <w:rPr>
                      <w:rFonts w:hint="eastAsia" w:cs="Times New Roman"/>
                      <w:snapToGrid w:val="0"/>
                      <w:color w:val="auto"/>
                      <w:kern w:val="0"/>
                      <w:sz w:val="18"/>
                      <w:szCs w:val="18"/>
                      <w:highlight w:val="none"/>
                      <w:lang w:val="en-US" w:eastAsia="zh-CN"/>
                    </w:rPr>
                    <w:t>1套地埋式A/O一体化污水处理设施（处理工艺：格栅+调节池+A级池+O级池+沉淀池）</w:t>
                  </w:r>
                  <w:r>
                    <w:rPr>
                      <w:rFonts w:hint="default" w:ascii="Times New Roman" w:hAnsi="Times New Roman" w:cs="Times New Roman"/>
                      <w:snapToGrid w:val="0"/>
                      <w:color w:val="auto"/>
                      <w:kern w:val="0"/>
                      <w:sz w:val="18"/>
                      <w:szCs w:val="18"/>
                      <w:highlight w:val="none"/>
                      <w:lang w:eastAsia="zh-CN"/>
                    </w:rPr>
                    <w:t>处理后，</w:t>
                  </w:r>
                  <w:r>
                    <w:rPr>
                      <w:rFonts w:hint="eastAsia" w:cs="Times New Roman"/>
                      <w:snapToGrid w:val="0"/>
                      <w:color w:val="auto"/>
                      <w:kern w:val="0"/>
                      <w:sz w:val="18"/>
                      <w:szCs w:val="18"/>
                      <w:highlight w:val="none"/>
                      <w:lang w:eastAsia="zh-CN"/>
                    </w:rPr>
                    <w:t>通过污水管网排入新乡市小尚庄污水处理厂进行进一步处理。待后期区域规划新乡市凤泉区污水处理厂建成后排入新乡市凤泉区污水处理厂处理；</w:t>
                  </w:r>
                </w:p>
              </w:tc>
              <w:tc>
                <w:tcPr>
                  <w:tcW w:w="76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eastAsia" w:cs="Times New Roman"/>
                      <w:snapToGrid w:val="0"/>
                      <w:color w:val="auto"/>
                      <w:kern w:val="0"/>
                      <w:sz w:val="18"/>
                      <w:szCs w:val="18"/>
                      <w:highlight w:val="none"/>
                      <w:lang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62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供电</w:t>
                  </w:r>
                </w:p>
              </w:tc>
              <w:tc>
                <w:tcPr>
                  <w:tcW w:w="3001"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color w:val="auto"/>
                      <w:sz w:val="18"/>
                      <w:szCs w:val="18"/>
                      <w:highlight w:val="none"/>
                      <w:lang w:eastAsia="zh-CN"/>
                    </w:rPr>
                    <w:t>市政供电管网</w:t>
                  </w:r>
                </w:p>
              </w:tc>
              <w:tc>
                <w:tcPr>
                  <w:tcW w:w="76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color w:val="auto"/>
                      <w:sz w:val="18"/>
                      <w:szCs w:val="18"/>
                      <w:highlight w:val="none"/>
                      <w:lang w:eastAsia="zh-CN"/>
                    </w:rPr>
                  </w:pPr>
                  <w:r>
                    <w:rPr>
                      <w:rFonts w:hint="eastAsia" w:cs="Times New Roman"/>
                      <w:color w:val="auto"/>
                      <w:sz w:val="18"/>
                      <w:szCs w:val="18"/>
                      <w:highlight w:val="none"/>
                      <w:lang w:eastAsia="zh-CN"/>
                    </w:rPr>
                    <w:t>利用租赁厂区内已建电路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环保工程</w:t>
                  </w:r>
                </w:p>
              </w:tc>
              <w:tc>
                <w:tcPr>
                  <w:tcW w:w="62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rPr>
                    <w:t>废气</w:t>
                  </w:r>
                  <w:r>
                    <w:rPr>
                      <w:rFonts w:hint="default" w:ascii="Times New Roman" w:hAnsi="Times New Roman" w:cs="Times New Roman"/>
                      <w:snapToGrid w:val="0"/>
                      <w:color w:val="auto"/>
                      <w:kern w:val="0"/>
                      <w:sz w:val="18"/>
                      <w:szCs w:val="18"/>
                      <w:highlight w:val="none"/>
                      <w:lang w:eastAsia="zh-CN"/>
                    </w:rPr>
                    <w:t>治理</w:t>
                  </w:r>
                </w:p>
              </w:tc>
              <w:tc>
                <w:tcPr>
                  <w:tcW w:w="104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2"/>
                      <w:sz w:val="18"/>
                      <w:szCs w:val="18"/>
                      <w:highlight w:val="none"/>
                      <w:lang w:val="en-US" w:eastAsia="zh-CN" w:bidi="ar-SA"/>
                    </w:rPr>
                  </w:pPr>
                  <w:r>
                    <w:rPr>
                      <w:rFonts w:hint="eastAsia" w:cs="Times New Roman"/>
                      <w:snapToGrid w:val="0"/>
                      <w:color w:val="auto"/>
                      <w:kern w:val="2"/>
                      <w:sz w:val="18"/>
                      <w:szCs w:val="18"/>
                      <w:highlight w:val="none"/>
                      <w:lang w:val="en-US" w:eastAsia="zh-CN" w:bidi="ar-SA"/>
                    </w:rPr>
                    <w:t>注液工序</w:t>
                  </w:r>
                </w:p>
              </w:tc>
              <w:tc>
                <w:tcPr>
                  <w:tcW w:w="195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kern w:val="2"/>
                      <w:sz w:val="18"/>
                      <w:szCs w:val="18"/>
                      <w:highlight w:val="none"/>
                      <w:lang w:val="en-US" w:eastAsia="zh-CN" w:bidi="ar-SA"/>
                    </w:rPr>
                  </w:pPr>
                  <w:r>
                    <w:rPr>
                      <w:rFonts w:hint="default" w:ascii="Times New Roman" w:hAnsi="Times New Roman" w:cs="Times New Roman"/>
                      <w:snapToGrid w:val="0"/>
                      <w:color w:val="auto"/>
                      <w:kern w:val="2"/>
                      <w:sz w:val="18"/>
                      <w:szCs w:val="18"/>
                      <w:highlight w:val="none"/>
                      <w:lang w:val="en-US" w:eastAsia="zh-CN" w:bidi="ar-SA"/>
                    </w:rPr>
                    <w:t>1套</w:t>
                  </w:r>
                  <w:r>
                    <w:rPr>
                      <w:rFonts w:hint="default" w:ascii="Times New Roman" w:hAnsi="Times New Roman"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UV光催化氧化+活性炭吸附</w:t>
                  </w:r>
                  <w:r>
                    <w:rPr>
                      <w:rFonts w:hint="default" w:ascii="Times New Roman" w:hAnsi="Times New Roman" w:cs="Times New Roman"/>
                      <w:color w:val="auto"/>
                      <w:sz w:val="18"/>
                      <w:szCs w:val="18"/>
                      <w:highlight w:val="none"/>
                      <w:lang w:val="en-US" w:eastAsia="zh-CN"/>
                    </w:rPr>
                    <w:t>”</w:t>
                  </w:r>
                  <w:r>
                    <w:rPr>
                      <w:rFonts w:hint="default" w:ascii="Times New Roman" w:hAnsi="Times New Roman" w:cs="Times New Roman"/>
                      <w:snapToGrid w:val="0"/>
                      <w:color w:val="auto"/>
                      <w:kern w:val="2"/>
                      <w:sz w:val="18"/>
                      <w:szCs w:val="18"/>
                      <w:highlight w:val="none"/>
                      <w:lang w:val="en-US" w:eastAsia="zh-CN" w:bidi="ar-SA"/>
                    </w:rPr>
                    <w:t>装置（TA00</w:t>
                  </w:r>
                  <w:r>
                    <w:rPr>
                      <w:rFonts w:hint="eastAsia" w:ascii="Times New Roman" w:hAnsi="Times New Roman" w:cs="Times New Roman"/>
                      <w:snapToGrid w:val="0"/>
                      <w:color w:val="auto"/>
                      <w:kern w:val="2"/>
                      <w:sz w:val="18"/>
                      <w:szCs w:val="18"/>
                      <w:highlight w:val="none"/>
                      <w:lang w:val="en-US" w:eastAsia="zh-CN" w:bidi="ar-SA"/>
                    </w:rPr>
                    <w:t>1</w:t>
                  </w:r>
                  <w:r>
                    <w:rPr>
                      <w:rFonts w:hint="default" w:ascii="Times New Roman" w:hAnsi="Times New Roman" w:cs="Times New Roman"/>
                      <w:snapToGrid w:val="0"/>
                      <w:color w:val="auto"/>
                      <w:kern w:val="2"/>
                      <w:sz w:val="18"/>
                      <w:szCs w:val="18"/>
                      <w:highlight w:val="none"/>
                      <w:lang w:val="en-US" w:eastAsia="zh-CN" w:bidi="ar-SA"/>
                    </w:rPr>
                    <w:t>）+15m高排气筒（DA00</w:t>
                  </w:r>
                  <w:r>
                    <w:rPr>
                      <w:rFonts w:hint="eastAsia" w:ascii="Times New Roman" w:hAnsi="Times New Roman" w:cs="Times New Roman"/>
                      <w:snapToGrid w:val="0"/>
                      <w:color w:val="auto"/>
                      <w:kern w:val="2"/>
                      <w:sz w:val="18"/>
                      <w:szCs w:val="18"/>
                      <w:highlight w:val="none"/>
                      <w:lang w:val="en-US" w:eastAsia="zh-CN" w:bidi="ar-SA"/>
                    </w:rPr>
                    <w:t>1</w:t>
                  </w:r>
                  <w:r>
                    <w:rPr>
                      <w:rFonts w:hint="default" w:ascii="Times New Roman" w:hAnsi="Times New Roman" w:cs="Times New Roman"/>
                      <w:snapToGrid w:val="0"/>
                      <w:color w:val="auto"/>
                      <w:kern w:val="2"/>
                      <w:sz w:val="18"/>
                      <w:szCs w:val="18"/>
                      <w:highlight w:val="none"/>
                      <w:lang w:val="en-US" w:eastAsia="zh-CN" w:bidi="ar-SA"/>
                    </w:rPr>
                    <w:t>）</w:t>
                  </w:r>
                </w:p>
              </w:tc>
              <w:tc>
                <w:tcPr>
                  <w:tcW w:w="76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2"/>
                      <w:sz w:val="18"/>
                      <w:szCs w:val="18"/>
                      <w:highlight w:val="none"/>
                      <w:lang w:val="en-US" w:eastAsia="zh-CN" w:bidi="ar-SA"/>
                    </w:rPr>
                  </w:pPr>
                  <w:r>
                    <w:rPr>
                      <w:rFonts w:hint="eastAsia" w:ascii="Times New Roman" w:hAnsi="Times New Roman" w:cs="Times New Roman"/>
                      <w:snapToGrid w:val="0"/>
                      <w:color w:val="auto"/>
                      <w:kern w:val="2"/>
                      <w:sz w:val="18"/>
                      <w:szCs w:val="18"/>
                      <w:highlight w:val="none"/>
                      <w:lang w:val="en-US" w:eastAsia="zh-CN" w:bidi="ar-SA"/>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cyan"/>
                    </w:rPr>
                  </w:pPr>
                </w:p>
              </w:tc>
              <w:tc>
                <w:tcPr>
                  <w:tcW w:w="62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废水治理</w:t>
                  </w:r>
                </w:p>
              </w:tc>
              <w:tc>
                <w:tcPr>
                  <w:tcW w:w="104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生活污水</w:t>
                  </w:r>
                </w:p>
              </w:tc>
              <w:tc>
                <w:tcPr>
                  <w:tcW w:w="195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w:t>
                  </w:r>
                  <w:r>
                    <w:rPr>
                      <w:rFonts w:hint="eastAsia" w:cs="Times New Roman"/>
                      <w:snapToGrid w:val="0"/>
                      <w:color w:val="auto"/>
                      <w:kern w:val="0"/>
                      <w:sz w:val="18"/>
                      <w:szCs w:val="18"/>
                      <w:highlight w:val="none"/>
                      <w:lang w:val="en-US" w:eastAsia="zh-CN"/>
                    </w:rPr>
                    <w:t>套地埋式A/O一体化污水处理设施，处理规模1.5t/d</w:t>
                  </w:r>
                </w:p>
              </w:tc>
              <w:tc>
                <w:tcPr>
                  <w:tcW w:w="76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val="en-US" w:eastAsia="zh-CN"/>
                    </w:rPr>
                  </w:pPr>
                  <w:r>
                    <w:rPr>
                      <w:rFonts w:hint="eastAsia" w:cs="Times New Roman"/>
                      <w:snapToGrid w:val="0"/>
                      <w:color w:val="auto"/>
                      <w:kern w:val="0"/>
                      <w:sz w:val="18"/>
                      <w:szCs w:val="18"/>
                      <w:highlight w:val="none"/>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cyan"/>
                    </w:rPr>
                  </w:pPr>
                </w:p>
              </w:tc>
              <w:tc>
                <w:tcPr>
                  <w:tcW w:w="629"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固废处置</w:t>
                  </w:r>
                </w:p>
              </w:tc>
              <w:tc>
                <w:tcPr>
                  <w:tcW w:w="104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eastAsiaTheme="minorEastAsia"/>
                      <w:color w:val="auto"/>
                      <w:kern w:val="2"/>
                      <w:sz w:val="18"/>
                      <w:szCs w:val="18"/>
                      <w:highlight w:val="none"/>
                      <w:lang w:val="en-US" w:eastAsia="zh-CN" w:bidi="ar-SA"/>
                    </w:rPr>
                    <w:t>原辅料废包装</w:t>
                  </w:r>
                </w:p>
              </w:tc>
              <w:tc>
                <w:tcPr>
                  <w:tcW w:w="1954"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sz w:val="18"/>
                      <w:szCs w:val="18"/>
                      <w:highlight w:val="none"/>
                      <w:lang w:val="en-US" w:eastAsia="zh-CN"/>
                    </w:rPr>
                  </w:pPr>
                  <w:r>
                    <w:rPr>
                      <w:rFonts w:hint="default" w:ascii="Times New Roman" w:hAnsi="Times New Roman" w:cs="Times New Roman"/>
                      <w:snapToGrid w:val="0"/>
                      <w:color w:val="auto"/>
                      <w:sz w:val="18"/>
                      <w:szCs w:val="18"/>
                      <w:highlight w:val="none"/>
                      <w:lang w:val="en-US" w:eastAsia="zh-CN"/>
                    </w:rPr>
                    <w:t>1间</w:t>
                  </w:r>
                  <w:r>
                    <w:rPr>
                      <w:rFonts w:hint="eastAsia" w:cs="Times New Roman"/>
                      <w:snapToGrid w:val="0"/>
                      <w:color w:val="auto"/>
                      <w:sz w:val="18"/>
                      <w:szCs w:val="18"/>
                      <w:highlight w:val="none"/>
                      <w:lang w:val="en-US" w:eastAsia="zh-CN"/>
                    </w:rPr>
                    <w:t>20</w:t>
                  </w:r>
                  <w:r>
                    <w:rPr>
                      <w:rFonts w:hint="default" w:ascii="Times New Roman" w:hAnsi="Times New Roman" w:cs="Times New Roman"/>
                      <w:snapToGrid w:val="0"/>
                      <w:color w:val="auto"/>
                      <w:sz w:val="18"/>
                      <w:szCs w:val="18"/>
                      <w:highlight w:val="none"/>
                      <w:lang w:val="en-US" w:eastAsia="zh-CN"/>
                    </w:rPr>
                    <w:t>m</w:t>
                  </w:r>
                  <w:r>
                    <w:rPr>
                      <w:rFonts w:hint="default" w:ascii="Times New Roman" w:hAnsi="Times New Roman" w:cs="Times New Roman"/>
                      <w:snapToGrid w:val="0"/>
                      <w:color w:val="auto"/>
                      <w:sz w:val="18"/>
                      <w:szCs w:val="18"/>
                      <w:highlight w:val="none"/>
                      <w:vertAlign w:val="superscript"/>
                      <w:lang w:val="en-US" w:eastAsia="zh-CN"/>
                    </w:rPr>
                    <w:t>2</w:t>
                  </w:r>
                  <w:r>
                    <w:rPr>
                      <w:rFonts w:hint="default" w:ascii="Times New Roman" w:hAnsi="Times New Roman" w:cs="Times New Roman"/>
                      <w:snapToGrid w:val="0"/>
                      <w:color w:val="auto"/>
                      <w:sz w:val="18"/>
                      <w:szCs w:val="18"/>
                      <w:highlight w:val="none"/>
                      <w:lang w:val="en-US" w:eastAsia="zh-CN"/>
                    </w:rPr>
                    <w:t>一般固废暂存间</w:t>
                  </w:r>
                </w:p>
              </w:tc>
              <w:tc>
                <w:tcPr>
                  <w:tcW w:w="766"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sz w:val="18"/>
                      <w:szCs w:val="18"/>
                      <w:highlight w:val="none"/>
                      <w:lang w:val="en-US" w:eastAsia="zh-CN"/>
                    </w:rPr>
                  </w:pPr>
                  <w:r>
                    <w:rPr>
                      <w:rFonts w:hint="eastAsia" w:cs="Times New Roman"/>
                      <w:snapToGrid w:val="0"/>
                      <w:color w:val="auto"/>
                      <w:sz w:val="18"/>
                      <w:szCs w:val="18"/>
                      <w:highlight w:val="none"/>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cyan"/>
                    </w:rPr>
                  </w:pP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p>
              </w:tc>
              <w:tc>
                <w:tcPr>
                  <w:tcW w:w="104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eastAsiaTheme="minorEastAsia"/>
                      <w:color w:val="auto"/>
                      <w:kern w:val="2"/>
                      <w:sz w:val="18"/>
                      <w:szCs w:val="18"/>
                      <w:highlight w:val="none"/>
                      <w:lang w:val="en-US" w:eastAsia="zh-CN" w:bidi="ar-SA"/>
                    </w:rPr>
                    <w:t>极片</w:t>
                  </w:r>
                  <w:r>
                    <w:rPr>
                      <w:rFonts w:hint="eastAsia" w:cs="Times New Roman" w:eastAsiaTheme="minorEastAsia"/>
                      <w:color w:val="auto"/>
                      <w:kern w:val="2"/>
                      <w:sz w:val="18"/>
                      <w:szCs w:val="18"/>
                      <w:highlight w:val="none"/>
                      <w:lang w:val="en-US" w:eastAsia="zh-CN" w:bidi="ar-SA"/>
                    </w:rPr>
                    <w:t>废</w:t>
                  </w:r>
                  <w:r>
                    <w:rPr>
                      <w:rFonts w:hint="default" w:ascii="Times New Roman" w:hAnsi="Times New Roman" w:cs="Times New Roman" w:eastAsiaTheme="minorEastAsia"/>
                      <w:color w:val="auto"/>
                      <w:kern w:val="2"/>
                      <w:sz w:val="18"/>
                      <w:szCs w:val="18"/>
                      <w:highlight w:val="none"/>
                      <w:lang w:val="en-US" w:eastAsia="zh-CN" w:bidi="ar-SA"/>
                    </w:rPr>
                    <w:t>边角料</w:t>
                  </w:r>
                </w:p>
              </w:tc>
              <w:tc>
                <w:tcPr>
                  <w:tcW w:w="19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sz w:val="18"/>
                      <w:szCs w:val="18"/>
                      <w:highlight w:val="none"/>
                      <w:lang w:val="en-US" w:eastAsia="zh-CN"/>
                    </w:rPr>
                  </w:pPr>
                </w:p>
              </w:tc>
              <w:tc>
                <w:tcPr>
                  <w:tcW w:w="76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cs="Times New Roman"/>
                      <w:snapToGrid w:val="0"/>
                      <w:color w:val="auto"/>
                      <w:sz w:val="18"/>
                      <w:szCs w:val="18"/>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cyan"/>
                    </w:rPr>
                  </w:pP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cyan"/>
                      <w:lang w:eastAsia="zh-CN"/>
                    </w:rPr>
                  </w:pPr>
                </w:p>
              </w:tc>
              <w:tc>
                <w:tcPr>
                  <w:tcW w:w="104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不合格电池</w:t>
                  </w:r>
                </w:p>
              </w:tc>
              <w:tc>
                <w:tcPr>
                  <w:tcW w:w="19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sz w:val="18"/>
                      <w:szCs w:val="18"/>
                      <w:highlight w:val="cyan"/>
                      <w:lang w:val="en-US" w:eastAsia="zh-CN"/>
                    </w:rPr>
                  </w:pPr>
                </w:p>
              </w:tc>
              <w:tc>
                <w:tcPr>
                  <w:tcW w:w="76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sz w:val="18"/>
                      <w:szCs w:val="18"/>
                      <w:highlight w:val="cyan"/>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cyan"/>
                    </w:rPr>
                  </w:pP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cyan"/>
                      <w:lang w:eastAsia="zh-CN"/>
                    </w:rPr>
                  </w:pPr>
                </w:p>
              </w:tc>
              <w:tc>
                <w:tcPr>
                  <w:tcW w:w="104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val="en-US" w:eastAsia="zh-CN"/>
                    </w:rPr>
                    <w:t>员工日常办公生活</w:t>
                  </w:r>
                </w:p>
              </w:tc>
              <w:tc>
                <w:tcPr>
                  <w:tcW w:w="195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sz w:val="18"/>
                      <w:szCs w:val="18"/>
                      <w:highlight w:val="none"/>
                      <w:lang w:val="en-US" w:eastAsia="zh-CN"/>
                    </w:rPr>
                  </w:pPr>
                  <w:r>
                    <w:rPr>
                      <w:rFonts w:hint="default" w:ascii="Times New Roman" w:hAnsi="Times New Roman" w:cs="Times New Roman"/>
                      <w:snapToGrid w:val="0"/>
                      <w:color w:val="auto"/>
                      <w:sz w:val="18"/>
                      <w:szCs w:val="18"/>
                      <w:highlight w:val="none"/>
                      <w:lang w:val="en-US" w:eastAsia="zh-CN"/>
                    </w:rPr>
                    <w:t>垃圾收集箱若干，定期交由环卫部门清运</w:t>
                  </w:r>
                </w:p>
              </w:tc>
              <w:tc>
                <w:tcPr>
                  <w:tcW w:w="76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sz w:val="18"/>
                      <w:szCs w:val="18"/>
                      <w:highlight w:val="none"/>
                      <w:lang w:val="en-US" w:eastAsia="zh-CN"/>
                    </w:rPr>
                  </w:pPr>
                  <w:r>
                    <w:rPr>
                      <w:rFonts w:hint="eastAsia" w:cs="Times New Roman"/>
                      <w:snapToGrid w:val="0"/>
                      <w:color w:val="auto"/>
                      <w:sz w:val="18"/>
                      <w:szCs w:val="18"/>
                      <w:highlight w:val="none"/>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cyan"/>
                    </w:rPr>
                  </w:pP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cyan"/>
                      <w:lang w:eastAsia="zh-CN"/>
                    </w:rPr>
                  </w:pPr>
                </w:p>
              </w:tc>
              <w:tc>
                <w:tcPr>
                  <w:tcW w:w="104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eastAsia="宋体" w:cs="Times New Roman"/>
                      <w:bCs/>
                      <w:color w:val="auto"/>
                      <w:kern w:val="2"/>
                      <w:sz w:val="18"/>
                      <w:szCs w:val="18"/>
                      <w:highlight w:val="none"/>
                      <w:lang w:val="en-US" w:eastAsia="zh-CN" w:bidi="ar-SA"/>
                    </w:rPr>
                    <w:t>废活性炭</w:t>
                  </w:r>
                </w:p>
              </w:tc>
              <w:tc>
                <w:tcPr>
                  <w:tcW w:w="1954"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sz w:val="18"/>
                      <w:szCs w:val="18"/>
                      <w:highlight w:val="none"/>
                      <w:lang w:val="en-US" w:eastAsia="zh-CN"/>
                    </w:rPr>
                  </w:pPr>
                  <w:r>
                    <w:rPr>
                      <w:rFonts w:hint="default" w:ascii="Times New Roman" w:hAnsi="Times New Roman" w:cs="Times New Roman"/>
                      <w:snapToGrid w:val="0"/>
                      <w:color w:val="auto"/>
                      <w:sz w:val="18"/>
                      <w:szCs w:val="18"/>
                      <w:highlight w:val="none"/>
                      <w:lang w:val="en-US" w:eastAsia="zh-CN"/>
                    </w:rPr>
                    <w:t>1间</w:t>
                  </w:r>
                  <w:r>
                    <w:rPr>
                      <w:rFonts w:hint="eastAsia" w:cs="Times New Roman"/>
                      <w:snapToGrid w:val="0"/>
                      <w:color w:val="auto"/>
                      <w:sz w:val="18"/>
                      <w:szCs w:val="18"/>
                      <w:highlight w:val="none"/>
                      <w:lang w:val="en-US" w:eastAsia="zh-CN"/>
                    </w:rPr>
                    <w:t>15</w:t>
                  </w:r>
                  <w:r>
                    <w:rPr>
                      <w:rFonts w:hint="default" w:ascii="Times New Roman" w:hAnsi="Times New Roman" w:cs="Times New Roman"/>
                      <w:snapToGrid w:val="0"/>
                      <w:color w:val="auto"/>
                      <w:sz w:val="18"/>
                      <w:szCs w:val="18"/>
                      <w:highlight w:val="none"/>
                      <w:lang w:val="en-US" w:eastAsia="zh-CN"/>
                    </w:rPr>
                    <w:t>m</w:t>
                  </w:r>
                  <w:r>
                    <w:rPr>
                      <w:rFonts w:hint="default" w:ascii="Times New Roman" w:hAnsi="Times New Roman" w:cs="Times New Roman"/>
                      <w:snapToGrid w:val="0"/>
                      <w:color w:val="auto"/>
                      <w:sz w:val="18"/>
                      <w:szCs w:val="18"/>
                      <w:highlight w:val="none"/>
                      <w:vertAlign w:val="superscript"/>
                      <w:lang w:val="en-US" w:eastAsia="zh-CN"/>
                    </w:rPr>
                    <w:t>2</w:t>
                  </w:r>
                  <w:r>
                    <w:rPr>
                      <w:rFonts w:hint="default" w:ascii="Times New Roman" w:hAnsi="Times New Roman" w:cs="Times New Roman"/>
                      <w:snapToGrid w:val="0"/>
                      <w:color w:val="auto"/>
                      <w:sz w:val="18"/>
                      <w:szCs w:val="18"/>
                      <w:highlight w:val="none"/>
                      <w:lang w:val="en-US" w:eastAsia="zh-CN"/>
                    </w:rPr>
                    <w:t>危险固废暂存间暂存，定期委托有资质危废单位回收处理</w:t>
                  </w:r>
                </w:p>
              </w:tc>
              <w:tc>
                <w:tcPr>
                  <w:tcW w:w="766"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sz w:val="18"/>
                      <w:szCs w:val="18"/>
                      <w:highlight w:val="none"/>
                      <w:lang w:val="en-US" w:eastAsia="zh-CN"/>
                    </w:rPr>
                  </w:pPr>
                  <w:r>
                    <w:rPr>
                      <w:rFonts w:hint="eastAsia" w:cs="Times New Roman"/>
                      <w:snapToGrid w:val="0"/>
                      <w:color w:val="auto"/>
                      <w:sz w:val="18"/>
                      <w:szCs w:val="18"/>
                      <w:highlight w:val="none"/>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cyan"/>
                    </w:rPr>
                  </w:pP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cyan"/>
                      <w:lang w:eastAsia="zh-CN"/>
                    </w:rPr>
                  </w:pPr>
                </w:p>
              </w:tc>
              <w:tc>
                <w:tcPr>
                  <w:tcW w:w="104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bCs/>
                      <w:color w:val="auto"/>
                      <w:kern w:val="2"/>
                      <w:sz w:val="18"/>
                      <w:szCs w:val="18"/>
                      <w:highlight w:val="none"/>
                      <w:lang w:val="en-US" w:eastAsia="zh-CN" w:bidi="ar-SA"/>
                    </w:rPr>
                    <w:t>废UV灯管</w:t>
                  </w:r>
                </w:p>
              </w:tc>
              <w:tc>
                <w:tcPr>
                  <w:tcW w:w="19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sz w:val="18"/>
                      <w:szCs w:val="18"/>
                      <w:highlight w:val="none"/>
                      <w:lang w:val="en-US" w:eastAsia="zh-CN"/>
                    </w:rPr>
                  </w:pPr>
                </w:p>
              </w:tc>
              <w:tc>
                <w:tcPr>
                  <w:tcW w:w="76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sz w:val="18"/>
                      <w:szCs w:val="18"/>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cyan"/>
                    </w:rPr>
                  </w:pP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cyan"/>
                      <w:lang w:eastAsia="zh-CN"/>
                    </w:rPr>
                  </w:pPr>
                </w:p>
              </w:tc>
              <w:tc>
                <w:tcPr>
                  <w:tcW w:w="104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bCs/>
                      <w:color w:val="auto"/>
                      <w:kern w:val="2"/>
                      <w:sz w:val="18"/>
                      <w:szCs w:val="18"/>
                      <w:highlight w:val="none"/>
                      <w:lang w:val="en-US" w:eastAsia="zh-CN" w:bidi="ar-SA"/>
                    </w:rPr>
                    <w:t>废润滑油</w:t>
                  </w:r>
                </w:p>
              </w:tc>
              <w:tc>
                <w:tcPr>
                  <w:tcW w:w="1954"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sz w:val="18"/>
                      <w:szCs w:val="18"/>
                      <w:highlight w:val="none"/>
                      <w:lang w:val="en-US" w:eastAsia="zh-CN"/>
                    </w:rPr>
                  </w:pPr>
                </w:p>
              </w:tc>
              <w:tc>
                <w:tcPr>
                  <w:tcW w:w="76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sz w:val="18"/>
                      <w:szCs w:val="18"/>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cyan"/>
                    </w:rPr>
                  </w:pPr>
                </w:p>
              </w:tc>
              <w:tc>
                <w:tcPr>
                  <w:tcW w:w="62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rPr>
                    <w:t>噪声</w:t>
                  </w:r>
                  <w:r>
                    <w:rPr>
                      <w:rFonts w:hint="default" w:ascii="Times New Roman" w:hAnsi="Times New Roman" w:cs="Times New Roman"/>
                      <w:snapToGrid w:val="0"/>
                      <w:color w:val="auto"/>
                      <w:kern w:val="0"/>
                      <w:sz w:val="18"/>
                      <w:szCs w:val="18"/>
                      <w:highlight w:val="none"/>
                      <w:lang w:eastAsia="zh-CN"/>
                    </w:rPr>
                    <w:t>治理</w:t>
                  </w:r>
                </w:p>
              </w:tc>
              <w:tc>
                <w:tcPr>
                  <w:tcW w:w="3001"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eastAsia"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优先选用低噪声设备，</w:t>
                  </w:r>
                  <w:r>
                    <w:rPr>
                      <w:rFonts w:hint="default" w:ascii="Times New Roman" w:hAnsi="Times New Roman" w:cs="Times New Roman"/>
                      <w:snapToGrid w:val="0"/>
                      <w:color w:val="auto"/>
                      <w:kern w:val="0"/>
                      <w:sz w:val="18"/>
                      <w:szCs w:val="18"/>
                      <w:highlight w:val="none"/>
                    </w:rPr>
                    <w:t>合理布局、</w:t>
                  </w:r>
                  <w:r>
                    <w:rPr>
                      <w:rFonts w:hint="default" w:ascii="Times New Roman" w:hAnsi="Times New Roman" w:cs="Times New Roman"/>
                      <w:snapToGrid w:val="0"/>
                      <w:color w:val="auto"/>
                      <w:kern w:val="0"/>
                      <w:sz w:val="18"/>
                      <w:szCs w:val="18"/>
                      <w:highlight w:val="none"/>
                      <w:lang w:eastAsia="zh-CN"/>
                    </w:rPr>
                    <w:t>设置减振基础</w:t>
                  </w:r>
                  <w:r>
                    <w:rPr>
                      <w:rFonts w:hint="default" w:ascii="Times New Roman" w:hAnsi="Times New Roman" w:cs="Times New Roman"/>
                      <w:snapToGrid w:val="0"/>
                      <w:color w:val="auto"/>
                      <w:kern w:val="0"/>
                      <w:sz w:val="18"/>
                      <w:szCs w:val="18"/>
                      <w:highlight w:val="none"/>
                    </w:rPr>
                    <w:t>、</w:t>
                  </w:r>
                  <w:r>
                    <w:rPr>
                      <w:rFonts w:hint="default" w:ascii="Times New Roman" w:hAnsi="Times New Roman" w:cs="Times New Roman"/>
                      <w:snapToGrid w:val="0"/>
                      <w:color w:val="auto"/>
                      <w:kern w:val="0"/>
                      <w:sz w:val="18"/>
                      <w:szCs w:val="18"/>
                      <w:highlight w:val="none"/>
                      <w:lang w:eastAsia="zh-CN"/>
                    </w:rPr>
                    <w:t>安装</w:t>
                  </w:r>
                  <w:r>
                    <w:rPr>
                      <w:rFonts w:hint="default" w:ascii="Times New Roman" w:hAnsi="Times New Roman" w:cs="Times New Roman"/>
                      <w:snapToGrid w:val="0"/>
                      <w:color w:val="auto"/>
                      <w:kern w:val="0"/>
                      <w:sz w:val="18"/>
                      <w:szCs w:val="18"/>
                      <w:highlight w:val="none"/>
                    </w:rPr>
                    <w:t>隔声等</w:t>
                  </w:r>
                  <w:r>
                    <w:rPr>
                      <w:rFonts w:hint="eastAsia" w:cs="Times New Roman"/>
                      <w:snapToGrid w:val="0"/>
                      <w:color w:val="auto"/>
                      <w:kern w:val="0"/>
                      <w:sz w:val="18"/>
                      <w:szCs w:val="18"/>
                      <w:highlight w:val="none"/>
                      <w:lang w:eastAsia="zh-CN"/>
                    </w:rPr>
                    <w:t>措施</w:t>
                  </w:r>
                </w:p>
              </w:tc>
              <w:tc>
                <w:tcPr>
                  <w:tcW w:w="76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eastAsia" w:cs="Times New Roman"/>
                      <w:snapToGrid w:val="0"/>
                      <w:color w:val="auto"/>
                      <w:kern w:val="0"/>
                      <w:sz w:val="18"/>
                      <w:szCs w:val="18"/>
                      <w:highlight w:val="none"/>
                      <w:lang w:eastAsia="zh-CN"/>
                    </w:rPr>
                    <w:t>新建</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3、</w:t>
            </w:r>
            <w:r>
              <w:rPr>
                <w:rFonts w:hint="default" w:ascii="Times New Roman" w:hAnsi="Times New Roman" w:cs="Times New Roman"/>
                <w:b/>
                <w:color w:val="auto"/>
                <w:kern w:val="0"/>
                <w:szCs w:val="21"/>
                <w:highlight w:val="none"/>
              </w:rPr>
              <w:t>本项目主要产品方案及生产规模</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rPr>
            </w:pPr>
            <w:r>
              <w:rPr>
                <w:rFonts w:hint="eastAsia" w:cs="Times New Roman"/>
                <w:bCs/>
                <w:color w:val="auto"/>
                <w:kern w:val="0"/>
                <w:szCs w:val="21"/>
                <w:highlight w:val="none"/>
                <w:lang w:eastAsia="zh-CN"/>
              </w:rPr>
              <w:t>本项目产品为锂离子电池，主要应用在低速电动车、储能、备用电源以及低速智能出行等领域</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rPr>
              <w:t>具体产品方案见</w:t>
            </w:r>
            <w:r>
              <w:rPr>
                <w:rFonts w:hint="default" w:ascii="Times New Roman" w:hAnsi="Times New Roman" w:cs="Times New Roman"/>
                <w:bCs/>
                <w:color w:val="auto"/>
                <w:kern w:val="0"/>
                <w:szCs w:val="21"/>
                <w:highlight w:val="none"/>
                <w:lang w:eastAsia="zh-CN"/>
              </w:rPr>
              <w:t>下表</w:t>
            </w:r>
            <w:r>
              <w:rPr>
                <w:rFonts w:hint="default" w:ascii="Times New Roman" w:hAnsi="Times New Roman" w:cs="Times New Roman"/>
                <w:bCs/>
                <w:color w:val="auto"/>
                <w:kern w:val="0"/>
                <w:szCs w:val="21"/>
                <w:highlight w:val="none"/>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项目产品方案及规模一览表</w:t>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69"/>
              <w:gridCol w:w="1329"/>
              <w:gridCol w:w="1220"/>
              <w:gridCol w:w="1034"/>
              <w:gridCol w:w="988"/>
              <w:gridCol w:w="1235"/>
              <w:gridCol w:w="10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color w:val="auto"/>
                      <w:kern w:val="0"/>
                      <w:sz w:val="18"/>
                      <w:szCs w:val="18"/>
                      <w:highlight w:val="none"/>
                      <w:vertAlign w:val="baseline"/>
                      <w:lang w:val="en-US" w:eastAsia="zh-CN"/>
                    </w:rPr>
                  </w:pPr>
                  <w:r>
                    <w:rPr>
                      <w:rFonts w:hint="default" w:ascii="Times New Roman" w:hAnsi="Times New Roman" w:cs="Times New Roman"/>
                      <w:color w:val="auto"/>
                      <w:sz w:val="18"/>
                      <w:szCs w:val="18"/>
                      <w:lang w:val="en-US" w:eastAsia="zh-CN"/>
                    </w:rPr>
                    <w:t>产品名称</w:t>
                  </w:r>
                </w:p>
              </w:tc>
              <w:tc>
                <w:tcPr>
                  <w:tcW w:w="13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color w:val="auto"/>
                      <w:kern w:val="0"/>
                      <w:sz w:val="18"/>
                      <w:szCs w:val="18"/>
                      <w:highlight w:val="none"/>
                      <w:vertAlign w:val="baseline"/>
                      <w:lang w:val="en-US" w:eastAsia="zh-CN"/>
                    </w:rPr>
                  </w:pPr>
                  <w:r>
                    <w:rPr>
                      <w:rFonts w:hint="default" w:ascii="Times New Roman" w:hAnsi="Times New Roman" w:cs="Times New Roman"/>
                      <w:color w:val="auto"/>
                      <w:sz w:val="18"/>
                      <w:szCs w:val="18"/>
                      <w:lang w:val="en-US" w:eastAsia="zh-CN"/>
                    </w:rPr>
                    <w:t>产品</w:t>
                  </w:r>
                  <w:r>
                    <w:rPr>
                      <w:rFonts w:hint="eastAsia" w:cs="Times New Roman"/>
                      <w:color w:val="auto"/>
                      <w:sz w:val="18"/>
                      <w:szCs w:val="18"/>
                      <w:lang w:val="en-US" w:eastAsia="zh-CN"/>
                    </w:rPr>
                    <w:t>型号</w:t>
                  </w:r>
                </w:p>
              </w:tc>
              <w:tc>
                <w:tcPr>
                  <w:tcW w:w="1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生产规模</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sz w:val="18"/>
                      <w:szCs w:val="18"/>
                      <w:lang w:val="en-US" w:eastAsia="zh-CN"/>
                    </w:rPr>
                    <w:t>（</w:t>
                  </w:r>
                  <w:r>
                    <w:rPr>
                      <w:rFonts w:hint="default" w:ascii="Times New Roman" w:hAnsi="Times New Roman" w:cs="Times New Roman" w:eastAsiaTheme="minorEastAsia"/>
                      <w:color w:val="auto"/>
                      <w:sz w:val="18"/>
                      <w:szCs w:val="18"/>
                      <w:lang w:val="en-US" w:eastAsia="zh-CN"/>
                    </w:rPr>
                    <w:t>只/年</w:t>
                  </w:r>
                  <w:r>
                    <w:rPr>
                      <w:rFonts w:hint="eastAsia" w:cs="Times New Roman"/>
                      <w:b w:val="0"/>
                      <w:bCs w:val="0"/>
                      <w:color w:val="auto"/>
                      <w:sz w:val="18"/>
                      <w:szCs w:val="18"/>
                      <w:lang w:val="en-US" w:eastAsia="zh-CN"/>
                    </w:rPr>
                    <w:t>）</w:t>
                  </w:r>
                </w:p>
              </w:tc>
              <w:tc>
                <w:tcPr>
                  <w:tcW w:w="10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单只电压</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（V）</w:t>
                  </w:r>
                </w:p>
              </w:tc>
              <w:tc>
                <w:tcPr>
                  <w:tcW w:w="9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单只容量（</w:t>
                  </w:r>
                  <w:r>
                    <w:rPr>
                      <w:rFonts w:hint="default" w:ascii="Times New Roman" w:hAnsi="Times New Roman" w:cs="Times New Roman" w:eastAsiaTheme="minorEastAsia"/>
                      <w:color w:val="auto"/>
                      <w:sz w:val="18"/>
                      <w:szCs w:val="18"/>
                      <w:highlight w:val="none"/>
                      <w:lang w:val="en-US" w:eastAsia="zh-CN"/>
                    </w:rPr>
                    <w:t>mAh</w:t>
                  </w:r>
                  <w:r>
                    <w:rPr>
                      <w:rFonts w:hint="eastAsia" w:cs="Times New Roman"/>
                      <w:b w:val="0"/>
                      <w:bCs w:val="0"/>
                      <w:color w:val="auto"/>
                      <w:kern w:val="0"/>
                      <w:sz w:val="18"/>
                      <w:szCs w:val="18"/>
                      <w:highlight w:val="none"/>
                      <w:vertAlign w:val="baseline"/>
                      <w:lang w:val="en-US" w:eastAsia="zh-CN"/>
                    </w:rPr>
                    <w:t>）</w:t>
                  </w:r>
                </w:p>
              </w:tc>
              <w:tc>
                <w:tcPr>
                  <w:tcW w:w="1235" w:type="dxa"/>
                  <w:tcBorders>
                    <w:right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单只能量密度（Wh/kg）</w:t>
                  </w:r>
                </w:p>
              </w:tc>
              <w:tc>
                <w:tcPr>
                  <w:tcW w:w="1034" w:type="dxa"/>
                  <w:tcBorders>
                    <w:left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单只重量</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color w:val="auto"/>
                      <w:kern w:val="0"/>
                      <w:sz w:val="18"/>
                      <w:szCs w:val="18"/>
                      <w:highlight w:val="none"/>
                      <w:vertAlign w:val="baseline"/>
                      <w:lang w:val="en-US" w:eastAsia="zh-CN"/>
                    </w:rPr>
                  </w:pPr>
                  <w:r>
                    <w:rPr>
                      <w:rFonts w:hint="default" w:ascii="Times New Roman" w:hAnsi="Times New Roman" w:cs="Times New Roman" w:eastAsiaTheme="minorEastAsia"/>
                      <w:color w:val="auto"/>
                      <w:sz w:val="18"/>
                      <w:szCs w:val="18"/>
                      <w:highlight w:val="none"/>
                      <w:lang w:val="en-US" w:eastAsia="zh-CN"/>
                    </w:rPr>
                    <w:t>锂离子电池</w:t>
                  </w:r>
                </w:p>
              </w:tc>
              <w:tc>
                <w:tcPr>
                  <w:tcW w:w="13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color w:val="auto"/>
                      <w:kern w:val="0"/>
                      <w:sz w:val="18"/>
                      <w:szCs w:val="18"/>
                      <w:highlight w:val="none"/>
                      <w:vertAlign w:val="baseline"/>
                      <w:lang w:val="en-US" w:eastAsia="zh-CN"/>
                    </w:rPr>
                  </w:pPr>
                  <w:r>
                    <w:rPr>
                      <w:rFonts w:hint="eastAsia" w:cs="Times New Roman" w:eastAsiaTheme="minorEastAsia"/>
                      <w:color w:val="auto"/>
                      <w:sz w:val="18"/>
                      <w:szCs w:val="18"/>
                      <w:highlight w:val="none"/>
                      <w:lang w:val="en-US" w:eastAsia="zh-CN"/>
                    </w:rPr>
                    <w:t>32700型</w:t>
                  </w:r>
                </w:p>
              </w:tc>
              <w:tc>
                <w:tcPr>
                  <w:tcW w:w="1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color w:val="auto"/>
                      <w:kern w:val="0"/>
                      <w:sz w:val="18"/>
                      <w:szCs w:val="18"/>
                      <w:highlight w:val="none"/>
                      <w:vertAlign w:val="baseline"/>
                      <w:lang w:val="en-US" w:eastAsia="zh-CN"/>
                    </w:rPr>
                  </w:pPr>
                  <w:r>
                    <w:rPr>
                      <w:rFonts w:hint="eastAsia" w:ascii="Times New Roman" w:hAnsi="Times New Roman" w:cs="Times New Roman" w:eastAsiaTheme="minorEastAsia"/>
                      <w:color w:val="auto"/>
                      <w:sz w:val="18"/>
                      <w:szCs w:val="18"/>
                      <w:lang w:val="en-US" w:eastAsia="zh-CN"/>
                    </w:rPr>
                    <w:t>500</w:t>
                  </w:r>
                  <w:r>
                    <w:rPr>
                      <w:rFonts w:hint="default" w:ascii="Times New Roman" w:hAnsi="Times New Roman" w:cs="Times New Roman" w:eastAsiaTheme="minorEastAsia"/>
                      <w:color w:val="auto"/>
                      <w:sz w:val="18"/>
                      <w:szCs w:val="18"/>
                    </w:rPr>
                    <w:t>万</w:t>
                  </w:r>
                </w:p>
              </w:tc>
              <w:tc>
                <w:tcPr>
                  <w:tcW w:w="10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color w:val="auto"/>
                      <w:kern w:val="0"/>
                      <w:sz w:val="18"/>
                      <w:szCs w:val="18"/>
                      <w:highlight w:val="none"/>
                      <w:vertAlign w:val="baseline"/>
                      <w:lang w:val="en-US" w:eastAsia="zh-CN"/>
                    </w:rPr>
                  </w:pPr>
                  <w:r>
                    <w:rPr>
                      <w:rFonts w:hint="eastAsia" w:ascii="Times New Roman" w:hAnsi="Times New Roman" w:cs="Times New Roman" w:eastAsiaTheme="minorEastAsia"/>
                      <w:color w:val="auto"/>
                      <w:sz w:val="18"/>
                      <w:szCs w:val="18"/>
                      <w:highlight w:val="none"/>
                      <w:lang w:val="en-US" w:eastAsia="zh-CN"/>
                    </w:rPr>
                    <w:t>3.2</w:t>
                  </w:r>
                </w:p>
              </w:tc>
              <w:tc>
                <w:tcPr>
                  <w:tcW w:w="9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ascii="Times New Roman" w:hAnsi="Times New Roman" w:cs="Times New Roman" w:eastAsiaTheme="minorEastAsia"/>
                      <w:b w:val="0"/>
                      <w:bCs w:val="0"/>
                      <w:color w:val="auto"/>
                      <w:sz w:val="18"/>
                      <w:szCs w:val="18"/>
                      <w:highlight w:val="none"/>
                      <w:lang w:val="en-US" w:eastAsia="zh-CN"/>
                    </w:rPr>
                    <w:t>6000</w:t>
                  </w:r>
                </w:p>
              </w:tc>
              <w:tc>
                <w:tcPr>
                  <w:tcW w:w="1235" w:type="dxa"/>
                  <w:tcBorders>
                    <w:right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165</w:t>
                  </w:r>
                </w:p>
              </w:tc>
              <w:tc>
                <w:tcPr>
                  <w:tcW w:w="1034" w:type="dxa"/>
                  <w:tcBorders>
                    <w:left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280</w:t>
                  </w:r>
                  <w:r>
                    <w:rPr>
                      <w:rFonts w:hint="eastAsia" w:ascii="微软雅黑" w:hAnsi="微软雅黑" w:eastAsia="微软雅黑" w:cs="微软雅黑"/>
                      <w:b w:val="0"/>
                      <w:bCs w:val="0"/>
                      <w:color w:val="auto"/>
                      <w:kern w:val="0"/>
                      <w:sz w:val="18"/>
                      <w:szCs w:val="18"/>
                      <w:highlight w:val="none"/>
                      <w:vertAlign w:val="baseline"/>
                      <w:lang w:val="en-US" w:eastAsia="zh-CN"/>
                    </w:rPr>
                    <w:t>±</w:t>
                  </w:r>
                  <w:r>
                    <w:rPr>
                      <w:rFonts w:hint="eastAsia" w:cs="Times New Roman"/>
                      <w:b w:val="0"/>
                      <w:bCs w:val="0"/>
                      <w:color w:val="auto"/>
                      <w:kern w:val="0"/>
                      <w:sz w:val="18"/>
                      <w:szCs w:val="18"/>
                      <w:highlight w:val="none"/>
                      <w:vertAlign w:val="baseline"/>
                      <w:lang w:val="en-US" w:eastAsia="zh-CN"/>
                    </w:rPr>
                    <w:t>5</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4、</w:t>
            </w:r>
            <w:r>
              <w:rPr>
                <w:rFonts w:hint="default" w:ascii="Times New Roman" w:hAnsi="Times New Roman" w:cs="Times New Roman"/>
                <w:b/>
                <w:color w:val="auto"/>
                <w:kern w:val="0"/>
                <w:szCs w:val="21"/>
                <w:highlight w:val="none"/>
              </w:rPr>
              <w:t>主要原辅材料</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color w:val="auto"/>
                <w:highlight w:val="none"/>
                <w:lang w:eastAsia="zh-CN"/>
              </w:rPr>
            </w:pPr>
            <w:r>
              <w:rPr>
                <w:rFonts w:hint="eastAsia" w:cs="Times New Roman"/>
                <w:bCs/>
                <w:color w:val="auto"/>
                <w:kern w:val="0"/>
                <w:szCs w:val="21"/>
                <w:highlight w:val="none"/>
                <w:lang w:eastAsia="zh-CN"/>
              </w:rPr>
              <w:t>本项目原辅料主要为正负极耳、正负极耳胶带、正负极片、隔膜、钢壳、电解液等</w:t>
            </w:r>
            <w:r>
              <w:rPr>
                <w:rFonts w:hint="default" w:ascii="Times New Roman" w:hAnsi="Times New Roman" w:cs="Times New Roman"/>
                <w:bCs/>
                <w:color w:val="auto"/>
                <w:kern w:val="0"/>
                <w:szCs w:val="21"/>
                <w:highlight w:val="none"/>
                <w:lang w:eastAsia="zh-CN"/>
              </w:rPr>
              <w:t>，所需能源资源包括水和电，</w:t>
            </w:r>
            <w:r>
              <w:rPr>
                <w:rFonts w:hint="default" w:ascii="Times New Roman" w:hAnsi="Times New Roman" w:cs="Times New Roman"/>
                <w:bCs/>
                <w:color w:val="auto"/>
                <w:kern w:val="0"/>
                <w:szCs w:val="21"/>
                <w:highlight w:val="none"/>
              </w:rPr>
              <w:t>主要原辅材料</w:t>
            </w:r>
            <w:r>
              <w:rPr>
                <w:rFonts w:hint="default" w:ascii="Times New Roman" w:hAnsi="Times New Roman" w:cs="Times New Roman"/>
                <w:bCs/>
                <w:color w:val="auto"/>
                <w:kern w:val="0"/>
                <w:szCs w:val="21"/>
                <w:highlight w:val="none"/>
                <w:lang w:eastAsia="zh-CN"/>
              </w:rPr>
              <w:t>及能源资源</w:t>
            </w:r>
            <w:r>
              <w:rPr>
                <w:rFonts w:hint="default" w:ascii="Times New Roman" w:hAnsi="Times New Roman" w:cs="Times New Roman"/>
                <w:bCs/>
                <w:color w:val="auto"/>
                <w:kern w:val="0"/>
                <w:szCs w:val="21"/>
                <w:highlight w:val="none"/>
              </w:rPr>
              <w:t>消耗见</w:t>
            </w:r>
            <w:r>
              <w:rPr>
                <w:rFonts w:hint="default" w:ascii="Times New Roman" w:hAnsi="Times New Roman" w:cs="Times New Roman"/>
                <w:bCs/>
                <w:color w:val="auto"/>
                <w:kern w:val="0"/>
                <w:szCs w:val="21"/>
                <w:highlight w:val="none"/>
                <w:lang w:eastAsia="zh-CN"/>
              </w:rPr>
              <w:t>下表。</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主要原辅料及能源消耗</w:t>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1936"/>
              <w:gridCol w:w="1241"/>
              <w:gridCol w:w="1077"/>
              <w:gridCol w:w="28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b/>
                      <w:bCs/>
                      <w:color w:val="auto"/>
                      <w:sz w:val="18"/>
                      <w:szCs w:val="18"/>
                      <w:highlight w:val="none"/>
                      <w:vertAlign w:val="baseline"/>
                      <w:lang w:val="en-US" w:eastAsia="zh-CN"/>
                    </w:rPr>
                  </w:pPr>
                  <w:r>
                    <w:rPr>
                      <w:rFonts w:hint="default" w:ascii="Calibri" w:hAnsi="Calibri" w:eastAsia="宋体" w:cs="Calibri"/>
                      <w:i w:val="0"/>
                      <w:iCs w:val="0"/>
                      <w:color w:val="auto"/>
                      <w:kern w:val="0"/>
                      <w:sz w:val="18"/>
                      <w:szCs w:val="18"/>
                      <w:highlight w:val="none"/>
                      <w:u w:val="none"/>
                      <w:lang w:val="en-US" w:eastAsia="zh-CN" w:bidi="ar"/>
                    </w:rPr>
                    <w:t>类别</w:t>
                  </w:r>
                </w:p>
              </w:tc>
              <w:tc>
                <w:tcPr>
                  <w:tcW w:w="1936"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b/>
                      <w:bCs/>
                      <w:color w:val="auto"/>
                      <w:sz w:val="18"/>
                      <w:szCs w:val="18"/>
                      <w:highlight w:val="none"/>
                      <w:vertAlign w:val="baseline"/>
                      <w:lang w:val="en-US" w:eastAsia="zh-CN"/>
                    </w:rPr>
                  </w:pPr>
                  <w:r>
                    <w:rPr>
                      <w:rFonts w:hint="eastAsia" w:ascii="宋体" w:hAnsi="宋体" w:eastAsia="宋体" w:cs="宋体"/>
                      <w:i w:val="0"/>
                      <w:iCs w:val="0"/>
                      <w:color w:val="auto"/>
                      <w:kern w:val="0"/>
                      <w:sz w:val="18"/>
                      <w:szCs w:val="18"/>
                      <w:highlight w:val="none"/>
                      <w:u w:val="none"/>
                      <w:lang w:val="en-US" w:eastAsia="zh-CN" w:bidi="ar"/>
                    </w:rPr>
                    <w:t>名称</w:t>
                  </w:r>
                </w:p>
              </w:tc>
              <w:tc>
                <w:tcPr>
                  <w:tcW w:w="1241"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b/>
                      <w:bCs/>
                      <w:color w:val="auto"/>
                      <w:sz w:val="18"/>
                      <w:szCs w:val="18"/>
                      <w:highlight w:val="none"/>
                      <w:vertAlign w:val="baseline"/>
                      <w:lang w:val="en-US" w:eastAsia="zh-CN"/>
                    </w:rPr>
                  </w:pPr>
                  <w:r>
                    <w:rPr>
                      <w:rFonts w:hint="eastAsia" w:ascii="宋体" w:hAnsi="宋体" w:eastAsia="宋体" w:cs="宋体"/>
                      <w:i w:val="0"/>
                      <w:iCs w:val="0"/>
                      <w:color w:val="auto"/>
                      <w:kern w:val="0"/>
                      <w:sz w:val="18"/>
                      <w:szCs w:val="18"/>
                      <w:highlight w:val="none"/>
                      <w:u w:val="none"/>
                      <w:lang w:val="en-US" w:eastAsia="zh-CN" w:bidi="ar"/>
                    </w:rPr>
                    <w:t>单位</w:t>
                  </w:r>
                </w:p>
              </w:tc>
              <w:tc>
                <w:tcPr>
                  <w:tcW w:w="1077"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b/>
                      <w:bCs/>
                      <w:color w:val="auto"/>
                      <w:sz w:val="18"/>
                      <w:szCs w:val="18"/>
                      <w:highlight w:val="none"/>
                      <w:vertAlign w:val="baseline"/>
                      <w:lang w:val="en-US" w:eastAsia="zh-CN"/>
                    </w:rPr>
                  </w:pPr>
                  <w:r>
                    <w:rPr>
                      <w:rFonts w:hint="eastAsia" w:ascii="宋体" w:hAnsi="宋体" w:eastAsia="宋体" w:cs="宋体"/>
                      <w:i w:val="0"/>
                      <w:iCs w:val="0"/>
                      <w:color w:val="auto"/>
                      <w:kern w:val="0"/>
                      <w:sz w:val="18"/>
                      <w:szCs w:val="18"/>
                      <w:highlight w:val="none"/>
                      <w:u w:val="none"/>
                      <w:lang w:val="en-US" w:eastAsia="zh-CN" w:bidi="ar"/>
                    </w:rPr>
                    <w:t>数量</w:t>
                  </w:r>
                </w:p>
              </w:tc>
              <w:tc>
                <w:tcPr>
                  <w:tcW w:w="2868"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b/>
                      <w:bCs/>
                      <w:color w:val="auto"/>
                      <w:sz w:val="18"/>
                      <w:szCs w:val="18"/>
                      <w:highlight w:val="none"/>
                      <w:vertAlign w:val="baseline"/>
                      <w:lang w:val="en-US" w:eastAsia="zh-CN"/>
                    </w:rPr>
                  </w:pPr>
                  <w:r>
                    <w:rPr>
                      <w:rFonts w:hint="default" w:ascii="Calibri" w:hAnsi="Calibri" w:eastAsia="宋体" w:cs="Calibri"/>
                      <w:i w:val="0"/>
                      <w:iCs w:val="0"/>
                      <w:color w:val="auto"/>
                      <w:kern w:val="0"/>
                      <w:sz w:val="18"/>
                      <w:szCs w:val="18"/>
                      <w:highlight w:val="none"/>
                      <w:u w:val="none"/>
                      <w:lang w:val="en-US" w:eastAsia="zh-CN" w:bidi="ar"/>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dxa"/>
                  <w:vMerge w:val="restart"/>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原辅材料</w:t>
                  </w:r>
                </w:p>
              </w:tc>
              <w:tc>
                <w:tcPr>
                  <w:tcW w:w="1936"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正极耳</w:t>
                  </w:r>
                </w:p>
              </w:tc>
              <w:tc>
                <w:tcPr>
                  <w:tcW w:w="1241"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t/a</w:t>
                  </w:r>
                </w:p>
              </w:tc>
              <w:tc>
                <w:tcPr>
                  <w:tcW w:w="1077"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w:t>
                  </w:r>
                </w:p>
              </w:tc>
              <w:tc>
                <w:tcPr>
                  <w:tcW w:w="2868" w:type="dxa"/>
                  <w:vMerge w:val="restart"/>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从电芯中将正负极引出来的金属导电体</w:t>
                  </w:r>
                  <w:r>
                    <w:rPr>
                      <w:rFonts w:hint="eastAsia" w:cs="Times New Roman"/>
                      <w:b w:val="0"/>
                      <w:bCs w:val="0"/>
                      <w:color w:val="auto"/>
                      <w:sz w:val="18"/>
                      <w:szCs w:val="18"/>
                      <w:highlight w:val="none"/>
                      <w:vertAlign w:val="baseline"/>
                      <w:lang w:val="en-US" w:eastAsia="zh-CN"/>
                    </w:rPr>
                    <w:t>，正极耳为铝（Al）材，负极耳为镍（Ni）材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dxa"/>
                  <w:vMerge w:val="continue"/>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p>
              </w:tc>
              <w:tc>
                <w:tcPr>
                  <w:tcW w:w="1936"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负极耳</w:t>
                  </w:r>
                </w:p>
              </w:tc>
              <w:tc>
                <w:tcPr>
                  <w:tcW w:w="1241"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t/a</w:t>
                  </w:r>
                </w:p>
              </w:tc>
              <w:tc>
                <w:tcPr>
                  <w:tcW w:w="1077"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w:t>
                  </w:r>
                </w:p>
              </w:tc>
              <w:tc>
                <w:tcPr>
                  <w:tcW w:w="2868" w:type="dxa"/>
                  <w:vMerge w:val="continue"/>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dxa"/>
                  <w:vMerge w:val="continue"/>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p>
              </w:tc>
              <w:tc>
                <w:tcPr>
                  <w:tcW w:w="1936"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正极耳胶带</w:t>
                  </w:r>
                </w:p>
              </w:tc>
              <w:tc>
                <w:tcPr>
                  <w:tcW w:w="1241"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万m/a</w:t>
                  </w:r>
                </w:p>
              </w:tc>
              <w:tc>
                <w:tcPr>
                  <w:tcW w:w="1077"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w:t>
                  </w:r>
                </w:p>
              </w:tc>
              <w:tc>
                <w:tcPr>
                  <w:tcW w:w="2868" w:type="dxa"/>
                  <w:vMerge w:val="restart"/>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包裹焊点，防止焊点刺破隔膜的保护层，胶带单面涂布高性能有机硅压敏胶（或不干胶）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dxa"/>
                  <w:vMerge w:val="continue"/>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p>
              </w:tc>
              <w:tc>
                <w:tcPr>
                  <w:tcW w:w="1936"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负极耳胶带</w:t>
                  </w:r>
                </w:p>
              </w:tc>
              <w:tc>
                <w:tcPr>
                  <w:tcW w:w="1241"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万m/a</w:t>
                  </w:r>
                </w:p>
              </w:tc>
              <w:tc>
                <w:tcPr>
                  <w:tcW w:w="1077"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5</w:t>
                  </w:r>
                </w:p>
              </w:tc>
              <w:tc>
                <w:tcPr>
                  <w:tcW w:w="2868" w:type="dxa"/>
                  <w:vMerge w:val="continue"/>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sz w:val="18"/>
                      <w:szCs w:val="18"/>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dxa"/>
                  <w:vMerge w:val="continue"/>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p>
              </w:tc>
              <w:tc>
                <w:tcPr>
                  <w:tcW w:w="1936"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正极</w:t>
                  </w:r>
                  <w:r>
                    <w:rPr>
                      <w:rFonts w:hint="eastAsia" w:ascii="宋体" w:hAnsi="宋体" w:cs="宋体"/>
                      <w:i w:val="0"/>
                      <w:iCs w:val="0"/>
                      <w:color w:val="auto"/>
                      <w:kern w:val="0"/>
                      <w:sz w:val="18"/>
                      <w:szCs w:val="18"/>
                      <w:highlight w:val="none"/>
                      <w:u w:val="none"/>
                      <w:lang w:val="en-US" w:eastAsia="zh-CN" w:bidi="ar"/>
                    </w:rPr>
                    <w:t>片</w:t>
                  </w:r>
                </w:p>
              </w:tc>
              <w:tc>
                <w:tcPr>
                  <w:tcW w:w="1241"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t/a</w:t>
                  </w:r>
                </w:p>
              </w:tc>
              <w:tc>
                <w:tcPr>
                  <w:tcW w:w="1077"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150</w:t>
                  </w:r>
                </w:p>
              </w:tc>
              <w:tc>
                <w:tcPr>
                  <w:tcW w:w="2868"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正极材料涂布后的铝箔卷材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dxa"/>
                  <w:vMerge w:val="continue"/>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p>
              </w:tc>
              <w:tc>
                <w:tcPr>
                  <w:tcW w:w="1936"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负极</w:t>
                  </w:r>
                  <w:r>
                    <w:rPr>
                      <w:rFonts w:hint="eastAsia" w:ascii="宋体" w:hAnsi="宋体" w:cs="宋体"/>
                      <w:i w:val="0"/>
                      <w:iCs w:val="0"/>
                      <w:color w:val="auto"/>
                      <w:kern w:val="0"/>
                      <w:sz w:val="18"/>
                      <w:szCs w:val="18"/>
                      <w:highlight w:val="none"/>
                      <w:u w:val="none"/>
                      <w:lang w:val="en-US" w:eastAsia="zh-CN" w:bidi="ar"/>
                    </w:rPr>
                    <w:t>片</w:t>
                  </w:r>
                </w:p>
              </w:tc>
              <w:tc>
                <w:tcPr>
                  <w:tcW w:w="1241"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t/a</w:t>
                  </w:r>
                </w:p>
              </w:tc>
              <w:tc>
                <w:tcPr>
                  <w:tcW w:w="1077"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150</w:t>
                  </w:r>
                </w:p>
              </w:tc>
              <w:tc>
                <w:tcPr>
                  <w:tcW w:w="2868"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负极材料涂布后的铜箔卷材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dxa"/>
                  <w:vMerge w:val="continue"/>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p>
              </w:tc>
              <w:tc>
                <w:tcPr>
                  <w:tcW w:w="1936"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隔膜</w:t>
                  </w:r>
                </w:p>
              </w:tc>
              <w:tc>
                <w:tcPr>
                  <w:tcW w:w="1241"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万m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2</w:t>
                  </w:r>
                  <w:r>
                    <w:rPr>
                      <w:rFonts w:hint="default" w:ascii="Times New Roman" w:hAnsi="Times New Roman" w:eastAsia="宋体" w:cs="Times New Roman"/>
                      <w:i w:val="0"/>
                      <w:iCs w:val="0"/>
                      <w:color w:val="auto"/>
                      <w:kern w:val="0"/>
                      <w:sz w:val="18"/>
                      <w:szCs w:val="18"/>
                      <w:highlight w:val="none"/>
                      <w:u w:val="none"/>
                      <w:lang w:val="en-US" w:eastAsia="zh-CN" w:bidi="ar"/>
                    </w:rPr>
                    <w:t>/a</w:t>
                  </w:r>
                </w:p>
              </w:tc>
              <w:tc>
                <w:tcPr>
                  <w:tcW w:w="1077"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20</w:t>
                  </w:r>
                </w:p>
              </w:tc>
              <w:tc>
                <w:tcPr>
                  <w:tcW w:w="2868"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聚丙烯</w:t>
                  </w:r>
                  <w:r>
                    <w:rPr>
                      <w:rFonts w:hint="eastAsia" w:cs="Times New Roman"/>
                      <w:b w:val="0"/>
                      <w:bCs w:val="0"/>
                      <w:color w:val="auto"/>
                      <w:sz w:val="18"/>
                      <w:szCs w:val="18"/>
                      <w:highlight w:val="none"/>
                      <w:vertAlign w:val="baseline"/>
                      <w:lang w:val="en-US" w:eastAsia="zh-CN"/>
                    </w:rPr>
                    <w:t>+</w:t>
                  </w:r>
                  <w:r>
                    <w:rPr>
                      <w:rFonts w:hint="default" w:ascii="Times New Roman" w:hAnsi="Times New Roman" w:cs="Times New Roman"/>
                      <w:b w:val="0"/>
                      <w:bCs w:val="0"/>
                      <w:color w:val="auto"/>
                      <w:sz w:val="18"/>
                      <w:szCs w:val="18"/>
                      <w:highlight w:val="none"/>
                      <w:vertAlign w:val="baseline"/>
                      <w:lang w:val="en-US" w:eastAsia="zh-CN"/>
                    </w:rPr>
                    <w:t>聚乙烯</w:t>
                  </w:r>
                  <w:r>
                    <w:rPr>
                      <w:rFonts w:hint="eastAsia" w:cs="Times New Roman"/>
                      <w:b w:val="0"/>
                      <w:bCs w:val="0"/>
                      <w:color w:val="auto"/>
                      <w:sz w:val="18"/>
                      <w:szCs w:val="18"/>
                      <w:highlight w:val="none"/>
                      <w:vertAlign w:val="baseline"/>
                      <w:lang w:val="en-US" w:eastAsia="zh-CN"/>
                    </w:rPr>
                    <w:t>材料</w:t>
                  </w:r>
                  <w:r>
                    <w:rPr>
                      <w:rFonts w:hint="default" w:ascii="Times New Roman" w:hAnsi="Times New Roman" w:cs="Times New Roman"/>
                      <w:b w:val="0"/>
                      <w:bCs w:val="0"/>
                      <w:color w:val="auto"/>
                      <w:sz w:val="18"/>
                      <w:szCs w:val="18"/>
                      <w:highlight w:val="none"/>
                      <w:vertAlign w:val="baseline"/>
                      <w:lang w:val="en-US" w:eastAsia="zh-CN"/>
                    </w:rPr>
                    <w:t>，使电池正、负极分开来</w:t>
                  </w:r>
                  <w:r>
                    <w:rPr>
                      <w:rFonts w:hint="eastAsia" w:cs="Times New Roman"/>
                      <w:b w:val="0"/>
                      <w:bCs w:val="0"/>
                      <w:color w:val="auto"/>
                      <w:sz w:val="18"/>
                      <w:szCs w:val="18"/>
                      <w:highlight w:val="none"/>
                      <w:vertAlign w:val="baseline"/>
                      <w:lang w:val="en-US" w:eastAsia="zh-CN"/>
                    </w:rPr>
                    <w:t>的</w:t>
                  </w:r>
                  <w:r>
                    <w:rPr>
                      <w:rFonts w:hint="default" w:ascii="Times New Roman" w:hAnsi="Times New Roman" w:cs="Times New Roman"/>
                      <w:b w:val="0"/>
                      <w:bCs w:val="0"/>
                      <w:color w:val="auto"/>
                      <w:sz w:val="18"/>
                      <w:szCs w:val="18"/>
                      <w:highlight w:val="none"/>
                      <w:vertAlign w:val="baseline"/>
                      <w:lang w:val="en-US" w:eastAsia="zh-CN"/>
                    </w:rPr>
                    <w:t>绝缘材料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dxa"/>
                  <w:vMerge w:val="continue"/>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p>
              </w:tc>
              <w:tc>
                <w:tcPr>
                  <w:tcW w:w="1936"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钢壳</w:t>
                  </w:r>
                </w:p>
              </w:tc>
              <w:tc>
                <w:tcPr>
                  <w:tcW w:w="1241"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万个/a</w:t>
                  </w:r>
                </w:p>
              </w:tc>
              <w:tc>
                <w:tcPr>
                  <w:tcW w:w="1077"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500</w:t>
                  </w:r>
                </w:p>
              </w:tc>
              <w:tc>
                <w:tcPr>
                  <w:tcW w:w="2868"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锂电池外壳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dxa"/>
                  <w:vMerge w:val="continue"/>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p>
              </w:tc>
              <w:tc>
                <w:tcPr>
                  <w:tcW w:w="1936"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盖帽</w:t>
                  </w:r>
                </w:p>
              </w:tc>
              <w:tc>
                <w:tcPr>
                  <w:tcW w:w="1241"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万个/a</w:t>
                  </w:r>
                </w:p>
              </w:tc>
              <w:tc>
                <w:tcPr>
                  <w:tcW w:w="1077"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500</w:t>
                  </w:r>
                </w:p>
              </w:tc>
              <w:tc>
                <w:tcPr>
                  <w:tcW w:w="2868"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锂电池外壳密封件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dxa"/>
                  <w:vMerge w:val="continue"/>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p>
              </w:tc>
              <w:tc>
                <w:tcPr>
                  <w:tcW w:w="1936"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绝缘</w:t>
                  </w:r>
                  <w:r>
                    <w:rPr>
                      <w:rFonts w:hint="eastAsia" w:ascii="宋体" w:hAnsi="宋体" w:eastAsia="宋体" w:cs="宋体"/>
                      <w:i w:val="0"/>
                      <w:iCs w:val="0"/>
                      <w:color w:val="auto"/>
                      <w:kern w:val="0"/>
                      <w:sz w:val="18"/>
                      <w:szCs w:val="18"/>
                      <w:u w:val="none"/>
                      <w:lang w:val="en-US" w:eastAsia="zh-CN" w:bidi="ar"/>
                    </w:rPr>
                    <w:t>垫片</w:t>
                  </w:r>
                </w:p>
              </w:tc>
              <w:tc>
                <w:tcPr>
                  <w:tcW w:w="1241"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万个/a</w:t>
                  </w:r>
                </w:p>
              </w:tc>
              <w:tc>
                <w:tcPr>
                  <w:tcW w:w="1077"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1000</w:t>
                  </w:r>
                </w:p>
              </w:tc>
              <w:tc>
                <w:tcPr>
                  <w:tcW w:w="2868"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保护正负极耳，防止接触短路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187" w:type="dxa"/>
                  <w:vMerge w:val="continue"/>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p>
              </w:tc>
              <w:tc>
                <w:tcPr>
                  <w:tcW w:w="1936"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电解液</w:t>
                  </w:r>
                </w:p>
              </w:tc>
              <w:tc>
                <w:tcPr>
                  <w:tcW w:w="1241"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t/a</w:t>
                  </w:r>
                </w:p>
              </w:tc>
              <w:tc>
                <w:tcPr>
                  <w:tcW w:w="1077"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50</w:t>
                  </w:r>
                </w:p>
              </w:tc>
              <w:tc>
                <w:tcPr>
                  <w:tcW w:w="2868"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外购成品，均采用密闭桶装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187" w:type="dxa"/>
                  <w:vMerge w:val="continue"/>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p>
              </w:tc>
              <w:tc>
                <w:tcPr>
                  <w:tcW w:w="1936"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氮气</w:t>
                  </w:r>
                </w:p>
              </w:tc>
              <w:tc>
                <w:tcPr>
                  <w:tcW w:w="1241"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瓶/a</w:t>
                  </w:r>
                </w:p>
              </w:tc>
              <w:tc>
                <w:tcPr>
                  <w:tcW w:w="1077"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1200</w:t>
                  </w:r>
                </w:p>
              </w:tc>
              <w:tc>
                <w:tcPr>
                  <w:tcW w:w="2868"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外购氮气钢瓶，40L/瓶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dxa"/>
                  <w:vMerge w:val="restart"/>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能源资源</w:t>
                  </w:r>
                </w:p>
              </w:tc>
              <w:tc>
                <w:tcPr>
                  <w:tcW w:w="1936"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水</w:t>
                  </w:r>
                </w:p>
              </w:tc>
              <w:tc>
                <w:tcPr>
                  <w:tcW w:w="1241"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m</w:t>
                  </w:r>
                  <w:r>
                    <w:rPr>
                      <w:rFonts w:hint="eastAsia" w:cs="Times New Roman"/>
                      <w:b w:val="0"/>
                      <w:bCs w:val="0"/>
                      <w:color w:val="auto"/>
                      <w:sz w:val="18"/>
                      <w:szCs w:val="18"/>
                      <w:highlight w:val="none"/>
                      <w:vertAlign w:val="superscript"/>
                      <w:lang w:val="en-US" w:eastAsia="zh-CN"/>
                    </w:rPr>
                    <w:t>3</w:t>
                  </w:r>
                  <w:r>
                    <w:rPr>
                      <w:rFonts w:hint="eastAsia" w:cs="Times New Roman"/>
                      <w:b w:val="0"/>
                      <w:bCs w:val="0"/>
                      <w:color w:val="auto"/>
                      <w:sz w:val="18"/>
                      <w:szCs w:val="18"/>
                      <w:highlight w:val="none"/>
                      <w:vertAlign w:val="baseline"/>
                      <w:lang w:val="en-US" w:eastAsia="zh-CN"/>
                    </w:rPr>
                    <w:t>/a</w:t>
                  </w:r>
                </w:p>
              </w:tc>
              <w:tc>
                <w:tcPr>
                  <w:tcW w:w="1077"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360</w:t>
                  </w:r>
                </w:p>
              </w:tc>
              <w:tc>
                <w:tcPr>
                  <w:tcW w:w="2868"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市政供水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dxa"/>
                  <w:vMerge w:val="continue"/>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sz w:val="18"/>
                      <w:szCs w:val="18"/>
                      <w:highlight w:val="green"/>
                      <w:vertAlign w:val="baseline"/>
                      <w:lang w:val="en-US" w:eastAsia="zh-CN"/>
                    </w:rPr>
                  </w:pPr>
                </w:p>
              </w:tc>
              <w:tc>
                <w:tcPr>
                  <w:tcW w:w="1936"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电</w:t>
                  </w:r>
                </w:p>
              </w:tc>
              <w:tc>
                <w:tcPr>
                  <w:tcW w:w="1241"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万kw</w:t>
                  </w:r>
                  <w:r>
                    <w:rPr>
                      <w:rFonts w:hint="eastAsia" w:ascii="宋体" w:hAnsi="宋体" w:eastAsia="宋体" w:cs="宋体"/>
                      <w:b w:val="0"/>
                      <w:bCs w:val="0"/>
                      <w:color w:val="auto"/>
                      <w:sz w:val="18"/>
                      <w:szCs w:val="18"/>
                      <w:highlight w:val="none"/>
                      <w:vertAlign w:val="baseline"/>
                      <w:lang w:val="en-US" w:eastAsia="zh-CN"/>
                    </w:rPr>
                    <w:t>·</w:t>
                  </w:r>
                  <w:r>
                    <w:rPr>
                      <w:rFonts w:hint="default" w:ascii="Times New Roman" w:hAnsi="Times New Roman" w:cs="Times New Roman"/>
                      <w:b w:val="0"/>
                      <w:bCs w:val="0"/>
                      <w:color w:val="auto"/>
                      <w:sz w:val="18"/>
                      <w:szCs w:val="18"/>
                      <w:highlight w:val="none"/>
                      <w:vertAlign w:val="baseline"/>
                      <w:lang w:val="en-US" w:eastAsia="zh-CN"/>
                    </w:rPr>
                    <w:t>h/a</w:t>
                  </w:r>
                </w:p>
              </w:tc>
              <w:tc>
                <w:tcPr>
                  <w:tcW w:w="1077"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150</w:t>
                  </w:r>
                </w:p>
              </w:tc>
              <w:tc>
                <w:tcPr>
                  <w:tcW w:w="2868"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市政供电管网</w:t>
                  </w:r>
                </w:p>
              </w:tc>
            </w:tr>
          </w:tbl>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理化性质一览表</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804"/>
              <w:gridCol w:w="66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6" w:type="pct"/>
                  <w:tcBorders>
                    <w:tl2br w:val="nil"/>
                    <w:tr2bl w:val="nil"/>
                  </w:tcBorders>
                  <w:vAlign w:val="center"/>
                </w:tcPr>
                <w:p>
                  <w:pPr>
                    <w:pStyle w:val="4"/>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名称</w:t>
                  </w:r>
                </w:p>
              </w:tc>
              <w:tc>
                <w:tcPr>
                  <w:tcW w:w="484" w:type="pct"/>
                  <w:tcBorders>
                    <w:tl2br w:val="nil"/>
                    <w:tr2bl w:val="nil"/>
                  </w:tcBorders>
                  <w:vAlign w:val="center"/>
                </w:tcPr>
                <w:p>
                  <w:pPr>
                    <w:pStyle w:val="4"/>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状态</w:t>
                  </w:r>
                </w:p>
              </w:tc>
              <w:tc>
                <w:tcPr>
                  <w:tcW w:w="4009" w:type="pct"/>
                  <w:tcBorders>
                    <w:tl2br w:val="nil"/>
                    <w:tr2bl w:val="nil"/>
                  </w:tcBorders>
                  <w:vAlign w:val="center"/>
                </w:tcPr>
                <w:p>
                  <w:pPr>
                    <w:pStyle w:val="4"/>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理化性质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6" w:type="pct"/>
                  <w:tcBorders>
                    <w:tl2br w:val="nil"/>
                    <w:tr2bl w:val="nil"/>
                  </w:tcBorders>
                  <w:vAlign w:val="center"/>
                </w:tcPr>
                <w:p>
                  <w:pPr>
                    <w:pStyle w:val="4"/>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eastAsia="宋体" w:cs="Times New Roman"/>
                      <w:b w:val="0"/>
                      <w:bCs w:val="0"/>
                      <w:color w:val="auto"/>
                      <w:sz w:val="18"/>
                      <w:szCs w:val="18"/>
                      <w:highlight w:val="green"/>
                      <w:vertAlign w:val="baseline"/>
                      <w:lang w:val="en-US" w:eastAsia="zh-CN"/>
                    </w:rPr>
                  </w:pPr>
                  <w:r>
                    <w:rPr>
                      <w:rFonts w:ascii="Times New Roman" w:hAnsi="Times New Roman" w:cs="Times New Roman" w:eastAsiaTheme="minorEastAsia"/>
                      <w:b w:val="0"/>
                      <w:bCs w:val="0"/>
                      <w:color w:val="auto"/>
                      <w:sz w:val="18"/>
                      <w:szCs w:val="18"/>
                    </w:rPr>
                    <w:t>电解液</w:t>
                  </w:r>
                </w:p>
              </w:tc>
              <w:tc>
                <w:tcPr>
                  <w:tcW w:w="484" w:type="pct"/>
                  <w:tcBorders>
                    <w:tl2br w:val="nil"/>
                    <w:tr2bl w:val="nil"/>
                  </w:tcBorders>
                  <w:vAlign w:val="center"/>
                </w:tcPr>
                <w:p>
                  <w:pPr>
                    <w:pStyle w:val="4"/>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eastAsia" w:ascii="Times New Roman" w:hAnsi="Times New Roman" w:cs="Times New Roman"/>
                      <w:b w:val="0"/>
                      <w:bCs w:val="0"/>
                      <w:color w:val="auto"/>
                      <w:sz w:val="18"/>
                      <w:szCs w:val="18"/>
                      <w:highlight w:val="none"/>
                      <w:vertAlign w:val="baseline"/>
                      <w:lang w:val="en-US" w:eastAsia="zh-CN"/>
                    </w:rPr>
                    <w:t>液态</w:t>
                  </w:r>
                </w:p>
              </w:tc>
              <w:tc>
                <w:tcPr>
                  <w:tcW w:w="4009" w:type="pct"/>
                  <w:tcBorders>
                    <w:tl2br w:val="nil"/>
                    <w:tr2bl w:val="nil"/>
                  </w:tcBorders>
                  <w:vAlign w:val="center"/>
                </w:tcPr>
                <w:p>
                  <w:pPr>
                    <w:pStyle w:val="4"/>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left"/>
                    <w:textAlignment w:val="auto"/>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主要成份：</w:t>
                  </w:r>
                  <w:r>
                    <w:rPr>
                      <w:rFonts w:hint="default" w:ascii="Times New Roman" w:hAnsi="Times New Roman" w:eastAsia="宋体" w:cs="Times New Roman"/>
                      <w:b w:val="0"/>
                      <w:bCs w:val="0"/>
                      <w:color w:val="auto"/>
                      <w:sz w:val="18"/>
                      <w:szCs w:val="18"/>
                      <w:highlight w:val="none"/>
                      <w:vertAlign w:val="baseline"/>
                      <w:lang w:val="en-US" w:eastAsia="zh-CN"/>
                    </w:rPr>
                    <w:t>六氟磷酸锂、碳酸二甲酯、碳酸乙烯酯、碳酸甲乙酯、碳酸二乙酯。</w:t>
                  </w:r>
                </w:p>
                <w:p>
                  <w:pPr>
                    <w:pStyle w:val="4"/>
                    <w:keepNext w:val="0"/>
                    <w:keepLines w:val="0"/>
                    <w:pageBreakBefore w:val="0"/>
                    <w:widowControl w:val="0"/>
                    <w:numPr>
                      <w:ilvl w:val="3"/>
                      <w:numId w:val="0"/>
                    </w:numPr>
                    <w:kinsoku/>
                    <w:wordWrap w:val="0"/>
                    <w:overflowPunct/>
                    <w:topLinePunct w:val="0"/>
                    <w:autoSpaceDE/>
                    <w:autoSpaceDN/>
                    <w:bidi w:val="0"/>
                    <w:adjustRightInd/>
                    <w:snapToGrid/>
                    <w:spacing w:before="0" w:beforeLines="0" w:after="0" w:line="320" w:lineRule="exact"/>
                    <w:jc w:val="left"/>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六氟磷酸锂：</w:t>
                  </w:r>
                  <w:r>
                    <w:rPr>
                      <w:rFonts w:hint="default" w:ascii="Times New Roman" w:hAnsi="Times New Roman" w:eastAsia="宋体" w:cs="Times New Roman"/>
                      <w:b w:val="0"/>
                      <w:bCs w:val="0"/>
                      <w:color w:val="auto"/>
                      <w:sz w:val="18"/>
                      <w:szCs w:val="18"/>
                      <w:highlight w:val="none"/>
                      <w:vertAlign w:val="baseline"/>
                      <w:lang w:val="en-US" w:eastAsia="zh-CN"/>
                    </w:rPr>
                    <w:t>白色结晶或粉末，相对密度1.50。潮解性强；易溶于水、还溶于低浓度甲醇、乙醇、丙酮、碳酸酯类等有机溶剂。暴露空气中或加热时，六氟磷酸锂在空气中由于水蒸气的作用而迅速分解，放出PF5而产生白色烟雾；</w:t>
                  </w:r>
                </w:p>
                <w:p>
                  <w:pPr>
                    <w:pStyle w:val="4"/>
                    <w:keepNext w:val="0"/>
                    <w:keepLines w:val="0"/>
                    <w:pageBreakBefore w:val="0"/>
                    <w:widowControl w:val="0"/>
                    <w:numPr>
                      <w:ilvl w:val="3"/>
                      <w:numId w:val="0"/>
                    </w:numPr>
                    <w:kinsoku/>
                    <w:wordWrap w:val="0"/>
                    <w:overflowPunct/>
                    <w:topLinePunct w:val="0"/>
                    <w:autoSpaceDE/>
                    <w:autoSpaceDN/>
                    <w:bidi w:val="0"/>
                    <w:adjustRightInd/>
                    <w:snapToGrid/>
                    <w:spacing w:before="0" w:beforeLines="0" w:after="0" w:line="320" w:lineRule="exact"/>
                    <w:jc w:val="left"/>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碳酸二甲酯</w:t>
                  </w:r>
                  <w:r>
                    <w:rPr>
                      <w:rFonts w:hint="default" w:ascii="Times New Roman" w:hAnsi="Times New Roman" w:cs="Times New Roman"/>
                      <w:b/>
                      <w:bCs/>
                      <w:color w:val="auto"/>
                      <w:sz w:val="18"/>
                      <w:szCs w:val="18"/>
                      <w:highlight w:val="none"/>
                      <w:vertAlign w:val="baseline"/>
                      <w:lang w:val="en-US" w:eastAsia="zh-CN"/>
                    </w:rPr>
                    <w:t>（DMC）</w:t>
                  </w:r>
                  <w:r>
                    <w:rPr>
                      <w:rFonts w:hint="default" w:ascii="Times New Roman" w:hAnsi="Times New Roman" w:eastAsia="宋体" w:cs="Times New Roman"/>
                      <w:b/>
                      <w:bCs/>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highlight w:val="none"/>
                      <w:vertAlign w:val="baseline"/>
                      <w:lang w:val="en-US" w:eastAsia="zh-CN"/>
                    </w:rPr>
                    <w:t>常温时是一种无色透明、略有气味、微甜的液体，熔点4℃，沸点90.1℃，密度1.069g/cm</w:t>
                  </w:r>
                  <w:r>
                    <w:rPr>
                      <w:rFonts w:hint="default" w:ascii="Times New Roman" w:hAnsi="Times New Roman" w:eastAsia="宋体" w:cs="Times New Roman"/>
                      <w:b w:val="0"/>
                      <w:bCs w:val="0"/>
                      <w:color w:val="auto"/>
                      <w:sz w:val="18"/>
                      <w:szCs w:val="18"/>
                      <w:highlight w:val="none"/>
                      <w:vertAlign w:val="superscript"/>
                      <w:lang w:val="en-US" w:eastAsia="zh-CN"/>
                    </w:rPr>
                    <w:t>3</w:t>
                  </w:r>
                  <w:r>
                    <w:rPr>
                      <w:rFonts w:hint="default" w:ascii="Times New Roman" w:hAnsi="Times New Roman" w:eastAsia="宋体" w:cs="Times New Roman"/>
                      <w:b w:val="0"/>
                      <w:bCs w:val="0"/>
                      <w:color w:val="auto"/>
                      <w:sz w:val="18"/>
                      <w:szCs w:val="18"/>
                      <w:highlight w:val="none"/>
                      <w:vertAlign w:val="baseline"/>
                      <w:lang w:val="en-US" w:eastAsia="zh-CN"/>
                    </w:rPr>
                    <w:t>，难溶于水，但可以与醇、醚、酮等几乎所有的有机溶剂混溶。DMC毒性很低，LD</w:t>
                  </w:r>
                  <w:r>
                    <w:rPr>
                      <w:rFonts w:hint="default" w:ascii="Times New Roman" w:hAnsi="Times New Roman" w:eastAsia="宋体" w:cs="Times New Roman"/>
                      <w:b w:val="0"/>
                      <w:bCs w:val="0"/>
                      <w:color w:val="auto"/>
                      <w:sz w:val="18"/>
                      <w:szCs w:val="18"/>
                      <w:highlight w:val="none"/>
                      <w:vertAlign w:val="subscript"/>
                      <w:lang w:val="en-US" w:eastAsia="zh-CN"/>
                    </w:rPr>
                    <w:t>50</w:t>
                  </w:r>
                  <w:r>
                    <w:rPr>
                      <w:rFonts w:hint="default" w:ascii="Times New Roman" w:hAnsi="Times New Roman" w:eastAsia="宋体" w:cs="Times New Roman"/>
                      <w:b w:val="0"/>
                      <w:bCs w:val="0"/>
                      <w:color w:val="auto"/>
                      <w:sz w:val="18"/>
                      <w:szCs w:val="18"/>
                      <w:highlight w:val="none"/>
                      <w:vertAlign w:val="baseline"/>
                      <w:lang w:val="en-US" w:eastAsia="zh-CN"/>
                    </w:rPr>
                    <w:t xml:space="preserve"> 112900mg/kg大鼠经口，在1992年就被欧洲列为无毒产品，是一种符合现代"清洁工艺"要求的环保型化工原料，是集清洁性和安全性于一身的绿色溶剂</w:t>
                  </w:r>
                  <w:r>
                    <w:rPr>
                      <w:rFonts w:hint="default" w:ascii="Times New Roman" w:hAnsi="Times New Roman" w:cs="Times New Roman"/>
                      <w:b w:val="0"/>
                      <w:bCs w:val="0"/>
                      <w:color w:val="auto"/>
                      <w:sz w:val="18"/>
                      <w:szCs w:val="18"/>
                      <w:highlight w:val="none"/>
                      <w:vertAlign w:val="baseline"/>
                      <w:lang w:val="en-US" w:eastAsia="zh-CN"/>
                    </w:rPr>
                    <w:t>；</w:t>
                  </w:r>
                </w:p>
                <w:p>
                  <w:pPr>
                    <w:pStyle w:val="4"/>
                    <w:keepNext w:val="0"/>
                    <w:keepLines w:val="0"/>
                    <w:pageBreakBefore w:val="0"/>
                    <w:widowControl w:val="0"/>
                    <w:numPr>
                      <w:ilvl w:val="3"/>
                      <w:numId w:val="0"/>
                    </w:numPr>
                    <w:kinsoku/>
                    <w:wordWrap w:val="0"/>
                    <w:overflowPunct/>
                    <w:topLinePunct w:val="0"/>
                    <w:autoSpaceDE/>
                    <w:autoSpaceDN/>
                    <w:bidi w:val="0"/>
                    <w:adjustRightInd/>
                    <w:snapToGrid/>
                    <w:spacing w:before="0" w:beforeLines="0" w:after="0" w:line="320" w:lineRule="exact"/>
                    <w:jc w:val="left"/>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碳酸乙烯酯</w:t>
                  </w:r>
                  <w:r>
                    <w:rPr>
                      <w:rFonts w:hint="eastAsia" w:ascii="Times New Roman" w:hAnsi="Times New Roman" w:cs="Times New Roman"/>
                      <w:b/>
                      <w:bCs/>
                      <w:color w:val="auto"/>
                      <w:sz w:val="18"/>
                      <w:szCs w:val="18"/>
                      <w:highlight w:val="none"/>
                      <w:vertAlign w:val="baseline"/>
                      <w:lang w:val="en-US" w:eastAsia="zh-CN"/>
                    </w:rPr>
                    <w:t>（EC）</w:t>
                  </w:r>
                  <w:r>
                    <w:rPr>
                      <w:rFonts w:hint="default" w:ascii="Times New Roman" w:hAnsi="Times New Roman" w:eastAsia="宋体" w:cs="Times New Roman"/>
                      <w:b/>
                      <w:bCs/>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highlight w:val="none"/>
                      <w:vertAlign w:val="baseline"/>
                      <w:lang w:val="en-US" w:eastAsia="zh-CN"/>
                    </w:rPr>
                    <w:t>透明无色液体(&gt;35℃)</w:t>
                  </w:r>
                  <w:r>
                    <w:rPr>
                      <w:rFonts w:hint="default" w:ascii="Times New Roman" w:hAnsi="Times New Roman" w:cs="Times New Roman"/>
                      <w:b w:val="0"/>
                      <w:bCs w:val="0"/>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highlight w:val="none"/>
                      <w:vertAlign w:val="baseline"/>
                      <w:lang w:val="en-US" w:eastAsia="zh-CN"/>
                    </w:rPr>
                    <w:t>室温时为结晶固体。沸点</w:t>
                  </w:r>
                  <w:r>
                    <w:rPr>
                      <w:rFonts w:hint="eastAsia" w:ascii="Times New Roman" w:hAnsi="Times New Roman" w:cs="Times New Roman"/>
                      <w:b w:val="0"/>
                      <w:bCs w:val="0"/>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highlight w:val="none"/>
                      <w:vertAlign w:val="baseline"/>
                      <w:lang w:val="en-US" w:eastAsia="zh-CN"/>
                    </w:rPr>
                    <w:t>248℃/760mmHg，243-244℃/740mmHg</w:t>
                  </w:r>
                  <w:r>
                    <w:rPr>
                      <w:rFonts w:hint="default" w:ascii="Times New Roman" w:hAnsi="Times New Roman" w:cs="Times New Roman"/>
                      <w:b w:val="0"/>
                      <w:bCs w:val="0"/>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highlight w:val="none"/>
                      <w:vertAlign w:val="baseline"/>
                      <w:lang w:val="en-US" w:eastAsia="zh-CN"/>
                    </w:rPr>
                    <w:t>闪点</w:t>
                  </w:r>
                  <w:r>
                    <w:rPr>
                      <w:rFonts w:hint="default" w:ascii="Times New Roman" w:hAnsi="Times New Roman" w:cs="Times New Roman"/>
                      <w:b w:val="0"/>
                      <w:bCs w:val="0"/>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highlight w:val="none"/>
                      <w:vertAlign w:val="baseline"/>
                      <w:lang w:val="en-US" w:eastAsia="zh-CN"/>
                    </w:rPr>
                    <w:t>160℃</w:t>
                  </w:r>
                  <w:r>
                    <w:rPr>
                      <w:rFonts w:hint="default" w:ascii="Times New Roman" w:hAnsi="Times New Roman" w:cs="Times New Roman"/>
                      <w:b w:val="0"/>
                      <w:bCs w:val="0"/>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highlight w:val="none"/>
                      <w:vertAlign w:val="baseline"/>
                      <w:lang w:val="en-US" w:eastAsia="zh-CN"/>
                    </w:rPr>
                    <w:t>密度</w:t>
                  </w:r>
                  <w:r>
                    <w:rPr>
                      <w:rFonts w:hint="default" w:ascii="Times New Roman" w:hAnsi="Times New Roman" w:cs="Times New Roman"/>
                      <w:b w:val="0"/>
                      <w:bCs w:val="0"/>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highlight w:val="none"/>
                      <w:vertAlign w:val="baseline"/>
                      <w:lang w:val="en-US" w:eastAsia="zh-CN"/>
                    </w:rPr>
                    <w:t>1.3218</w:t>
                  </w:r>
                  <w:r>
                    <w:rPr>
                      <w:rFonts w:hint="default" w:ascii="Times New Roman" w:hAnsi="Times New Roman" w:cs="Times New Roman"/>
                      <w:b w:val="0"/>
                      <w:bCs w:val="0"/>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highlight w:val="none"/>
                      <w:vertAlign w:val="baseline"/>
                      <w:lang w:val="en-US" w:eastAsia="zh-CN"/>
                    </w:rPr>
                    <w:t>折光率:1.4158</w:t>
                  </w:r>
                  <w:r>
                    <w:rPr>
                      <w:rFonts w:hint="default" w:ascii="Times New Roman" w:hAnsi="Times New Roman" w:cs="Times New Roman"/>
                      <w:b w:val="0"/>
                      <w:bCs w:val="0"/>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highlight w:val="none"/>
                      <w:vertAlign w:val="baseline"/>
                      <w:lang w:val="en-US" w:eastAsia="zh-CN"/>
                    </w:rPr>
                    <w:t>50℃</w:t>
                  </w:r>
                  <w:r>
                    <w:rPr>
                      <w:rFonts w:hint="default" w:ascii="Times New Roman" w:hAnsi="Times New Roman" w:cs="Times New Roman"/>
                      <w:b w:val="0"/>
                      <w:bCs w:val="0"/>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highlight w:val="none"/>
                      <w:vertAlign w:val="baseline"/>
                      <w:lang w:val="en-US" w:eastAsia="zh-CN"/>
                    </w:rPr>
                    <w:t>熔点:35-38℃</w:t>
                  </w:r>
                  <w:r>
                    <w:rPr>
                      <w:rFonts w:hint="default" w:ascii="Times New Roman" w:hAnsi="Times New Roman" w:cs="Times New Roman"/>
                      <w:b w:val="0"/>
                      <w:bCs w:val="0"/>
                      <w:color w:val="auto"/>
                      <w:sz w:val="18"/>
                      <w:szCs w:val="18"/>
                      <w:highlight w:val="none"/>
                      <w:vertAlign w:val="baseline"/>
                      <w:lang w:val="en-US" w:eastAsia="zh-CN"/>
                    </w:rPr>
                    <w:t>；</w:t>
                  </w:r>
                </w:p>
                <w:p>
                  <w:pPr>
                    <w:pStyle w:val="4"/>
                    <w:keepNext w:val="0"/>
                    <w:keepLines w:val="0"/>
                    <w:pageBreakBefore w:val="0"/>
                    <w:widowControl w:val="0"/>
                    <w:numPr>
                      <w:ilvl w:val="3"/>
                      <w:numId w:val="0"/>
                    </w:numPr>
                    <w:kinsoku/>
                    <w:wordWrap w:val="0"/>
                    <w:overflowPunct/>
                    <w:topLinePunct w:val="0"/>
                    <w:autoSpaceDE/>
                    <w:autoSpaceDN/>
                    <w:bidi w:val="0"/>
                    <w:adjustRightInd/>
                    <w:snapToGrid/>
                    <w:spacing w:before="0" w:beforeLines="0" w:after="0" w:line="320" w:lineRule="exact"/>
                    <w:jc w:val="left"/>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cs="Times New Roman"/>
                      <w:b/>
                      <w:bCs/>
                      <w:color w:val="auto"/>
                      <w:sz w:val="18"/>
                      <w:szCs w:val="18"/>
                      <w:highlight w:val="none"/>
                      <w:vertAlign w:val="baseline"/>
                      <w:lang w:val="en-US" w:eastAsia="zh-CN"/>
                    </w:rPr>
                    <w:t>碳酸甲乙酯</w:t>
                  </w:r>
                  <w:r>
                    <w:rPr>
                      <w:rFonts w:hint="eastAsia" w:ascii="Times New Roman" w:hAnsi="Times New Roman" w:cs="Times New Roman"/>
                      <w:b/>
                      <w:bCs/>
                      <w:color w:val="auto"/>
                      <w:sz w:val="18"/>
                      <w:szCs w:val="18"/>
                      <w:highlight w:val="none"/>
                      <w:vertAlign w:val="baseline"/>
                      <w:lang w:val="en-US" w:eastAsia="zh-CN"/>
                    </w:rPr>
                    <w:t>（EMC）</w:t>
                  </w:r>
                  <w:r>
                    <w:rPr>
                      <w:rFonts w:hint="default" w:ascii="Times New Roman" w:hAnsi="Times New Roman" w:cs="Times New Roman"/>
                      <w:b/>
                      <w:bCs/>
                      <w:color w:val="auto"/>
                      <w:sz w:val="18"/>
                      <w:szCs w:val="18"/>
                      <w:highlight w:val="none"/>
                      <w:vertAlign w:val="baseline"/>
                      <w:lang w:val="en-US" w:eastAsia="zh-CN"/>
                    </w:rPr>
                    <w:t>：</w:t>
                  </w:r>
                  <w:r>
                    <w:rPr>
                      <w:rFonts w:hint="default" w:ascii="Times New Roman" w:hAnsi="Times New Roman" w:cs="Times New Roman"/>
                      <w:b w:val="0"/>
                      <w:bCs w:val="0"/>
                      <w:color w:val="auto"/>
                      <w:sz w:val="18"/>
                      <w:szCs w:val="18"/>
                      <w:highlight w:val="none"/>
                      <w:vertAlign w:val="baseline"/>
                      <w:lang w:val="en-US" w:eastAsia="zh-CN"/>
                    </w:rPr>
                    <w:t>分子量</w:t>
                  </w:r>
                  <w:r>
                    <w:rPr>
                      <w:rFonts w:hint="eastAsia" w:ascii="Times New Roman" w:hAnsi="Times New Roman" w:cs="Times New Roman"/>
                      <w:b w:val="0"/>
                      <w:bCs w:val="0"/>
                      <w:color w:val="auto"/>
                      <w:sz w:val="18"/>
                      <w:szCs w:val="18"/>
                      <w:highlight w:val="none"/>
                      <w:vertAlign w:val="baseline"/>
                      <w:lang w:val="en-US" w:eastAsia="zh-CN"/>
                    </w:rPr>
                    <w:t>：</w:t>
                  </w:r>
                  <w:r>
                    <w:rPr>
                      <w:rFonts w:hint="default" w:ascii="Times New Roman" w:hAnsi="Times New Roman" w:cs="Times New Roman"/>
                      <w:b w:val="0"/>
                      <w:bCs w:val="0"/>
                      <w:color w:val="auto"/>
                      <w:sz w:val="18"/>
                      <w:szCs w:val="18"/>
                      <w:highlight w:val="none"/>
                      <w:vertAlign w:val="baseline"/>
                      <w:lang w:val="en-US" w:eastAsia="zh-CN"/>
                    </w:rPr>
                    <w:t>104.1</w:t>
                  </w:r>
                  <w:r>
                    <w:rPr>
                      <w:rFonts w:hint="eastAsia" w:ascii="Times New Roman" w:hAnsi="Times New Roman" w:cs="Times New Roman"/>
                      <w:b w:val="0"/>
                      <w:bCs w:val="0"/>
                      <w:color w:val="auto"/>
                      <w:sz w:val="18"/>
                      <w:szCs w:val="18"/>
                      <w:highlight w:val="none"/>
                      <w:vertAlign w:val="baseline"/>
                      <w:lang w:val="en-US" w:eastAsia="zh-CN"/>
                    </w:rPr>
                    <w:t>，</w:t>
                  </w:r>
                  <w:r>
                    <w:rPr>
                      <w:rFonts w:hint="default" w:ascii="Times New Roman" w:hAnsi="Times New Roman" w:cs="Times New Roman"/>
                      <w:b w:val="0"/>
                      <w:bCs w:val="0"/>
                      <w:color w:val="auto"/>
                      <w:sz w:val="18"/>
                      <w:szCs w:val="18"/>
                      <w:highlight w:val="none"/>
                      <w:vertAlign w:val="baseline"/>
                      <w:lang w:val="en-US" w:eastAsia="zh-CN"/>
                    </w:rPr>
                    <w:t>密度1.00 g/cm</w:t>
                  </w:r>
                  <w:r>
                    <w:rPr>
                      <w:rFonts w:hint="default" w:ascii="Times New Roman" w:hAnsi="Times New Roman" w:cs="Times New Roman"/>
                      <w:b w:val="0"/>
                      <w:bCs w:val="0"/>
                      <w:color w:val="auto"/>
                      <w:sz w:val="18"/>
                      <w:szCs w:val="18"/>
                      <w:highlight w:val="none"/>
                      <w:vertAlign w:val="superscript"/>
                      <w:lang w:val="en-US" w:eastAsia="zh-CN"/>
                    </w:rPr>
                    <w:t>3</w:t>
                  </w:r>
                  <w:r>
                    <w:rPr>
                      <w:rFonts w:hint="default" w:ascii="Times New Roman" w:hAnsi="Times New Roman" w:cs="Times New Roman"/>
                      <w:b w:val="0"/>
                      <w:bCs w:val="0"/>
                      <w:color w:val="auto"/>
                      <w:sz w:val="18"/>
                      <w:szCs w:val="18"/>
                      <w:highlight w:val="none"/>
                      <w:vertAlign w:val="baseline"/>
                      <w:lang w:val="en-US" w:eastAsia="zh-CN"/>
                    </w:rPr>
                    <w:t>，无色透明液体，沸点109℃，熔点-55℃，是近年来兴起的高科技、高附加值的化工产品，一种优良的锂离子电池电解液的溶剂，是随着碳酸二甲酯及锂离子电池产量增大而延伸出的最新产品，由于它同时拥有甲基和乙基，兼有碳酸二甲酯、碳酸二乙酯特性，也是特种香料和中间体的溶剂。由于甲乙基的不平衡性，该产品不稳定，不适宜长期储存；</w:t>
                  </w:r>
                </w:p>
                <w:p>
                  <w:pPr>
                    <w:pStyle w:val="4"/>
                    <w:keepNext w:val="0"/>
                    <w:keepLines w:val="0"/>
                    <w:pageBreakBefore w:val="0"/>
                    <w:widowControl w:val="0"/>
                    <w:numPr>
                      <w:ilvl w:val="3"/>
                      <w:numId w:val="0"/>
                    </w:numPr>
                    <w:kinsoku/>
                    <w:wordWrap w:val="0"/>
                    <w:overflowPunct/>
                    <w:topLinePunct w:val="0"/>
                    <w:autoSpaceDE/>
                    <w:autoSpaceDN/>
                    <w:bidi w:val="0"/>
                    <w:adjustRightInd/>
                    <w:snapToGrid/>
                    <w:spacing w:before="0" w:beforeLines="0" w:after="0" w:line="320" w:lineRule="exact"/>
                    <w:jc w:val="left"/>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cs="Times New Roman"/>
                      <w:b/>
                      <w:bCs/>
                      <w:color w:val="auto"/>
                      <w:sz w:val="18"/>
                      <w:szCs w:val="18"/>
                      <w:highlight w:val="none"/>
                      <w:vertAlign w:val="baseline"/>
                      <w:lang w:val="en-US" w:eastAsia="zh-CN"/>
                    </w:rPr>
                    <w:t>碳酸二乙酯</w:t>
                  </w:r>
                  <w:r>
                    <w:rPr>
                      <w:rFonts w:hint="eastAsia" w:ascii="Times New Roman" w:hAnsi="Times New Roman" w:cs="Times New Roman"/>
                      <w:b/>
                      <w:bCs/>
                      <w:color w:val="auto"/>
                      <w:sz w:val="18"/>
                      <w:szCs w:val="18"/>
                      <w:highlight w:val="none"/>
                      <w:vertAlign w:val="baseline"/>
                      <w:lang w:val="en-US" w:eastAsia="zh-CN"/>
                    </w:rPr>
                    <w:t>（DEC）</w:t>
                  </w:r>
                  <w:r>
                    <w:rPr>
                      <w:rFonts w:hint="default" w:ascii="Times New Roman" w:hAnsi="Times New Roman" w:cs="Times New Roman"/>
                      <w:b/>
                      <w:bCs/>
                      <w:color w:val="auto"/>
                      <w:sz w:val="18"/>
                      <w:szCs w:val="18"/>
                      <w:highlight w:val="none"/>
                      <w:vertAlign w:val="baseline"/>
                      <w:lang w:val="en-US" w:eastAsia="zh-CN"/>
                    </w:rPr>
                    <w:t>：</w:t>
                  </w:r>
                  <w:r>
                    <w:rPr>
                      <w:rFonts w:hint="default" w:ascii="Times New Roman" w:hAnsi="Times New Roman" w:cs="Times New Roman"/>
                      <w:b w:val="0"/>
                      <w:bCs w:val="0"/>
                      <w:color w:val="auto"/>
                      <w:sz w:val="18"/>
                      <w:szCs w:val="18"/>
                      <w:highlight w:val="none"/>
                      <w:vertAlign w:val="baseline"/>
                      <w:lang w:val="en-US" w:eastAsia="zh-CN"/>
                    </w:rPr>
                    <w:t>无色液体，稍有气味；蒸汽压1.33kPa/23.8℃；闪点25℃；熔点-43℃；沸点125.8℃；溶解性：不溶于水，可混溶于醇、酮、酯等多数有机溶剂;密度：相对密度</w:t>
                  </w:r>
                  <w:r>
                    <w:rPr>
                      <w:rFonts w:hint="eastAsia" w:ascii="Times New Roman" w:hAnsi="Times New Roman" w:cs="Times New Roman"/>
                      <w:b w:val="0"/>
                      <w:bCs w:val="0"/>
                      <w:color w:val="auto"/>
                      <w:sz w:val="18"/>
                      <w:szCs w:val="18"/>
                      <w:highlight w:val="none"/>
                      <w:vertAlign w:val="baseline"/>
                      <w:lang w:val="en-US" w:eastAsia="zh-CN"/>
                    </w:rPr>
                    <w:t>（</w:t>
                  </w:r>
                  <w:r>
                    <w:rPr>
                      <w:rFonts w:hint="default" w:ascii="Times New Roman" w:hAnsi="Times New Roman" w:cs="Times New Roman"/>
                      <w:b w:val="0"/>
                      <w:bCs w:val="0"/>
                      <w:color w:val="auto"/>
                      <w:sz w:val="18"/>
                      <w:szCs w:val="18"/>
                      <w:highlight w:val="none"/>
                      <w:vertAlign w:val="baseline"/>
                      <w:lang w:val="en-US" w:eastAsia="zh-CN"/>
                    </w:rPr>
                    <w:t>水=1</w:t>
                  </w:r>
                  <w:r>
                    <w:rPr>
                      <w:rFonts w:hint="eastAsia" w:ascii="Times New Roman" w:hAnsi="Times New Roman" w:cs="Times New Roman"/>
                      <w:b w:val="0"/>
                      <w:bCs w:val="0"/>
                      <w:color w:val="auto"/>
                      <w:sz w:val="18"/>
                      <w:szCs w:val="18"/>
                      <w:highlight w:val="none"/>
                      <w:vertAlign w:val="baseline"/>
                      <w:lang w:val="en-US" w:eastAsia="zh-CN"/>
                    </w:rPr>
                    <w:t>）</w:t>
                  </w:r>
                  <w:r>
                    <w:rPr>
                      <w:rFonts w:hint="default" w:ascii="Times New Roman" w:hAnsi="Times New Roman" w:cs="Times New Roman"/>
                      <w:b w:val="0"/>
                      <w:bCs w:val="0"/>
                      <w:color w:val="auto"/>
                      <w:sz w:val="18"/>
                      <w:szCs w:val="18"/>
                      <w:highlight w:val="none"/>
                      <w:vertAlign w:val="baseline"/>
                      <w:lang w:val="en-US" w:eastAsia="zh-CN"/>
                    </w:rPr>
                    <w:t>1.0；相对密度</w:t>
                  </w:r>
                  <w:r>
                    <w:rPr>
                      <w:rFonts w:hint="eastAsia" w:ascii="Times New Roman" w:hAnsi="Times New Roman" w:cs="Times New Roman"/>
                      <w:b w:val="0"/>
                      <w:bCs w:val="0"/>
                      <w:color w:val="auto"/>
                      <w:sz w:val="18"/>
                      <w:szCs w:val="18"/>
                      <w:highlight w:val="none"/>
                      <w:vertAlign w:val="baseline"/>
                      <w:lang w:val="en-US" w:eastAsia="zh-CN"/>
                    </w:rPr>
                    <w:t>（</w:t>
                  </w:r>
                  <w:r>
                    <w:rPr>
                      <w:rFonts w:hint="default" w:ascii="Times New Roman" w:hAnsi="Times New Roman" w:cs="Times New Roman"/>
                      <w:b w:val="0"/>
                      <w:bCs w:val="0"/>
                      <w:color w:val="auto"/>
                      <w:sz w:val="18"/>
                      <w:szCs w:val="18"/>
                      <w:highlight w:val="none"/>
                      <w:vertAlign w:val="baseline"/>
                      <w:lang w:val="en-US" w:eastAsia="zh-CN"/>
                    </w:rPr>
                    <w:t>空气=1</w:t>
                  </w:r>
                  <w:r>
                    <w:rPr>
                      <w:rFonts w:hint="eastAsia" w:ascii="Times New Roman" w:hAnsi="Times New Roman" w:cs="Times New Roman"/>
                      <w:b w:val="0"/>
                      <w:bCs w:val="0"/>
                      <w:color w:val="auto"/>
                      <w:sz w:val="18"/>
                      <w:szCs w:val="18"/>
                      <w:highlight w:val="none"/>
                      <w:vertAlign w:val="baseline"/>
                      <w:lang w:val="en-US" w:eastAsia="zh-CN"/>
                    </w:rPr>
                    <w:t>）</w:t>
                  </w:r>
                  <w:r>
                    <w:rPr>
                      <w:rFonts w:hint="default" w:ascii="Times New Roman" w:hAnsi="Times New Roman" w:cs="Times New Roman"/>
                      <w:b w:val="0"/>
                      <w:bCs w:val="0"/>
                      <w:color w:val="auto"/>
                      <w:sz w:val="18"/>
                      <w:szCs w:val="18"/>
                      <w:highlight w:val="none"/>
                      <w:vertAlign w:val="baseline"/>
                      <w:lang w:val="en-US" w:eastAsia="zh-CN"/>
                    </w:rPr>
                    <w:t>4.07；稳定性：稳定；危险标记7</w:t>
                  </w:r>
                  <w:r>
                    <w:rPr>
                      <w:rFonts w:hint="eastAsia" w:ascii="Times New Roman" w:hAnsi="Times New Roman" w:cs="Times New Roman"/>
                      <w:b w:val="0"/>
                      <w:bCs w:val="0"/>
                      <w:color w:val="auto"/>
                      <w:sz w:val="18"/>
                      <w:szCs w:val="18"/>
                      <w:highlight w:val="none"/>
                      <w:vertAlign w:val="baseline"/>
                      <w:lang w:val="en-US" w:eastAsia="zh-CN"/>
                    </w:rPr>
                    <w:t>（</w:t>
                  </w:r>
                  <w:r>
                    <w:rPr>
                      <w:rFonts w:hint="default" w:ascii="Times New Roman" w:hAnsi="Times New Roman" w:cs="Times New Roman"/>
                      <w:b w:val="0"/>
                      <w:bCs w:val="0"/>
                      <w:color w:val="auto"/>
                      <w:sz w:val="18"/>
                      <w:szCs w:val="18"/>
                      <w:highlight w:val="none"/>
                      <w:vertAlign w:val="baseline"/>
                      <w:lang w:val="en-US" w:eastAsia="zh-CN"/>
                    </w:rPr>
                    <w:t>易燃液体</w:t>
                  </w:r>
                  <w:r>
                    <w:rPr>
                      <w:rFonts w:hint="eastAsia" w:ascii="Times New Roman" w:hAnsi="Times New Roman" w:cs="Times New Roman"/>
                      <w:b w:val="0"/>
                      <w:bCs w:val="0"/>
                      <w:color w:val="auto"/>
                      <w:sz w:val="18"/>
                      <w:szCs w:val="18"/>
                      <w:highlight w:val="none"/>
                      <w:vertAlign w:val="baseline"/>
                      <w:lang w:val="en-US" w:eastAsia="zh-CN"/>
                    </w:rPr>
                    <w:t>）</w:t>
                  </w:r>
                  <w:r>
                    <w:rPr>
                      <w:rFonts w:hint="default" w:ascii="Times New Roman" w:hAnsi="Times New Roman" w:cs="Times New Roman"/>
                      <w:b w:val="0"/>
                      <w:bCs w:val="0"/>
                      <w:color w:val="auto"/>
                      <w:sz w:val="18"/>
                      <w:szCs w:val="18"/>
                      <w:highlight w:val="none"/>
                      <w:vertAlign w:val="baseline"/>
                      <w:lang w:val="en-US" w:eastAsia="zh-CN"/>
                    </w:rPr>
                    <w:t>；主要用途：用作溶剂及用于有机合成。</w:t>
                  </w:r>
                </w:p>
                <w:p>
                  <w:pPr>
                    <w:pStyle w:val="4"/>
                    <w:keepNext w:val="0"/>
                    <w:keepLines w:val="0"/>
                    <w:pageBreakBefore w:val="0"/>
                    <w:widowControl w:val="0"/>
                    <w:numPr>
                      <w:ilvl w:val="3"/>
                      <w:numId w:val="0"/>
                    </w:numPr>
                    <w:kinsoku/>
                    <w:wordWrap w:val="0"/>
                    <w:overflowPunct/>
                    <w:topLinePunct w:val="0"/>
                    <w:autoSpaceDE/>
                    <w:autoSpaceDN/>
                    <w:bidi w:val="0"/>
                    <w:adjustRightInd/>
                    <w:snapToGrid/>
                    <w:spacing w:before="0" w:beforeLines="0" w:after="0" w:line="320" w:lineRule="exact"/>
                    <w:jc w:val="left"/>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cs="Times New Roman"/>
                      <w:b/>
                      <w:bCs/>
                      <w:color w:val="auto"/>
                      <w:sz w:val="18"/>
                      <w:szCs w:val="18"/>
                      <w:highlight w:val="none"/>
                      <w:vertAlign w:val="baseline"/>
                      <w:lang w:val="en-US" w:eastAsia="zh-CN"/>
                    </w:rPr>
                    <w:t>电解液毒理特性：</w:t>
                  </w:r>
                  <w:r>
                    <w:rPr>
                      <w:rFonts w:hint="default" w:ascii="Times New Roman" w:hAnsi="Times New Roman" w:cs="Times New Roman"/>
                      <w:b w:val="0"/>
                      <w:bCs w:val="0"/>
                      <w:color w:val="auto"/>
                      <w:sz w:val="18"/>
                      <w:szCs w:val="18"/>
                      <w:highlight w:val="none"/>
                      <w:vertAlign w:val="baseline"/>
                      <w:lang w:val="en-US" w:eastAsia="zh-CN"/>
                    </w:rPr>
                    <w:t>本品有腐蚀性，勿入眼、口，勿触皮肤。如误触，立即用清水冲洗，严重者，按强酸烧伤就医。</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5、</w:t>
            </w:r>
            <w:r>
              <w:rPr>
                <w:rFonts w:hint="default" w:ascii="Times New Roman" w:hAnsi="Times New Roman" w:cs="Times New Roman"/>
                <w:b/>
                <w:color w:val="auto"/>
                <w:kern w:val="0"/>
                <w:szCs w:val="21"/>
                <w:highlight w:val="none"/>
              </w:rPr>
              <w:t>主要设备和装置</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rPr>
            </w:pPr>
            <w:r>
              <w:rPr>
                <w:rFonts w:hint="eastAsia" w:cs="Times New Roman"/>
                <w:bCs/>
                <w:color w:val="auto"/>
                <w:kern w:val="0"/>
                <w:szCs w:val="21"/>
                <w:highlight w:val="none"/>
                <w:lang w:eastAsia="zh-CN"/>
              </w:rPr>
              <w:t>本项目设备主要包括对辊机、切片机、分条机、半自动卷绕机等</w:t>
            </w:r>
            <w:r>
              <w:rPr>
                <w:rFonts w:hint="default" w:ascii="Times New Roman" w:hAnsi="Times New Roman" w:cs="Times New Roman"/>
                <w:bCs/>
                <w:color w:val="auto"/>
                <w:kern w:val="0"/>
                <w:szCs w:val="21"/>
                <w:highlight w:val="none"/>
                <w:lang w:eastAsia="zh-CN"/>
              </w:rPr>
              <w:t>，具体</w:t>
            </w:r>
            <w:r>
              <w:rPr>
                <w:rFonts w:hint="default" w:ascii="Times New Roman" w:hAnsi="Times New Roman" w:cs="Times New Roman"/>
                <w:bCs/>
                <w:color w:val="auto"/>
                <w:kern w:val="0"/>
                <w:szCs w:val="21"/>
                <w:highlight w:val="none"/>
              </w:rPr>
              <w:t>设备情况见</w:t>
            </w:r>
            <w:r>
              <w:rPr>
                <w:rFonts w:hint="default" w:ascii="Times New Roman" w:hAnsi="Times New Roman" w:cs="Times New Roman"/>
                <w:bCs/>
                <w:color w:val="auto"/>
                <w:kern w:val="0"/>
                <w:szCs w:val="21"/>
                <w:highlight w:val="none"/>
                <w:lang w:eastAsia="zh-CN"/>
              </w:rPr>
              <w:t>下表</w:t>
            </w:r>
            <w:r>
              <w:rPr>
                <w:rFonts w:hint="default" w:ascii="Times New Roman" w:hAnsi="Times New Roman" w:cs="Times New Roman"/>
                <w:bCs/>
                <w:color w:val="auto"/>
                <w:kern w:val="0"/>
                <w:szCs w:val="21"/>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工程工艺设备一览表</w:t>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898"/>
              <w:gridCol w:w="1385"/>
              <w:gridCol w:w="698"/>
              <w:gridCol w:w="709"/>
              <w:gridCol w:w="274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b w:val="0"/>
                      <w:bCs w:val="0"/>
                      <w:color w:val="auto"/>
                      <w:kern w:val="0"/>
                      <w:sz w:val="18"/>
                      <w:szCs w:val="18"/>
                      <w:highlight w:val="none"/>
                      <w:vertAlign w:val="baseline"/>
                      <w:lang w:val="en-US" w:eastAsia="zh-CN"/>
                    </w:rPr>
                  </w:pPr>
                  <w:r>
                    <w:rPr>
                      <w:rFonts w:hint="eastAsia" w:ascii="宋体" w:hAnsi="宋体" w:eastAsia="宋体" w:cs="宋体"/>
                      <w:b w:val="0"/>
                      <w:bCs w:val="0"/>
                      <w:i w:val="0"/>
                      <w:iCs w:val="0"/>
                      <w:color w:val="auto"/>
                      <w:kern w:val="0"/>
                      <w:sz w:val="18"/>
                      <w:szCs w:val="18"/>
                      <w:highlight w:val="none"/>
                      <w:u w:val="none"/>
                      <w:lang w:val="en-US" w:eastAsia="zh-CN" w:bidi="ar"/>
                    </w:rPr>
                    <w:t>序号</w:t>
                  </w:r>
                </w:p>
              </w:tc>
              <w:tc>
                <w:tcPr>
                  <w:tcW w:w="18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b w:val="0"/>
                      <w:bCs w:val="0"/>
                      <w:color w:val="auto"/>
                      <w:kern w:val="0"/>
                      <w:sz w:val="18"/>
                      <w:szCs w:val="18"/>
                      <w:highlight w:val="none"/>
                      <w:vertAlign w:val="baseline"/>
                      <w:lang w:val="en-US" w:eastAsia="zh-CN"/>
                    </w:rPr>
                  </w:pPr>
                  <w:r>
                    <w:rPr>
                      <w:rFonts w:hint="eastAsia" w:ascii="宋体" w:hAnsi="宋体" w:eastAsia="宋体" w:cs="宋体"/>
                      <w:b w:val="0"/>
                      <w:bCs w:val="0"/>
                      <w:i w:val="0"/>
                      <w:iCs w:val="0"/>
                      <w:color w:val="auto"/>
                      <w:kern w:val="0"/>
                      <w:sz w:val="18"/>
                      <w:szCs w:val="18"/>
                      <w:highlight w:val="none"/>
                      <w:u w:val="none"/>
                      <w:lang w:val="en-US" w:eastAsia="zh-CN" w:bidi="ar"/>
                    </w:rPr>
                    <w:t>设备名称</w:t>
                  </w:r>
                </w:p>
              </w:tc>
              <w:tc>
                <w:tcPr>
                  <w:tcW w:w="13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b w:val="0"/>
                      <w:bCs w:val="0"/>
                      <w:color w:val="auto"/>
                      <w:kern w:val="0"/>
                      <w:sz w:val="18"/>
                      <w:szCs w:val="18"/>
                      <w:highlight w:val="none"/>
                      <w:vertAlign w:val="baseline"/>
                      <w:lang w:val="en-US" w:eastAsia="zh-CN"/>
                    </w:rPr>
                  </w:pPr>
                  <w:r>
                    <w:rPr>
                      <w:rFonts w:hint="eastAsia" w:ascii="宋体" w:hAnsi="宋体" w:eastAsia="宋体" w:cs="宋体"/>
                      <w:b w:val="0"/>
                      <w:bCs w:val="0"/>
                      <w:i w:val="0"/>
                      <w:iCs w:val="0"/>
                      <w:color w:val="auto"/>
                      <w:kern w:val="0"/>
                      <w:sz w:val="18"/>
                      <w:szCs w:val="18"/>
                      <w:highlight w:val="none"/>
                      <w:u w:val="none"/>
                      <w:lang w:val="en-US" w:eastAsia="zh-CN" w:bidi="ar"/>
                    </w:rPr>
                    <w:t>型号</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b w:val="0"/>
                      <w:bCs w:val="0"/>
                      <w:color w:val="auto"/>
                      <w:kern w:val="0"/>
                      <w:sz w:val="18"/>
                      <w:szCs w:val="18"/>
                      <w:highlight w:val="none"/>
                      <w:vertAlign w:val="baseline"/>
                      <w:lang w:val="en-US" w:eastAsia="zh-CN"/>
                    </w:rPr>
                  </w:pPr>
                  <w:r>
                    <w:rPr>
                      <w:rFonts w:hint="eastAsia" w:ascii="宋体" w:hAnsi="宋体" w:eastAsia="宋体" w:cs="宋体"/>
                      <w:b w:val="0"/>
                      <w:bCs w:val="0"/>
                      <w:i w:val="0"/>
                      <w:iCs w:val="0"/>
                      <w:color w:val="auto"/>
                      <w:kern w:val="0"/>
                      <w:sz w:val="18"/>
                      <w:szCs w:val="18"/>
                      <w:highlight w:val="none"/>
                      <w:u w:val="none"/>
                      <w:lang w:val="en-US" w:eastAsia="zh-CN" w:bidi="ar"/>
                    </w:rPr>
                    <w:t>单位</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b w:val="0"/>
                      <w:bCs w:val="0"/>
                      <w:color w:val="auto"/>
                      <w:kern w:val="0"/>
                      <w:sz w:val="18"/>
                      <w:szCs w:val="18"/>
                      <w:highlight w:val="none"/>
                      <w:vertAlign w:val="baseline"/>
                      <w:lang w:val="en-US" w:eastAsia="zh-CN"/>
                    </w:rPr>
                  </w:pPr>
                  <w:r>
                    <w:rPr>
                      <w:rFonts w:hint="eastAsia" w:ascii="宋体" w:hAnsi="宋体" w:eastAsia="宋体" w:cs="宋体"/>
                      <w:b w:val="0"/>
                      <w:bCs w:val="0"/>
                      <w:i w:val="0"/>
                      <w:iCs w:val="0"/>
                      <w:color w:val="auto"/>
                      <w:kern w:val="0"/>
                      <w:sz w:val="18"/>
                      <w:szCs w:val="18"/>
                      <w:highlight w:val="none"/>
                      <w:u w:val="none"/>
                      <w:lang w:val="en-US" w:eastAsia="zh-CN" w:bidi="ar"/>
                    </w:rPr>
                    <w:t>数量</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宋体" w:hAnsi="宋体" w:eastAsia="宋体" w:cs="宋体"/>
                      <w:b w:val="0"/>
                      <w:bCs w:val="0"/>
                      <w:color w:val="auto"/>
                      <w:kern w:val="0"/>
                      <w:sz w:val="18"/>
                      <w:szCs w:val="18"/>
                      <w:highlight w:val="none"/>
                      <w:vertAlign w:val="baseline"/>
                      <w:lang w:val="en-US" w:eastAsia="zh-CN"/>
                    </w:rPr>
                  </w:pPr>
                  <w:r>
                    <w:rPr>
                      <w:rFonts w:hint="eastAsia" w:ascii="宋体" w:hAnsi="宋体" w:eastAsia="宋体" w:cs="宋体"/>
                      <w:b w:val="0"/>
                      <w:bCs w:val="0"/>
                      <w:i w:val="0"/>
                      <w:iCs w:val="0"/>
                      <w:color w:val="auto"/>
                      <w:kern w:val="0"/>
                      <w:sz w:val="18"/>
                      <w:szCs w:val="18"/>
                      <w:highlight w:val="none"/>
                      <w:u w:val="none"/>
                      <w:lang w:val="en-US" w:eastAsia="zh-CN" w:bidi="ar"/>
                    </w:rPr>
                    <w:t>功能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1</w:t>
                  </w:r>
                </w:p>
              </w:tc>
              <w:tc>
                <w:tcPr>
                  <w:tcW w:w="18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对辊机</w:t>
                  </w:r>
                </w:p>
              </w:tc>
              <w:tc>
                <w:tcPr>
                  <w:tcW w:w="13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250</w:t>
                  </w:r>
                  <w:r>
                    <w:rPr>
                      <w:rFonts w:hint="eastAsia" w:cs="Times New Roman"/>
                      <w:b w:val="0"/>
                      <w:bCs w:val="0"/>
                      <w:i w:val="0"/>
                      <w:iCs w:val="0"/>
                      <w:color w:val="auto"/>
                      <w:kern w:val="0"/>
                      <w:sz w:val="18"/>
                      <w:szCs w:val="18"/>
                      <w:highlight w:val="none"/>
                      <w:u w:val="none"/>
                      <w:lang w:val="en-US" w:eastAsia="zh-CN" w:bidi="ar"/>
                    </w:rPr>
                    <w:t>A</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1</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辊压正负极片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2</w:t>
                  </w:r>
                </w:p>
              </w:tc>
              <w:tc>
                <w:tcPr>
                  <w:tcW w:w="18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切片机</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0"/>
                      <w:sz w:val="18"/>
                      <w:szCs w:val="18"/>
                      <w:highlight w:val="none"/>
                      <w:vertAlign w:val="baseline"/>
                      <w:lang w:val="en-US" w:eastAsia="zh-CN"/>
                    </w:rPr>
                    <w:t>AC-CP-</w:t>
                  </w:r>
                  <w:r>
                    <w:rPr>
                      <w:rFonts w:hint="default" w:ascii="Times New Roman" w:hAnsi="Times New Roman" w:eastAsia="宋体" w:cs="Times New Roman"/>
                      <w:b w:val="0"/>
                      <w:bCs w:val="0"/>
                      <w:color w:val="auto"/>
                      <w:kern w:val="0"/>
                      <w:sz w:val="18"/>
                      <w:szCs w:val="18"/>
                      <w:highlight w:val="none"/>
                      <w:vertAlign w:val="baseline"/>
                      <w:lang w:val="en-US" w:eastAsia="zh-CN"/>
                    </w:rPr>
                    <w:t>500</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4</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cs="Times New Roman"/>
                      <w:b w:val="0"/>
                      <w:bCs w:val="0"/>
                      <w:i w:val="0"/>
                      <w:iCs w:val="0"/>
                      <w:color w:val="auto"/>
                      <w:kern w:val="0"/>
                      <w:sz w:val="18"/>
                      <w:szCs w:val="18"/>
                      <w:highlight w:val="none"/>
                      <w:u w:val="none"/>
                      <w:lang w:val="en-US" w:eastAsia="zh-CN" w:bidi="ar"/>
                    </w:rPr>
                    <w:t>正负极卷材</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切片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3</w:t>
                  </w:r>
                </w:p>
              </w:tc>
              <w:tc>
                <w:tcPr>
                  <w:tcW w:w="18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分条机</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eastAsia="宋体" w:cs="Times New Roman"/>
                      <w:b w:val="0"/>
                      <w:bCs w:val="0"/>
                      <w:color w:val="auto"/>
                      <w:kern w:val="0"/>
                      <w:sz w:val="18"/>
                      <w:szCs w:val="18"/>
                      <w:highlight w:val="none"/>
                      <w:vertAlign w:val="baseline"/>
                      <w:lang w:val="en-US" w:eastAsia="zh-CN"/>
                    </w:rPr>
                    <w:t>AC-CP-</w:t>
                  </w:r>
                  <w:r>
                    <w:rPr>
                      <w:rFonts w:hint="default" w:ascii="Times New Roman" w:hAnsi="Times New Roman" w:eastAsia="宋体" w:cs="Times New Roman"/>
                      <w:b w:val="0"/>
                      <w:bCs w:val="0"/>
                      <w:color w:val="auto"/>
                      <w:kern w:val="0"/>
                      <w:sz w:val="18"/>
                      <w:szCs w:val="18"/>
                      <w:highlight w:val="none"/>
                      <w:vertAlign w:val="baseline"/>
                      <w:lang w:val="en-US" w:eastAsia="zh-CN"/>
                    </w:rPr>
                    <w:t>500</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4</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cs="Times New Roman"/>
                      <w:b w:val="0"/>
                      <w:bCs w:val="0"/>
                      <w:i w:val="0"/>
                      <w:iCs w:val="0"/>
                      <w:color w:val="auto"/>
                      <w:kern w:val="0"/>
                      <w:sz w:val="18"/>
                      <w:szCs w:val="18"/>
                      <w:highlight w:val="none"/>
                      <w:u w:val="none"/>
                      <w:lang w:val="en-US" w:eastAsia="zh-CN" w:bidi="ar"/>
                    </w:rPr>
                    <w:t>正负极卷材</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切条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4</w:t>
                  </w:r>
                </w:p>
              </w:tc>
              <w:tc>
                <w:tcPr>
                  <w:tcW w:w="18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正焊极耳机</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cs="Times New Roman"/>
                      <w:b w:val="0"/>
                      <w:bCs w:val="0"/>
                      <w:i w:val="0"/>
                      <w:iCs w:val="0"/>
                      <w:color w:val="auto"/>
                      <w:kern w:val="2"/>
                      <w:sz w:val="18"/>
                      <w:szCs w:val="18"/>
                      <w:highlight w:val="none"/>
                      <w:u w:val="none"/>
                      <w:lang w:val="en-US" w:eastAsia="zh-CN" w:bidi="ar-SA"/>
                    </w:rPr>
                    <w:t>/</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4</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焊</w:t>
                  </w:r>
                  <w:r>
                    <w:rPr>
                      <w:rFonts w:hint="eastAsia" w:cs="Times New Roman"/>
                      <w:b w:val="0"/>
                      <w:bCs w:val="0"/>
                      <w:i w:val="0"/>
                      <w:iCs w:val="0"/>
                      <w:color w:val="auto"/>
                      <w:kern w:val="0"/>
                      <w:sz w:val="18"/>
                      <w:szCs w:val="18"/>
                      <w:highlight w:val="none"/>
                      <w:u w:val="none"/>
                      <w:lang w:val="en-US" w:eastAsia="zh-CN" w:bidi="ar"/>
                    </w:rPr>
                    <w:t>正</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极耳</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，点焊方式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5</w:t>
                  </w:r>
                </w:p>
              </w:tc>
              <w:tc>
                <w:tcPr>
                  <w:tcW w:w="18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负焊极耳机</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cs="Times New Roman"/>
                      <w:b w:val="0"/>
                      <w:bCs w:val="0"/>
                      <w:i w:val="0"/>
                      <w:iCs w:val="0"/>
                      <w:color w:val="auto"/>
                      <w:kern w:val="2"/>
                      <w:sz w:val="18"/>
                      <w:szCs w:val="18"/>
                      <w:highlight w:val="none"/>
                      <w:u w:val="none"/>
                      <w:lang w:val="en-US" w:eastAsia="zh-CN" w:bidi="ar-SA"/>
                    </w:rPr>
                    <w:t>/</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4</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焊</w:t>
                  </w:r>
                  <w:r>
                    <w:rPr>
                      <w:rFonts w:hint="eastAsia" w:cs="Times New Roman"/>
                      <w:b w:val="0"/>
                      <w:bCs w:val="0"/>
                      <w:i w:val="0"/>
                      <w:iCs w:val="0"/>
                      <w:color w:val="auto"/>
                      <w:kern w:val="0"/>
                      <w:sz w:val="18"/>
                      <w:szCs w:val="18"/>
                      <w:highlight w:val="none"/>
                      <w:u w:val="none"/>
                      <w:lang w:val="en-US" w:eastAsia="zh-CN" w:bidi="ar"/>
                    </w:rPr>
                    <w:t>负</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极耳</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，点焊方式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6</w:t>
                  </w:r>
                </w:p>
              </w:tc>
              <w:tc>
                <w:tcPr>
                  <w:tcW w:w="18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正极贴胶机</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cs="Times New Roman"/>
                      <w:b w:val="0"/>
                      <w:bCs w:val="0"/>
                      <w:i w:val="0"/>
                      <w:iCs w:val="0"/>
                      <w:color w:val="auto"/>
                      <w:kern w:val="2"/>
                      <w:sz w:val="18"/>
                      <w:szCs w:val="18"/>
                      <w:highlight w:val="none"/>
                      <w:u w:val="none"/>
                      <w:lang w:val="en-US" w:eastAsia="zh-CN" w:bidi="ar-SA"/>
                    </w:rPr>
                    <w:t>/</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4</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cs="Times New Roman"/>
                      <w:b w:val="0"/>
                      <w:bCs w:val="0"/>
                      <w:i w:val="0"/>
                      <w:iCs w:val="0"/>
                      <w:color w:val="auto"/>
                      <w:kern w:val="0"/>
                      <w:sz w:val="18"/>
                      <w:szCs w:val="18"/>
                      <w:highlight w:val="none"/>
                      <w:u w:val="none"/>
                      <w:lang w:val="en-US" w:eastAsia="zh-CN" w:bidi="ar"/>
                    </w:rPr>
                    <w:t>证</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极耳贴胶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7</w:t>
                  </w:r>
                </w:p>
              </w:tc>
              <w:tc>
                <w:tcPr>
                  <w:tcW w:w="18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负极贴胶机</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cs="Times New Roman"/>
                      <w:b w:val="0"/>
                      <w:bCs w:val="0"/>
                      <w:i w:val="0"/>
                      <w:iCs w:val="0"/>
                      <w:color w:val="auto"/>
                      <w:kern w:val="2"/>
                      <w:sz w:val="18"/>
                      <w:szCs w:val="18"/>
                      <w:highlight w:val="none"/>
                      <w:u w:val="none"/>
                      <w:lang w:val="en-US" w:eastAsia="zh-CN" w:bidi="ar-SA"/>
                    </w:rPr>
                    <w:t>/</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4</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cs="Times New Roman"/>
                      <w:b w:val="0"/>
                      <w:bCs w:val="0"/>
                      <w:i w:val="0"/>
                      <w:iCs w:val="0"/>
                      <w:color w:val="auto"/>
                      <w:kern w:val="0"/>
                      <w:sz w:val="18"/>
                      <w:szCs w:val="18"/>
                      <w:highlight w:val="none"/>
                      <w:u w:val="none"/>
                      <w:lang w:val="en-US" w:eastAsia="zh-CN" w:bidi="ar"/>
                    </w:rPr>
                    <w:t>负</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极耳贴胶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8</w:t>
                  </w:r>
                </w:p>
              </w:tc>
              <w:tc>
                <w:tcPr>
                  <w:tcW w:w="18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半自动卷绕机</w:t>
                  </w:r>
                </w:p>
              </w:tc>
              <w:tc>
                <w:tcPr>
                  <w:tcW w:w="13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cs="Times New Roman"/>
                      <w:b w:val="0"/>
                      <w:bCs w:val="0"/>
                      <w:i w:val="0"/>
                      <w:iCs w:val="0"/>
                      <w:color w:val="auto"/>
                      <w:kern w:val="0"/>
                      <w:sz w:val="18"/>
                      <w:szCs w:val="18"/>
                      <w:highlight w:val="none"/>
                      <w:u w:val="none"/>
                      <w:lang w:val="en-US" w:eastAsia="zh-CN" w:bidi="ar"/>
                    </w:rPr>
                    <w:t>非标订制</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4</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卷至成电芯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9</w:t>
                  </w:r>
                </w:p>
              </w:tc>
              <w:tc>
                <w:tcPr>
                  <w:tcW w:w="18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绝缘内阻测试仪</w:t>
                  </w:r>
                </w:p>
              </w:tc>
              <w:tc>
                <w:tcPr>
                  <w:tcW w:w="13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32700</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cs="Times New Roman"/>
                      <w:b w:val="0"/>
                      <w:bCs w:val="0"/>
                      <w:i w:val="0"/>
                      <w:iCs w:val="0"/>
                      <w:color w:val="auto"/>
                      <w:kern w:val="0"/>
                      <w:sz w:val="18"/>
                      <w:szCs w:val="18"/>
                      <w:highlight w:val="none"/>
                      <w:u w:val="none"/>
                      <w:lang w:val="en-US" w:eastAsia="zh-CN" w:bidi="ar"/>
                    </w:rPr>
                    <w:t>电芯</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短路测试</w:t>
                  </w:r>
                  <w:r>
                    <w:rPr>
                      <w:rFonts w:hint="eastAsia" w:cs="Times New Roman"/>
                      <w:b w:val="0"/>
                      <w:bCs w:val="0"/>
                      <w:i w:val="0"/>
                      <w:iCs w:val="0"/>
                      <w:color w:val="auto"/>
                      <w:kern w:val="0"/>
                      <w:sz w:val="18"/>
                      <w:szCs w:val="18"/>
                      <w:highlight w:val="none"/>
                      <w:u w:val="none"/>
                      <w:lang w:val="en-US" w:eastAsia="zh-CN" w:bidi="ar"/>
                    </w:rPr>
                    <w:t>和装配后成品测试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10</w:t>
                  </w:r>
                </w:p>
              </w:tc>
              <w:tc>
                <w:tcPr>
                  <w:tcW w:w="18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空压机</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cs="Times New Roman"/>
                      <w:b w:val="0"/>
                      <w:bCs w:val="0"/>
                      <w:i w:val="0"/>
                      <w:iCs w:val="0"/>
                      <w:color w:val="auto"/>
                      <w:kern w:val="2"/>
                      <w:sz w:val="18"/>
                      <w:szCs w:val="18"/>
                      <w:highlight w:val="none"/>
                      <w:u w:val="none"/>
                      <w:lang w:val="en-US" w:eastAsia="zh-CN" w:bidi="ar-SA"/>
                    </w:rPr>
                    <w:t>/</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cs="Times New Roman"/>
                      <w:b w:val="0"/>
                      <w:bCs w:val="0"/>
                      <w:i w:val="0"/>
                      <w:iCs w:val="0"/>
                      <w:color w:val="auto"/>
                      <w:kern w:val="0"/>
                      <w:sz w:val="18"/>
                      <w:szCs w:val="18"/>
                      <w:highlight w:val="none"/>
                      <w:u w:val="none"/>
                      <w:lang w:val="en-US" w:eastAsia="zh-CN" w:bidi="ar"/>
                    </w:rPr>
                    <w:t>2</w:t>
                  </w:r>
                </w:p>
              </w:tc>
              <w:tc>
                <w:tcPr>
                  <w:tcW w:w="274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cs="Times New Roman"/>
                      <w:b w:val="0"/>
                      <w:bCs w:val="0"/>
                      <w:i w:val="0"/>
                      <w:iCs w:val="0"/>
                      <w:color w:val="auto"/>
                      <w:kern w:val="2"/>
                      <w:sz w:val="18"/>
                      <w:szCs w:val="18"/>
                      <w:highlight w:val="none"/>
                      <w:u w:val="none"/>
                      <w:lang w:val="en-US" w:eastAsia="zh-CN" w:bidi="ar-S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11</w:t>
                  </w:r>
                </w:p>
              </w:tc>
              <w:tc>
                <w:tcPr>
                  <w:tcW w:w="18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点焊</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机</w:t>
                  </w:r>
                </w:p>
              </w:tc>
              <w:tc>
                <w:tcPr>
                  <w:tcW w:w="13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32700</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4</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极片焊接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12</w:t>
                  </w:r>
                </w:p>
              </w:tc>
              <w:tc>
                <w:tcPr>
                  <w:tcW w:w="18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滚槽机</w:t>
                  </w:r>
                </w:p>
              </w:tc>
              <w:tc>
                <w:tcPr>
                  <w:tcW w:w="13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32700</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辊至电池外壳压槽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13</w:t>
                  </w:r>
                </w:p>
              </w:tc>
              <w:tc>
                <w:tcPr>
                  <w:tcW w:w="18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焊帽机</w:t>
                  </w:r>
                </w:p>
              </w:tc>
              <w:tc>
                <w:tcPr>
                  <w:tcW w:w="13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32700</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4</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盖帽焊接</w:t>
                  </w:r>
                  <w:r>
                    <w:rPr>
                      <w:rFonts w:hint="eastAsia" w:ascii="Times New Roman" w:hAnsi="Times New Roman" w:eastAsia="宋体" w:cs="Times New Roman"/>
                      <w:b w:val="0"/>
                      <w:bCs w:val="0"/>
                      <w:i w:val="0"/>
                      <w:iCs w:val="0"/>
                      <w:color w:val="auto"/>
                      <w:kern w:val="0"/>
                      <w:sz w:val="18"/>
                      <w:szCs w:val="18"/>
                      <w:highlight w:val="none"/>
                      <w:u w:val="none"/>
                      <w:lang w:val="en-US" w:eastAsia="zh-CN" w:bidi="ar"/>
                    </w:rPr>
                    <w:t>，点焊方式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14</w:t>
                  </w:r>
                </w:p>
              </w:tc>
              <w:tc>
                <w:tcPr>
                  <w:tcW w:w="18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烤箱</w:t>
                  </w:r>
                </w:p>
              </w:tc>
              <w:tc>
                <w:tcPr>
                  <w:tcW w:w="13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32700</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8</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将</w:t>
                  </w:r>
                  <w:r>
                    <w:rPr>
                      <w:rFonts w:hint="eastAsia" w:cs="Times New Roman"/>
                      <w:b w:val="0"/>
                      <w:bCs w:val="0"/>
                      <w:i w:val="0"/>
                      <w:iCs w:val="0"/>
                      <w:color w:val="auto"/>
                      <w:kern w:val="0"/>
                      <w:sz w:val="18"/>
                      <w:szCs w:val="18"/>
                      <w:highlight w:val="none"/>
                      <w:u w:val="none"/>
                      <w:lang w:val="en-US" w:eastAsia="zh-CN" w:bidi="ar"/>
                    </w:rPr>
                    <w:t>电芯</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里面水分烘干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15</w:t>
                  </w:r>
                </w:p>
              </w:tc>
              <w:tc>
                <w:tcPr>
                  <w:tcW w:w="18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cs="Times New Roman"/>
                      <w:b w:val="0"/>
                      <w:bCs w:val="0"/>
                      <w:i w:val="0"/>
                      <w:iCs w:val="0"/>
                      <w:color w:val="auto"/>
                      <w:kern w:val="0"/>
                      <w:sz w:val="18"/>
                      <w:szCs w:val="18"/>
                      <w:highlight w:val="none"/>
                      <w:u w:val="none"/>
                      <w:lang w:val="en-US" w:eastAsia="zh-CN" w:bidi="ar"/>
                    </w:rPr>
                    <w:t>真空</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注液机</w:t>
                  </w:r>
                </w:p>
              </w:tc>
              <w:tc>
                <w:tcPr>
                  <w:tcW w:w="13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32700</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1</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将电池碱液注入电池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16</w:t>
                  </w:r>
                </w:p>
              </w:tc>
              <w:tc>
                <w:tcPr>
                  <w:tcW w:w="18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真空泵组</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ascii="Times New Roman" w:hAnsi="Times New Roman" w:eastAsia="宋体" w:cs="Times New Roman"/>
                      <w:b w:val="0"/>
                      <w:bCs w:val="0"/>
                      <w:color w:val="auto"/>
                      <w:kern w:val="0"/>
                      <w:sz w:val="18"/>
                      <w:szCs w:val="18"/>
                      <w:highlight w:val="none"/>
                      <w:vertAlign w:val="baseline"/>
                      <w:lang w:val="en-US" w:eastAsia="zh-CN"/>
                    </w:rPr>
                    <w:t>2BV2060</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1</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真空注液</w:t>
                  </w:r>
                  <w:r>
                    <w:rPr>
                      <w:rFonts w:hint="eastAsia" w:cs="Times New Roman"/>
                      <w:b w:val="0"/>
                      <w:bCs w:val="0"/>
                      <w:i w:val="0"/>
                      <w:iCs w:val="0"/>
                      <w:color w:val="auto"/>
                      <w:kern w:val="0"/>
                      <w:sz w:val="18"/>
                      <w:szCs w:val="18"/>
                      <w:highlight w:val="none"/>
                      <w:u w:val="none"/>
                      <w:lang w:val="en-US" w:eastAsia="zh-CN" w:bidi="ar"/>
                    </w:rPr>
                    <w:t>配套抽真空设施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17</w:t>
                  </w:r>
                </w:p>
              </w:tc>
              <w:tc>
                <w:tcPr>
                  <w:tcW w:w="18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除湿机</w:t>
                  </w:r>
                </w:p>
              </w:tc>
              <w:tc>
                <w:tcPr>
                  <w:tcW w:w="138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ascii="Times New Roman" w:hAnsi="Times New Roman" w:cs="Times New Roman"/>
                      <w:b w:val="0"/>
                      <w:bCs w:val="0"/>
                      <w:i w:val="0"/>
                      <w:iCs w:val="0"/>
                      <w:color w:val="auto"/>
                      <w:kern w:val="2"/>
                      <w:sz w:val="18"/>
                      <w:szCs w:val="18"/>
                      <w:highlight w:val="none"/>
                      <w:u w:val="none"/>
                      <w:lang w:val="en-US" w:eastAsia="zh-CN" w:bidi="ar-SA"/>
                    </w:rPr>
                    <w:t>/</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1</w:t>
                  </w:r>
                </w:p>
              </w:tc>
              <w:tc>
                <w:tcPr>
                  <w:tcW w:w="274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eastAsia="宋体" w:cs="Times New Roman"/>
                      <w:b w:val="0"/>
                      <w:bCs w:val="0"/>
                      <w:i w:val="0"/>
                      <w:iCs w:val="0"/>
                      <w:color w:val="auto"/>
                      <w:kern w:val="0"/>
                      <w:sz w:val="18"/>
                      <w:szCs w:val="18"/>
                      <w:highlight w:val="none"/>
                      <w:u w:val="none"/>
                      <w:lang w:val="en-US" w:eastAsia="zh-CN" w:bidi="ar"/>
                    </w:rPr>
                    <w:t>注液供风系统除湿设备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kern w:val="0"/>
                      <w:sz w:val="18"/>
                      <w:szCs w:val="18"/>
                      <w:highlight w:val="none"/>
                      <w:vertAlign w:val="baseline"/>
                      <w:lang w:val="en-US" w:eastAsia="zh-CN" w:bidi="ar-SA"/>
                    </w:rPr>
                  </w:pPr>
                  <w:r>
                    <w:rPr>
                      <w:rFonts w:hint="eastAsia" w:cs="Times New Roman"/>
                      <w:b w:val="0"/>
                      <w:bCs w:val="0"/>
                      <w:color w:val="auto"/>
                      <w:kern w:val="0"/>
                      <w:sz w:val="18"/>
                      <w:szCs w:val="18"/>
                      <w:highlight w:val="none"/>
                      <w:vertAlign w:val="baseline"/>
                      <w:lang w:val="en-US" w:eastAsia="zh-CN"/>
                    </w:rPr>
                    <w:t>18</w:t>
                  </w:r>
                </w:p>
              </w:tc>
              <w:tc>
                <w:tcPr>
                  <w:tcW w:w="18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手套箱</w:t>
                  </w:r>
                </w:p>
              </w:tc>
              <w:tc>
                <w:tcPr>
                  <w:tcW w:w="13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32700</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1</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注液设备配套密闭设施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kern w:val="0"/>
                      <w:sz w:val="18"/>
                      <w:szCs w:val="18"/>
                      <w:highlight w:val="none"/>
                      <w:vertAlign w:val="baseline"/>
                      <w:lang w:val="en-US" w:eastAsia="zh-CN" w:bidi="ar-SA"/>
                    </w:rPr>
                  </w:pPr>
                  <w:r>
                    <w:rPr>
                      <w:rFonts w:hint="eastAsia" w:cs="Times New Roman"/>
                      <w:b w:val="0"/>
                      <w:bCs w:val="0"/>
                      <w:color w:val="auto"/>
                      <w:kern w:val="0"/>
                      <w:sz w:val="18"/>
                      <w:szCs w:val="18"/>
                      <w:highlight w:val="none"/>
                      <w:vertAlign w:val="baseline"/>
                      <w:lang w:val="en-US" w:eastAsia="zh-CN"/>
                    </w:rPr>
                    <w:t>19</w:t>
                  </w:r>
                </w:p>
              </w:tc>
              <w:tc>
                <w:tcPr>
                  <w:tcW w:w="18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化成柜</w:t>
                  </w:r>
                </w:p>
              </w:tc>
              <w:tc>
                <w:tcPr>
                  <w:tcW w:w="13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5V10A</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15</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对电池正负极激活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b w:val="0"/>
                      <w:bCs w:val="0"/>
                      <w:color w:val="auto"/>
                      <w:kern w:val="0"/>
                      <w:sz w:val="18"/>
                      <w:szCs w:val="18"/>
                      <w:highlight w:val="none"/>
                      <w:vertAlign w:val="baseline"/>
                      <w:lang w:val="en-US" w:eastAsia="zh-CN" w:bidi="ar-SA"/>
                    </w:rPr>
                  </w:pPr>
                  <w:r>
                    <w:rPr>
                      <w:rFonts w:hint="eastAsia" w:cs="Times New Roman"/>
                      <w:b w:val="0"/>
                      <w:bCs w:val="0"/>
                      <w:color w:val="auto"/>
                      <w:kern w:val="0"/>
                      <w:sz w:val="18"/>
                      <w:szCs w:val="18"/>
                      <w:highlight w:val="none"/>
                      <w:vertAlign w:val="baseline"/>
                      <w:lang w:val="en-US" w:eastAsia="zh-CN"/>
                    </w:rPr>
                    <w:t>20</w:t>
                  </w:r>
                </w:p>
              </w:tc>
              <w:tc>
                <w:tcPr>
                  <w:tcW w:w="18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分容柜</w:t>
                  </w:r>
                </w:p>
              </w:tc>
              <w:tc>
                <w:tcPr>
                  <w:tcW w:w="13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32700</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15</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对电池容量进行分选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val="0"/>
                      <w:color w:val="auto"/>
                      <w:kern w:val="0"/>
                      <w:sz w:val="18"/>
                      <w:szCs w:val="18"/>
                      <w:highlight w:val="none"/>
                      <w:vertAlign w:val="baseline"/>
                      <w:lang w:val="en-US" w:eastAsia="zh-CN" w:bidi="ar-SA"/>
                    </w:rPr>
                  </w:pPr>
                  <w:r>
                    <w:rPr>
                      <w:rFonts w:hint="eastAsia" w:cs="Times New Roman"/>
                      <w:b w:val="0"/>
                      <w:bCs w:val="0"/>
                      <w:color w:val="auto"/>
                      <w:kern w:val="0"/>
                      <w:sz w:val="18"/>
                      <w:szCs w:val="18"/>
                      <w:highlight w:val="none"/>
                      <w:vertAlign w:val="baseline"/>
                      <w:lang w:val="en-US" w:eastAsia="zh-CN"/>
                    </w:rPr>
                    <w:t>21</w:t>
                  </w:r>
                </w:p>
              </w:tc>
              <w:tc>
                <w:tcPr>
                  <w:tcW w:w="18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包装机</w:t>
                  </w:r>
                </w:p>
              </w:tc>
              <w:tc>
                <w:tcPr>
                  <w:tcW w:w="13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cs="Times New Roman"/>
                      <w:b w:val="0"/>
                      <w:bCs w:val="0"/>
                      <w:color w:val="auto"/>
                      <w:kern w:val="0"/>
                      <w:sz w:val="18"/>
                      <w:szCs w:val="18"/>
                      <w:highlight w:val="none"/>
                      <w:vertAlign w:val="baseline"/>
                      <w:lang w:val="en-US" w:eastAsia="zh-CN"/>
                    </w:rPr>
                    <w:t>BZ-32700</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1</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对电池进行包装</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6、</w:t>
            </w:r>
            <w:r>
              <w:rPr>
                <w:rFonts w:hint="default" w:ascii="Times New Roman" w:hAnsi="Times New Roman" w:cs="Times New Roman"/>
                <w:b/>
                <w:color w:val="auto"/>
                <w:kern w:val="0"/>
                <w:szCs w:val="21"/>
                <w:highlight w:val="none"/>
              </w:rPr>
              <w:t>厂区平面布置</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lang w:val="en-US" w:eastAsia="zh-CN"/>
              </w:rPr>
            </w:pPr>
            <w:r>
              <w:rPr>
                <w:rFonts w:hint="eastAsia" w:cs="Times New Roman"/>
                <w:bCs/>
                <w:color w:val="auto"/>
                <w:kern w:val="0"/>
                <w:szCs w:val="21"/>
                <w:highlight w:val="none"/>
                <w:lang w:eastAsia="zh-CN"/>
              </w:rPr>
              <w:t>本项目租赁现有标准化厂房</w:t>
            </w:r>
            <w:r>
              <w:rPr>
                <w:rFonts w:hint="default" w:ascii="Times New Roman" w:hAnsi="Times New Roman" w:cs="Times New Roman"/>
                <w:bCs/>
                <w:color w:val="auto"/>
                <w:kern w:val="0"/>
                <w:sz w:val="21"/>
                <w:szCs w:val="21"/>
                <w:highlight w:val="none"/>
                <w:lang w:val="en-US" w:eastAsia="zh-CN"/>
              </w:rPr>
              <w:t>进行建设</w:t>
            </w:r>
            <w:r>
              <w:rPr>
                <w:rFonts w:hint="eastAsia" w:cs="Times New Roman"/>
                <w:bCs/>
                <w:color w:val="auto"/>
                <w:kern w:val="0"/>
                <w:sz w:val="21"/>
                <w:szCs w:val="21"/>
                <w:highlight w:val="none"/>
                <w:lang w:val="en-US" w:eastAsia="zh-CN"/>
              </w:rPr>
              <w:t>（租赁协议见附件三）</w:t>
            </w:r>
            <w:r>
              <w:rPr>
                <w:rFonts w:hint="default" w:ascii="Times New Roman" w:hAnsi="Times New Roman" w:cs="Times New Roman"/>
                <w:bCs/>
                <w:color w:val="auto"/>
                <w:kern w:val="0"/>
                <w:szCs w:val="21"/>
                <w:highlight w:val="none"/>
                <w:lang w:eastAsia="zh-CN"/>
              </w:rPr>
              <w:t>，租赁区域建筑面积</w:t>
            </w:r>
            <w:r>
              <w:rPr>
                <w:rFonts w:hint="eastAsia" w:cs="Times New Roman"/>
                <w:bCs/>
                <w:color w:val="auto"/>
                <w:kern w:val="0"/>
                <w:szCs w:val="21"/>
                <w:highlight w:val="none"/>
                <w:lang w:val="en-US" w:eastAsia="zh-CN"/>
              </w:rPr>
              <w:t>1500</w:t>
            </w:r>
            <w:r>
              <w:rPr>
                <w:rFonts w:hint="default" w:ascii="Times New Roman" w:hAnsi="Times New Roman" w:cs="Times New Roman"/>
                <w:bCs/>
                <w:color w:val="auto"/>
                <w:kern w:val="0"/>
                <w:szCs w:val="21"/>
                <w:highlight w:val="none"/>
                <w:lang w:val="en-US" w:eastAsia="zh-CN"/>
              </w:rPr>
              <w:t>平方米</w:t>
            </w:r>
            <w:r>
              <w:rPr>
                <w:rFonts w:hint="eastAsia" w:cs="Times New Roman"/>
                <w:bCs/>
                <w:color w:val="auto"/>
                <w:kern w:val="0"/>
                <w:szCs w:val="21"/>
                <w:highlight w:val="none"/>
                <w:lang w:val="en-US" w:eastAsia="zh-CN"/>
              </w:rPr>
              <w:t>（租赁协议中建筑面积不包含办公用房，办公用房为附赠区域）</w:t>
            </w:r>
            <w:r>
              <w:rPr>
                <w:rFonts w:hint="default" w:ascii="Times New Roman" w:hAnsi="Times New Roman" w:cs="Times New Roman"/>
                <w:bCs/>
                <w:color w:val="auto"/>
                <w:kern w:val="0"/>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rPr>
            </w:pPr>
            <w:r>
              <w:rPr>
                <w:rFonts w:hint="eastAsia" w:cs="Times New Roman"/>
                <w:bCs/>
                <w:color w:val="auto"/>
                <w:kern w:val="0"/>
                <w:sz w:val="21"/>
                <w:szCs w:val="21"/>
                <w:highlight w:val="none"/>
                <w:lang w:val="en-US" w:eastAsia="zh-CN"/>
              </w:rPr>
              <w:t>本项目车间内由西向东依次布置为注液封口区、焊接装配区、极片制作区、办公用房、化成分容区、检验包装区、成品区、一般固废暂存间、危险固废暂存间、原辅材料库、卫生间等，车间</w:t>
            </w:r>
            <w:r>
              <w:rPr>
                <w:rFonts w:hint="default" w:ascii="Times New Roman" w:hAnsi="Times New Roman" w:cs="Times New Roman"/>
                <w:bCs/>
                <w:color w:val="auto"/>
                <w:kern w:val="0"/>
                <w:sz w:val="21"/>
                <w:szCs w:val="21"/>
                <w:highlight w:val="none"/>
              </w:rPr>
              <w:t>平面布置见附图</w:t>
            </w:r>
            <w:r>
              <w:rPr>
                <w:rFonts w:hint="default" w:ascii="Times New Roman" w:hAnsi="Times New Roman" w:cs="Times New Roman"/>
                <w:bCs/>
                <w:color w:val="auto"/>
                <w:kern w:val="0"/>
                <w:sz w:val="21"/>
                <w:szCs w:val="21"/>
                <w:highlight w:val="none"/>
                <w:lang w:eastAsia="zh-CN"/>
              </w:rPr>
              <w:t>三</w:t>
            </w:r>
            <w:r>
              <w:rPr>
                <w:rFonts w:hint="default" w:ascii="Times New Roman" w:hAnsi="Times New Roman" w:cs="Times New Roman"/>
                <w:bCs/>
                <w:color w:val="auto"/>
                <w:kern w:val="0"/>
                <w:sz w:val="21"/>
                <w:szCs w:val="21"/>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lang w:eastAsia="zh-CN"/>
              </w:rPr>
              <w:t>工程车间内</w:t>
            </w:r>
            <w:r>
              <w:rPr>
                <w:rFonts w:hint="default" w:ascii="Times New Roman" w:hAnsi="Times New Roman" w:cs="Times New Roman"/>
                <w:bCs/>
                <w:color w:val="auto"/>
                <w:kern w:val="0"/>
                <w:szCs w:val="21"/>
                <w:highlight w:val="none"/>
              </w:rPr>
              <w:t>工艺流程顺畅，总体布置合理紧凑，</w:t>
            </w:r>
            <w:r>
              <w:rPr>
                <w:rFonts w:hint="default" w:ascii="Times New Roman" w:hAnsi="Times New Roman" w:cs="Times New Roman"/>
                <w:bCs/>
                <w:color w:val="auto"/>
                <w:kern w:val="0"/>
                <w:szCs w:val="21"/>
                <w:highlight w:val="none"/>
                <w:lang w:eastAsia="zh-CN"/>
              </w:rPr>
              <w:t>各</w:t>
            </w:r>
            <w:r>
              <w:rPr>
                <w:rFonts w:hint="default" w:ascii="Times New Roman" w:hAnsi="Times New Roman" w:cs="Times New Roman"/>
                <w:bCs/>
                <w:color w:val="auto"/>
                <w:kern w:val="0"/>
                <w:szCs w:val="21"/>
                <w:highlight w:val="none"/>
              </w:rPr>
              <w:t>功能分区</w:t>
            </w:r>
            <w:r>
              <w:rPr>
                <w:rFonts w:hint="eastAsia" w:cs="Times New Roman"/>
                <w:bCs/>
                <w:color w:val="auto"/>
                <w:kern w:val="0"/>
                <w:szCs w:val="21"/>
                <w:highlight w:val="none"/>
                <w:lang w:eastAsia="zh-CN"/>
              </w:rPr>
              <w:t>分区明确</w:t>
            </w:r>
            <w:r>
              <w:rPr>
                <w:rFonts w:hint="default" w:ascii="Times New Roman" w:hAnsi="Times New Roman" w:cs="Times New Roman"/>
                <w:bCs/>
                <w:color w:val="auto"/>
                <w:kern w:val="0"/>
                <w:szCs w:val="21"/>
                <w:highlight w:val="none"/>
              </w:rPr>
              <w:t>，能保证各功能分区之间既相互独立，又联系紧密，</w:t>
            </w:r>
            <w:r>
              <w:rPr>
                <w:rFonts w:hint="default" w:ascii="Times New Roman" w:hAnsi="Times New Roman" w:cs="Times New Roman"/>
                <w:bCs/>
                <w:color w:val="auto"/>
                <w:kern w:val="0"/>
                <w:szCs w:val="21"/>
                <w:highlight w:val="none"/>
                <w:lang w:eastAsia="zh-CN"/>
              </w:rPr>
              <w:t>平面布局较为合理</w:t>
            </w:r>
            <w:r>
              <w:rPr>
                <w:rFonts w:hint="default" w:ascii="Times New Roman" w:hAnsi="Times New Roman" w:cs="Times New Roman"/>
                <w:bCs/>
                <w:color w:val="auto"/>
                <w:kern w:val="0"/>
                <w:szCs w:val="21"/>
                <w:highlight w:val="none"/>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7、</w:t>
            </w:r>
            <w:r>
              <w:rPr>
                <w:rFonts w:hint="default" w:ascii="Times New Roman" w:hAnsi="Times New Roman" w:cs="Times New Roman"/>
                <w:b/>
                <w:color w:val="auto"/>
                <w:kern w:val="0"/>
                <w:szCs w:val="21"/>
                <w:highlight w:val="none"/>
              </w:rPr>
              <w:t>主要公辅设施</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bCs/>
                <w:color w:val="auto"/>
                <w:kern w:val="0"/>
                <w:szCs w:val="21"/>
                <w:highlight w:val="none"/>
                <w:lang w:eastAsia="zh-CN"/>
              </w:rPr>
            </w:pPr>
            <w:r>
              <w:rPr>
                <w:rFonts w:hint="eastAsia" w:cs="Times New Roman"/>
                <w:b/>
                <w:bCs/>
                <w:color w:val="auto"/>
                <w:kern w:val="0"/>
                <w:szCs w:val="21"/>
                <w:highlight w:val="none"/>
                <w:lang w:val="en-US" w:eastAsia="zh-CN"/>
              </w:rPr>
              <w:t>7.1</w:t>
            </w:r>
            <w:r>
              <w:rPr>
                <w:rFonts w:hint="default" w:ascii="Times New Roman" w:hAnsi="Times New Roman" w:cs="Times New Roman"/>
                <w:b/>
                <w:bCs/>
                <w:color w:val="auto"/>
                <w:kern w:val="0"/>
                <w:szCs w:val="21"/>
                <w:highlight w:val="none"/>
              </w:rPr>
              <w:t>给</w:t>
            </w:r>
            <w:r>
              <w:rPr>
                <w:rFonts w:hint="default" w:ascii="Times New Roman" w:hAnsi="Times New Roman" w:cs="Times New Roman"/>
                <w:b/>
                <w:bCs/>
                <w:color w:val="auto"/>
                <w:kern w:val="0"/>
                <w:szCs w:val="21"/>
                <w:highlight w:val="none"/>
                <w:lang w:eastAsia="zh-CN"/>
              </w:rPr>
              <w:t>排水</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2" w:firstLineChars="200"/>
              <w:textAlignment w:val="auto"/>
              <w:rPr>
                <w:rFonts w:hint="default" w:ascii="Times New Roman" w:hAnsi="Times New Roman" w:cs="Times New Roman"/>
                <w:b/>
                <w:bCs/>
                <w:color w:val="auto"/>
                <w:kern w:val="0"/>
                <w:szCs w:val="21"/>
                <w:highlight w:val="none"/>
              </w:rPr>
            </w:pPr>
            <w:r>
              <w:rPr>
                <w:rFonts w:hint="eastAsia" w:cs="Times New Roman"/>
                <w:b/>
                <w:bCs/>
                <w:color w:val="auto"/>
                <w:kern w:val="0"/>
                <w:szCs w:val="21"/>
                <w:highlight w:val="none"/>
                <w:lang w:eastAsia="zh-CN"/>
              </w:rPr>
              <w:t>（</w:t>
            </w:r>
            <w:r>
              <w:rPr>
                <w:rFonts w:hint="eastAsia" w:cs="Times New Roman"/>
                <w:b/>
                <w:bCs/>
                <w:color w:val="auto"/>
                <w:kern w:val="0"/>
                <w:szCs w:val="21"/>
                <w:highlight w:val="none"/>
                <w:lang w:val="en-US" w:eastAsia="zh-CN"/>
              </w:rPr>
              <w:t>1</w:t>
            </w:r>
            <w:r>
              <w:rPr>
                <w:rFonts w:hint="eastAsia" w:cs="Times New Roman"/>
                <w:b/>
                <w:bCs/>
                <w:color w:val="auto"/>
                <w:kern w:val="0"/>
                <w:szCs w:val="21"/>
                <w:highlight w:val="none"/>
                <w:lang w:eastAsia="zh-CN"/>
              </w:rPr>
              <w:t>）</w:t>
            </w:r>
            <w:r>
              <w:rPr>
                <w:rFonts w:hint="default" w:ascii="Times New Roman" w:hAnsi="Times New Roman" w:cs="Times New Roman"/>
                <w:b/>
                <w:bCs/>
                <w:color w:val="auto"/>
                <w:kern w:val="0"/>
                <w:szCs w:val="21"/>
                <w:highlight w:val="none"/>
                <w:lang w:eastAsia="zh-CN"/>
              </w:rPr>
              <w:t>给</w:t>
            </w:r>
            <w:r>
              <w:rPr>
                <w:rFonts w:hint="default" w:ascii="Times New Roman" w:hAnsi="Times New Roman" w:cs="Times New Roman"/>
                <w:b/>
                <w:bCs/>
                <w:color w:val="auto"/>
                <w:kern w:val="0"/>
                <w:szCs w:val="21"/>
                <w:highlight w:val="none"/>
              </w:rPr>
              <w:t>水系统</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eastAsia" w:ascii="Times New Roman" w:hAnsi="Times New Roman" w:eastAsia="宋体" w:cs="Times New Roman"/>
                <w:bCs/>
                <w:color w:val="auto"/>
                <w:kern w:val="0"/>
                <w:szCs w:val="21"/>
                <w:highlight w:val="none"/>
                <w:lang w:eastAsia="zh-CN"/>
              </w:rPr>
            </w:pPr>
            <w:r>
              <w:rPr>
                <w:rFonts w:hint="eastAsia" w:cs="Times New Roman"/>
                <w:bCs/>
                <w:color w:val="auto"/>
                <w:kern w:val="0"/>
                <w:szCs w:val="21"/>
                <w:highlight w:val="none"/>
                <w:lang w:eastAsia="zh-CN"/>
              </w:rPr>
              <w:t>本项目生产过程无需用水，</w:t>
            </w:r>
            <w:r>
              <w:rPr>
                <w:rFonts w:hint="default" w:ascii="Times New Roman" w:hAnsi="Times New Roman" w:cs="Times New Roman"/>
                <w:bCs/>
                <w:color w:val="auto"/>
                <w:kern w:val="0"/>
                <w:szCs w:val="21"/>
                <w:highlight w:val="none"/>
                <w:lang w:eastAsia="zh-CN"/>
              </w:rPr>
              <w:t>用水</w:t>
            </w:r>
            <w:r>
              <w:rPr>
                <w:rFonts w:hint="eastAsia" w:cs="Times New Roman"/>
                <w:bCs/>
                <w:color w:val="auto"/>
                <w:kern w:val="0"/>
                <w:szCs w:val="21"/>
                <w:highlight w:val="none"/>
                <w:lang w:eastAsia="zh-CN"/>
              </w:rPr>
              <w:t>主要</w:t>
            </w:r>
            <w:r>
              <w:rPr>
                <w:rFonts w:hint="default" w:ascii="Times New Roman" w:hAnsi="Times New Roman" w:cs="Times New Roman"/>
                <w:bCs/>
                <w:color w:val="auto"/>
                <w:kern w:val="0"/>
                <w:szCs w:val="21"/>
                <w:highlight w:val="none"/>
                <w:lang w:eastAsia="zh-CN"/>
              </w:rPr>
              <w:t>生活用水，用水量为</w:t>
            </w:r>
            <w:r>
              <w:rPr>
                <w:rFonts w:hint="eastAsia" w:cs="Times New Roman"/>
                <w:bCs/>
                <w:color w:val="auto"/>
                <w:kern w:val="0"/>
                <w:szCs w:val="21"/>
                <w:highlight w:val="none"/>
                <w:lang w:val="en-US" w:eastAsia="zh-CN"/>
              </w:rPr>
              <w:t>1.2</w:t>
            </w:r>
            <w:r>
              <w:rPr>
                <w:rFonts w:hint="default" w:ascii="Times New Roman" w:hAnsi="Times New Roman" w:cs="Times New Roman"/>
                <w:bCs/>
                <w:color w:val="auto"/>
                <w:kern w:val="0"/>
                <w:szCs w:val="21"/>
                <w:highlight w:val="none"/>
                <w:lang w:val="en-US" w:eastAsia="zh-CN"/>
              </w:rPr>
              <w:t>m</w:t>
            </w:r>
            <w:r>
              <w:rPr>
                <w:rFonts w:hint="default" w:ascii="Times New Roman" w:hAnsi="Times New Roman" w:cs="Times New Roman"/>
                <w:bCs/>
                <w:color w:val="auto"/>
                <w:kern w:val="0"/>
                <w:szCs w:val="21"/>
                <w:highlight w:val="none"/>
                <w:vertAlign w:val="superscript"/>
                <w:lang w:val="en-US" w:eastAsia="zh-CN"/>
              </w:rPr>
              <w:t>3</w:t>
            </w:r>
            <w:r>
              <w:rPr>
                <w:rFonts w:hint="default" w:ascii="Times New Roman" w:hAnsi="Times New Roman" w:cs="Times New Roman"/>
                <w:bCs/>
                <w:color w:val="auto"/>
                <w:kern w:val="0"/>
                <w:szCs w:val="21"/>
                <w:highlight w:val="none"/>
                <w:lang w:val="en-US" w:eastAsia="zh-CN"/>
              </w:rPr>
              <w:t>/d</w:t>
            </w:r>
            <w:r>
              <w:rPr>
                <w:rFonts w:hint="default" w:ascii="Times New Roman" w:hAnsi="Times New Roman" w:cs="Times New Roman"/>
                <w:bCs/>
                <w:color w:val="auto"/>
                <w:kern w:val="0"/>
                <w:szCs w:val="21"/>
                <w:highlight w:val="none"/>
                <w:lang w:eastAsia="zh-CN"/>
              </w:rPr>
              <w:t>（</w:t>
            </w:r>
            <w:r>
              <w:rPr>
                <w:rFonts w:hint="eastAsia" w:cs="Times New Roman"/>
                <w:bCs/>
                <w:color w:val="auto"/>
                <w:kern w:val="0"/>
                <w:szCs w:val="21"/>
                <w:highlight w:val="none"/>
                <w:lang w:val="en-US" w:eastAsia="zh-CN"/>
              </w:rPr>
              <w:t>360</w:t>
            </w:r>
            <w:r>
              <w:rPr>
                <w:rFonts w:hint="default" w:ascii="Times New Roman" w:hAnsi="Times New Roman" w:cs="Times New Roman"/>
                <w:bCs/>
                <w:color w:val="auto"/>
                <w:kern w:val="0"/>
                <w:szCs w:val="21"/>
                <w:highlight w:val="none"/>
                <w:lang w:val="en-US" w:eastAsia="zh-CN"/>
              </w:rPr>
              <w:t>m</w:t>
            </w:r>
            <w:r>
              <w:rPr>
                <w:rFonts w:hint="default" w:ascii="Times New Roman" w:hAnsi="Times New Roman" w:cs="Times New Roman"/>
                <w:bCs/>
                <w:color w:val="auto"/>
                <w:kern w:val="0"/>
                <w:szCs w:val="21"/>
                <w:highlight w:val="none"/>
                <w:vertAlign w:val="superscript"/>
                <w:lang w:val="en-US" w:eastAsia="zh-CN"/>
              </w:rPr>
              <w:t>3</w:t>
            </w:r>
            <w:r>
              <w:rPr>
                <w:rFonts w:hint="default" w:ascii="Times New Roman" w:hAnsi="Times New Roman" w:cs="Times New Roman"/>
                <w:bCs/>
                <w:color w:val="auto"/>
                <w:kern w:val="0"/>
                <w:szCs w:val="21"/>
                <w:highlight w:val="none"/>
                <w:lang w:val="en-US" w:eastAsia="zh-CN"/>
              </w:rPr>
              <w:t>/a</w:t>
            </w:r>
            <w:r>
              <w:rPr>
                <w:rFonts w:hint="default" w:ascii="Times New Roman" w:hAnsi="Times New Roman" w:cs="Times New Roman"/>
                <w:bCs/>
                <w:color w:val="auto"/>
                <w:kern w:val="0"/>
                <w:szCs w:val="21"/>
                <w:highlight w:val="none"/>
                <w:lang w:eastAsia="zh-CN"/>
              </w:rPr>
              <w:t>），</w:t>
            </w:r>
            <w:r>
              <w:rPr>
                <w:rFonts w:hint="eastAsia" w:cs="Times New Roman"/>
                <w:bCs/>
                <w:color w:val="auto"/>
                <w:kern w:val="0"/>
                <w:szCs w:val="21"/>
                <w:highlight w:val="none"/>
                <w:lang w:eastAsia="zh-CN"/>
              </w:rPr>
              <w:t>用水由市政管网供给。</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2" w:firstLineChars="200"/>
              <w:textAlignment w:val="auto"/>
              <w:rPr>
                <w:rFonts w:hint="default" w:ascii="Times New Roman" w:hAnsi="Times New Roman" w:cs="Times New Roman"/>
                <w:b/>
                <w:bCs/>
                <w:color w:val="auto"/>
                <w:kern w:val="0"/>
                <w:szCs w:val="21"/>
                <w:highlight w:val="none"/>
              </w:rPr>
            </w:pPr>
            <w:r>
              <w:rPr>
                <w:rFonts w:hint="eastAsia" w:cs="Times New Roman"/>
                <w:b/>
                <w:bCs/>
                <w:color w:val="auto"/>
                <w:kern w:val="0"/>
                <w:szCs w:val="21"/>
                <w:highlight w:val="none"/>
                <w:lang w:eastAsia="zh-CN"/>
              </w:rPr>
              <w:t>（</w:t>
            </w:r>
            <w:r>
              <w:rPr>
                <w:rFonts w:hint="eastAsia" w:cs="Times New Roman"/>
                <w:b/>
                <w:bCs/>
                <w:color w:val="auto"/>
                <w:kern w:val="0"/>
                <w:szCs w:val="21"/>
                <w:highlight w:val="none"/>
                <w:lang w:val="en-US" w:eastAsia="zh-CN"/>
              </w:rPr>
              <w:t>2</w:t>
            </w:r>
            <w:r>
              <w:rPr>
                <w:rFonts w:hint="eastAsia" w:cs="Times New Roman"/>
                <w:b/>
                <w:bCs/>
                <w:color w:val="auto"/>
                <w:kern w:val="0"/>
                <w:szCs w:val="21"/>
                <w:highlight w:val="none"/>
                <w:lang w:eastAsia="zh-CN"/>
              </w:rPr>
              <w:t>）</w:t>
            </w:r>
            <w:r>
              <w:rPr>
                <w:rFonts w:hint="default" w:ascii="Times New Roman" w:hAnsi="Times New Roman" w:cs="Times New Roman"/>
                <w:b/>
                <w:bCs/>
                <w:color w:val="auto"/>
                <w:kern w:val="0"/>
                <w:szCs w:val="21"/>
                <w:highlight w:val="none"/>
              </w:rPr>
              <w:t>排水系统</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eastAsia="宋体" w:cs="Times New Roman"/>
                <w:bCs/>
                <w:color w:val="auto"/>
                <w:kern w:val="0"/>
                <w:szCs w:val="21"/>
                <w:highlight w:val="none"/>
                <w:lang w:eastAsia="zh-CN"/>
              </w:rPr>
            </w:pPr>
            <w:r>
              <w:rPr>
                <w:rFonts w:hint="eastAsia" w:cs="Times New Roman"/>
                <w:bCs/>
                <w:color w:val="auto"/>
                <w:kern w:val="0"/>
                <w:szCs w:val="21"/>
                <w:highlight w:val="none"/>
                <w:lang w:eastAsia="zh-CN"/>
              </w:rPr>
              <w:t>本项目</w:t>
            </w:r>
            <w:r>
              <w:rPr>
                <w:rFonts w:hint="default" w:ascii="Times New Roman" w:hAnsi="Times New Roman" w:cs="Times New Roman"/>
                <w:bCs/>
                <w:color w:val="auto"/>
                <w:kern w:val="0"/>
                <w:szCs w:val="21"/>
                <w:highlight w:val="none"/>
                <w:lang w:eastAsia="zh-CN"/>
              </w:rPr>
              <w:t>无生产废水，外排废水主要为生活污水，</w:t>
            </w:r>
            <w:r>
              <w:rPr>
                <w:rFonts w:hint="eastAsia" w:cs="Times New Roman"/>
                <w:bCs/>
                <w:color w:val="auto"/>
                <w:kern w:val="0"/>
                <w:szCs w:val="21"/>
                <w:highlight w:val="none"/>
                <w:lang w:eastAsia="zh-CN"/>
              </w:rPr>
              <w:t>生活污水量约为</w:t>
            </w:r>
            <w:r>
              <w:rPr>
                <w:rFonts w:hint="eastAsia" w:cs="Times New Roman"/>
                <w:color w:val="auto"/>
                <w:sz w:val="21"/>
                <w:szCs w:val="21"/>
                <w:highlight w:val="none"/>
                <w:lang w:val="en-US" w:eastAsia="zh-CN"/>
              </w:rPr>
              <w:t>0.96</w:t>
            </w:r>
            <w:r>
              <w:rPr>
                <w:rFonts w:hint="default" w:ascii="Times New Roman" w:hAnsi="Times New Roman"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vertAlign w:val="superscript"/>
              </w:rPr>
              <w:t>3</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d（</w:t>
            </w:r>
            <w:r>
              <w:rPr>
                <w:rFonts w:hint="eastAsia" w:cs="Times New Roman"/>
                <w:bCs/>
                <w:color w:val="auto"/>
                <w:kern w:val="0"/>
                <w:sz w:val="21"/>
                <w:szCs w:val="21"/>
                <w:highlight w:val="none"/>
                <w:lang w:val="en-US" w:eastAsia="zh-CN"/>
              </w:rPr>
              <w:t>288</w:t>
            </w:r>
            <w:r>
              <w:rPr>
                <w:rFonts w:hint="default" w:ascii="Times New Roman" w:hAnsi="Times New Roman"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vertAlign w:val="superscript"/>
              </w:rPr>
              <w:t>3</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a）</w:t>
            </w:r>
            <w:r>
              <w:rPr>
                <w:rFonts w:hint="eastAsia"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eastAsia="zh-CN"/>
              </w:rPr>
              <w:t>经自建1套地埋式</w:t>
            </w:r>
            <w:r>
              <w:rPr>
                <w:rFonts w:hint="eastAsia" w:cs="Times New Roman"/>
                <w:bCs/>
                <w:color w:val="auto"/>
                <w:kern w:val="0"/>
                <w:szCs w:val="21"/>
                <w:highlight w:val="none"/>
                <w:lang w:val="en-US" w:eastAsia="zh-CN"/>
              </w:rPr>
              <w:t>A/O</w:t>
            </w:r>
            <w:r>
              <w:rPr>
                <w:rFonts w:hint="default" w:ascii="Times New Roman" w:hAnsi="Times New Roman" w:cs="Times New Roman"/>
                <w:bCs/>
                <w:color w:val="auto"/>
                <w:kern w:val="0"/>
                <w:szCs w:val="21"/>
                <w:highlight w:val="none"/>
                <w:lang w:eastAsia="zh-CN"/>
              </w:rPr>
              <w:t>一体化污水处理设施（处理工艺：格栅+调节池+A级池+O级池+沉淀池）处理后，通过污水管网排入新乡市小尚庄污水处理厂进行进一步处理。待后期区域规划新乡市凤泉区污水处理厂建成后排入新乡市凤泉区污水处理厂处理。</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color w:val="auto"/>
                <w:kern w:val="0"/>
                <w:szCs w:val="21"/>
                <w:highlight w:val="none"/>
              </w:rPr>
            </w:pPr>
            <w:r>
              <w:rPr>
                <w:rFonts w:hint="eastAsia" w:cs="Times New Roman"/>
                <w:b/>
                <w:bCs/>
                <w:color w:val="auto"/>
                <w:kern w:val="0"/>
                <w:szCs w:val="21"/>
                <w:highlight w:val="none"/>
                <w:lang w:val="en-US" w:eastAsia="zh-CN"/>
              </w:rPr>
              <w:t>7.2</w:t>
            </w:r>
            <w:r>
              <w:rPr>
                <w:rFonts w:hint="default" w:ascii="Times New Roman" w:hAnsi="Times New Roman" w:cs="Times New Roman"/>
                <w:b/>
                <w:bCs/>
                <w:color w:val="auto"/>
                <w:kern w:val="0"/>
                <w:szCs w:val="21"/>
                <w:highlight w:val="none"/>
              </w:rPr>
              <w:t>输供电</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rPr>
            </w:pPr>
            <w:r>
              <w:rPr>
                <w:rFonts w:hint="eastAsia" w:cs="Times New Roman"/>
                <w:bCs/>
                <w:color w:val="auto"/>
                <w:kern w:val="0"/>
                <w:szCs w:val="21"/>
                <w:highlight w:val="none"/>
                <w:lang w:eastAsia="zh-CN"/>
              </w:rPr>
              <w:t>本项目</w:t>
            </w:r>
            <w:r>
              <w:rPr>
                <w:rFonts w:hint="default" w:ascii="Times New Roman" w:hAnsi="Times New Roman" w:cs="Times New Roman"/>
                <w:bCs/>
                <w:color w:val="auto"/>
                <w:kern w:val="0"/>
                <w:szCs w:val="21"/>
                <w:highlight w:val="none"/>
                <w:lang w:eastAsia="zh-CN"/>
              </w:rPr>
              <w:t>所需年用电量为</w:t>
            </w:r>
            <w:r>
              <w:rPr>
                <w:rFonts w:hint="eastAsia" w:cs="Times New Roman"/>
                <w:bCs/>
                <w:color w:val="auto"/>
                <w:kern w:val="0"/>
                <w:szCs w:val="21"/>
                <w:highlight w:val="none"/>
                <w:lang w:val="en-US" w:eastAsia="zh-CN"/>
              </w:rPr>
              <w:t>1</w:t>
            </w:r>
            <w:r>
              <w:rPr>
                <w:rFonts w:hint="default" w:ascii="Times New Roman" w:hAnsi="Times New Roman" w:cs="Times New Roman"/>
                <w:bCs/>
                <w:color w:val="auto"/>
                <w:kern w:val="0"/>
                <w:szCs w:val="21"/>
                <w:highlight w:val="none"/>
                <w:lang w:val="en-US" w:eastAsia="zh-CN"/>
              </w:rPr>
              <w:t>50万kW‧h</w:t>
            </w:r>
            <w:r>
              <w:rPr>
                <w:rFonts w:hint="default" w:ascii="Times New Roman" w:hAnsi="Times New Roman" w:cs="Times New Roman"/>
                <w:bCs/>
                <w:color w:val="auto"/>
                <w:kern w:val="0"/>
                <w:szCs w:val="21"/>
                <w:highlight w:val="none"/>
                <w:lang w:eastAsia="zh-CN"/>
              </w:rPr>
              <w:t>，由租赁厂区现有配电设施提供，来源由区域市政供电管网</w:t>
            </w:r>
            <w:r>
              <w:rPr>
                <w:rFonts w:hint="default" w:ascii="Times New Roman" w:hAnsi="Times New Roman" w:cs="Times New Roman"/>
                <w:bCs/>
                <w:color w:val="auto"/>
                <w:kern w:val="0"/>
                <w:szCs w:val="21"/>
                <w:highlight w:val="none"/>
              </w:rPr>
              <w:t>供给</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rPr>
              <w:t>供电可满足本项目</w:t>
            </w:r>
            <w:r>
              <w:rPr>
                <w:rFonts w:hint="default" w:ascii="Times New Roman" w:hAnsi="Times New Roman" w:cs="Times New Roman"/>
                <w:bCs/>
                <w:color w:val="auto"/>
                <w:kern w:val="0"/>
                <w:szCs w:val="21"/>
                <w:highlight w:val="none"/>
                <w:lang w:eastAsia="zh-CN"/>
              </w:rPr>
              <w:t>日常生产需求</w:t>
            </w:r>
            <w:r>
              <w:rPr>
                <w:rFonts w:hint="default" w:ascii="Times New Roman" w:hAnsi="Times New Roman" w:cs="Times New Roman"/>
                <w:bCs/>
                <w:color w:val="auto"/>
                <w:kern w:val="0"/>
                <w:szCs w:val="21"/>
                <w:highlight w:val="none"/>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bCs w:val="0"/>
                <w:color w:val="auto"/>
                <w:kern w:val="0"/>
                <w:szCs w:val="21"/>
                <w:highlight w:val="none"/>
                <w:lang w:val="en-US" w:eastAsia="zh-CN"/>
              </w:rPr>
              <w:t>8、</w:t>
            </w:r>
            <w:r>
              <w:rPr>
                <w:rFonts w:hint="default" w:ascii="Times New Roman" w:hAnsi="Times New Roman" w:cs="Times New Roman"/>
                <w:b/>
                <w:bCs w:val="0"/>
                <w:color w:val="auto"/>
                <w:kern w:val="0"/>
                <w:sz w:val="21"/>
                <w:szCs w:val="21"/>
                <w:highlight w:val="none"/>
              </w:rPr>
              <w:t>工作制度与劳动定员</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eastAsia" w:ascii="Times New Roman" w:hAnsi="Times New Roman" w:eastAsia="宋体" w:cs="Times New Roman"/>
                <w:bCs/>
                <w:color w:val="auto"/>
                <w:szCs w:val="21"/>
                <w:highlight w:val="green"/>
                <w:lang w:val="en-US" w:eastAsia="zh-CN"/>
              </w:rPr>
            </w:pPr>
            <w:r>
              <w:rPr>
                <w:rFonts w:hint="eastAsia" w:cs="Times New Roman"/>
                <w:color w:val="auto"/>
                <w:sz w:val="21"/>
                <w:szCs w:val="21"/>
                <w:highlight w:val="none"/>
                <w:lang w:eastAsia="zh-CN"/>
              </w:rPr>
              <w:t>本项目劳动定员</w:t>
            </w:r>
            <w:r>
              <w:rPr>
                <w:rFonts w:hint="eastAsia" w:cs="Times New Roman"/>
                <w:color w:val="auto"/>
                <w:sz w:val="21"/>
                <w:szCs w:val="21"/>
                <w:highlight w:val="none"/>
                <w:lang w:val="en-US" w:eastAsia="zh-CN"/>
              </w:rPr>
              <w:t>30人</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均不在厂区内食宿</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年工作日</w:t>
            </w:r>
            <w:r>
              <w:rPr>
                <w:rFonts w:hint="default" w:ascii="Times New Roman" w:hAnsi="Times New Roman" w:cs="Times New Roman"/>
                <w:color w:val="auto"/>
                <w:sz w:val="21"/>
                <w:szCs w:val="21"/>
                <w:highlight w:val="none"/>
                <w:lang w:val="en-US" w:eastAsia="zh-CN"/>
              </w:rPr>
              <w:t>300</w:t>
            </w:r>
            <w:r>
              <w:rPr>
                <w:rFonts w:hint="default" w:ascii="Times New Roman" w:hAnsi="Times New Roman" w:cs="Times New Roman"/>
                <w:color w:val="auto"/>
                <w:sz w:val="21"/>
                <w:szCs w:val="21"/>
                <w:highlight w:val="none"/>
              </w:rPr>
              <w:t>天</w:t>
            </w:r>
            <w:r>
              <w:rPr>
                <w:rFonts w:hint="default" w:ascii="Times New Roman" w:hAnsi="Times New Roman" w:cs="Times New Roman"/>
                <w:color w:val="auto"/>
                <w:sz w:val="21"/>
                <w:szCs w:val="21"/>
                <w:highlight w:val="none"/>
                <w:lang w:eastAsia="zh-CN"/>
              </w:rPr>
              <w:t>，每天</w:t>
            </w:r>
            <w:r>
              <w:rPr>
                <w:rFonts w:hint="default" w:ascii="Times New Roman" w:hAnsi="Times New Roman" w:cs="Times New Roman"/>
                <w:color w:val="auto"/>
                <w:sz w:val="21"/>
                <w:szCs w:val="21"/>
                <w:highlight w:val="none"/>
                <w:lang w:val="en-US" w:eastAsia="zh-CN"/>
              </w:rPr>
              <w:t>1班制，</w:t>
            </w:r>
            <w:r>
              <w:rPr>
                <w:rFonts w:hint="default" w:ascii="Times New Roman" w:hAnsi="Times New Roman" w:cs="Times New Roman"/>
                <w:color w:val="auto"/>
                <w:sz w:val="21"/>
                <w:szCs w:val="21"/>
                <w:highlight w:val="none"/>
              </w:rPr>
              <w:t>每</w:t>
            </w:r>
            <w:r>
              <w:rPr>
                <w:rFonts w:hint="default" w:ascii="Times New Roman" w:hAnsi="Times New Roman" w:cs="Times New Roman"/>
                <w:color w:val="auto"/>
                <w:sz w:val="21"/>
                <w:szCs w:val="21"/>
                <w:highlight w:val="none"/>
                <w:lang w:eastAsia="zh-CN"/>
              </w:rPr>
              <w:t>班</w:t>
            </w:r>
            <w:r>
              <w:rPr>
                <w:rFonts w:hint="default" w:ascii="Times New Roman" w:hAnsi="Times New Roman" w:cs="Times New Roman"/>
                <w:color w:val="auto"/>
                <w:sz w:val="21"/>
                <w:szCs w:val="21"/>
                <w:highlight w:val="none"/>
              </w:rPr>
              <w:t>8h。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5" w:hRule="atLeast"/>
          <w:jc w:val="center"/>
        </w:trPr>
        <w:tc>
          <w:tcPr>
            <w:tcW w:w="388" w:type="pct"/>
            <w:noWrap w:val="0"/>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firstLine="0" w:firstLineChars="0"/>
              <w:jc w:val="center"/>
              <w:textAlignment w:val="auto"/>
              <w:rPr>
                <w:rFonts w:hint="default" w:ascii="Times New Roman" w:hAnsi="Times New Roman" w:cs="Times New Roman"/>
                <w:color w:val="auto"/>
                <w:sz w:val="21"/>
                <w:szCs w:val="21"/>
                <w:highlight w:val="green"/>
              </w:rPr>
            </w:pPr>
            <w:r>
              <w:rPr>
                <w:rFonts w:hint="default" w:ascii="Times New Roman" w:hAnsi="Times New Roman" w:cs="Times New Roman"/>
                <w:color w:val="auto"/>
                <w:sz w:val="21"/>
                <w:szCs w:val="21"/>
                <w:highlight w:val="none"/>
              </w:rPr>
              <w:t>工艺流程和产排污环节</w:t>
            </w:r>
          </w:p>
        </w:tc>
        <w:tc>
          <w:tcPr>
            <w:tcW w:w="4611" w:type="pct"/>
            <w:noWrap w:val="0"/>
            <w:vAlign w:val="top"/>
          </w:tcPr>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left"/>
              <w:textAlignment w:val="auto"/>
              <w:rPr>
                <w:rFonts w:hint="eastAsia" w:cs="Times New Roman"/>
                <w:b/>
                <w:color w:val="auto"/>
                <w:kern w:val="0"/>
                <w:sz w:val="21"/>
                <w:szCs w:val="21"/>
                <w:highlight w:val="none"/>
                <w:lang w:val="en-US" w:eastAsia="zh-CN" w:bidi="ar-SA"/>
              </w:rPr>
            </w:pPr>
            <w:r>
              <w:rPr>
                <w:rFonts w:hint="eastAsia" w:cs="Times New Roman"/>
                <w:b/>
                <w:color w:val="auto"/>
                <w:kern w:val="0"/>
                <w:sz w:val="21"/>
                <w:szCs w:val="21"/>
                <w:highlight w:val="none"/>
                <w:lang w:val="en-US" w:eastAsia="zh-CN" w:bidi="ar-SA"/>
              </w:rPr>
              <w:t>1、施工期工艺流程及产污环节</w:t>
            </w:r>
          </w:p>
          <w:p>
            <w:pPr>
              <w:keepNext w:val="0"/>
              <w:keepLines w:val="0"/>
              <w:pageBreakBefore w:val="0"/>
              <w:widowControl w:val="0"/>
              <w:tabs>
                <w:tab w:val="left" w:pos="889"/>
              </w:tabs>
              <w:kinsoku/>
              <w:wordWrap/>
              <w:overflowPunct/>
              <w:topLinePunct w:val="0"/>
              <w:bidi w:val="0"/>
              <w:adjustRightInd/>
              <w:snapToGrid/>
              <w:spacing w:line="360" w:lineRule="auto"/>
              <w:ind w:firstLine="420" w:firstLineChars="200"/>
              <w:textAlignment w:val="auto"/>
              <w:rPr>
                <w:color w:val="auto"/>
                <w:szCs w:val="21"/>
                <w:highlight w:val="none"/>
              </w:rPr>
            </w:pPr>
            <w:r>
              <w:rPr>
                <w:rFonts w:hint="eastAsia" w:ascii="Times New Roman" w:hAnsi="Times New Roman" w:eastAsia="宋体" w:cs="Times New Roman"/>
                <w:bCs/>
                <w:color w:val="auto"/>
                <w:kern w:val="0"/>
                <w:sz w:val="21"/>
                <w:szCs w:val="21"/>
                <w:highlight w:val="none"/>
                <w:lang w:val="en-US" w:eastAsia="zh-CN" w:bidi="ar-SA"/>
              </w:rPr>
              <w:t>工程</w:t>
            </w:r>
            <w:r>
              <w:rPr>
                <w:rFonts w:hint="eastAsia" w:cs="Times New Roman"/>
                <w:bCs/>
                <w:color w:val="auto"/>
                <w:kern w:val="0"/>
                <w:sz w:val="21"/>
                <w:szCs w:val="21"/>
                <w:highlight w:val="none"/>
                <w:lang w:val="en-US" w:eastAsia="zh-CN" w:bidi="ar-SA"/>
              </w:rPr>
              <w:t>租赁现有车间进行建设，</w:t>
            </w:r>
            <w:r>
              <w:rPr>
                <w:rFonts w:hint="eastAsia" w:ascii="Times New Roman" w:hAnsi="Times New Roman" w:eastAsia="宋体" w:cs="Times New Roman"/>
                <w:bCs/>
                <w:color w:val="auto"/>
                <w:kern w:val="0"/>
                <w:sz w:val="21"/>
                <w:szCs w:val="21"/>
                <w:highlight w:val="none"/>
                <w:lang w:val="en-US" w:eastAsia="zh-CN" w:bidi="ar-SA"/>
              </w:rPr>
              <w:t>施工期主要为生产设备的安装以及车间装修等</w:t>
            </w:r>
            <w:r>
              <w:rPr>
                <w:rFonts w:hint="eastAsia" w:cs="Times New Roman"/>
                <w:bCs/>
                <w:color w:val="auto"/>
                <w:kern w:val="0"/>
                <w:sz w:val="21"/>
                <w:szCs w:val="21"/>
                <w:highlight w:val="none"/>
                <w:lang w:val="en-US" w:eastAsia="zh-CN" w:bidi="ar-SA"/>
              </w:rPr>
              <w:t>，</w:t>
            </w:r>
            <w:r>
              <w:rPr>
                <w:color w:val="auto"/>
                <w:szCs w:val="21"/>
                <w:highlight w:val="none"/>
              </w:rPr>
              <w:t>施工工艺及产污环节如图1。</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jc w:val="center"/>
              <w:textAlignment w:val="auto"/>
              <w:rPr>
                <w:rFonts w:hint="eastAsia" w:cs="Times New Roman"/>
                <w:b/>
                <w:color w:val="auto"/>
                <w:kern w:val="0"/>
                <w:szCs w:val="21"/>
                <w:highlight w:val="none"/>
                <w:lang w:val="en-US" w:eastAsia="zh-CN"/>
              </w:rPr>
            </w:pPr>
            <w:r>
              <w:rPr>
                <w:rFonts w:eastAsia="黑体"/>
                <w:color w:val="auto"/>
                <w:szCs w:val="21"/>
              </w:rPr>
              <w:object>
                <v:shape id="_x0000_i1025" o:spt="75" alt="" type="#_x0000_t75" style="height:160.6pt;width:321.3pt;" o:ole="t" filled="f" o:preferrelative="t" stroked="t" coordsize="21600,21600">
                  <v:path/>
                  <v:fill on="f" focussize="0,0"/>
                  <v:stroke color="#000000" joinstyle="miter"/>
                  <v:imagedata r:id="rId17" o:title=""/>
                  <o:lock v:ext="edit" aspectratio="t"/>
                  <w10:wrap type="none"/>
                  <w10:anchorlock/>
                </v:shape>
                <o:OLEObject Type="Embed" ProgID="Visio.Drawing.11" ShapeID="_x0000_i1025" DrawAspect="Content" ObjectID="_1468075725" r:id="rId16">
                  <o:LockedField>false</o:LockedField>
                </o:OLEObject>
              </w:object>
            </w:r>
          </w:p>
          <w:p>
            <w:pPr>
              <w:pStyle w:val="27"/>
              <w:keepNext w:val="0"/>
              <w:keepLines w:val="0"/>
              <w:pageBreakBefore w:val="0"/>
              <w:widowControl w:val="0"/>
              <w:numPr>
                <w:ilvl w:val="0"/>
                <w:numId w:val="8"/>
              </w:numPr>
              <w:kinsoku/>
              <w:wordWrap/>
              <w:overflowPunct/>
              <w:topLinePunct w:val="0"/>
              <w:bidi w:val="0"/>
              <w:adjustRightInd/>
              <w:snapToGrid/>
              <w:spacing w:line="360" w:lineRule="auto"/>
              <w:ind w:left="0" w:leftChars="0" w:hanging="420" w:firstLineChars="0"/>
              <w:textAlignment w:val="auto"/>
              <w:rPr>
                <w:rFonts w:hint="eastAsia" w:ascii="黑体" w:hAnsi="黑体" w:eastAsia="黑体" w:cs="黑体"/>
                <w:color w:val="auto"/>
                <w:kern w:val="2"/>
                <w:sz w:val="21"/>
                <w:szCs w:val="24"/>
                <w:highlight w:val="none"/>
                <w:lang w:val="en-US" w:eastAsia="zh-CN" w:bidi="ar-SA"/>
              </w:rPr>
            </w:pPr>
            <w:r>
              <w:rPr>
                <w:rFonts w:hint="eastAsia" w:ascii="黑体" w:hAnsi="黑体" w:eastAsia="黑体" w:cs="黑体"/>
                <w:color w:val="auto"/>
                <w:kern w:val="2"/>
                <w:sz w:val="21"/>
                <w:szCs w:val="24"/>
                <w:highlight w:val="none"/>
                <w:lang w:val="en-US" w:eastAsia="zh-CN" w:bidi="ar-SA"/>
              </w:rPr>
              <w:t>施工期施工工序及产污环节图</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420" w:leftChars="0"/>
              <w:jc w:val="left"/>
              <w:textAlignment w:val="auto"/>
              <w:rPr>
                <w:rFonts w:hint="eastAsia" w:cs="Times New Roman"/>
                <w:b/>
                <w:color w:val="auto"/>
                <w:kern w:val="0"/>
                <w:szCs w:val="21"/>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420" w:leftChars="0"/>
              <w:jc w:val="left"/>
              <w:textAlignment w:val="auto"/>
              <w:rPr>
                <w:rFonts w:hint="eastAsia" w:cs="Times New Roman"/>
                <w:b/>
                <w:color w:val="auto"/>
                <w:kern w:val="0"/>
                <w:szCs w:val="21"/>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420" w:leftChars="0"/>
              <w:jc w:val="left"/>
              <w:textAlignment w:val="auto"/>
              <w:rPr>
                <w:rFonts w:hint="eastAsia" w:cs="Times New Roman"/>
                <w:b/>
                <w:color w:val="auto"/>
                <w:kern w:val="0"/>
                <w:szCs w:val="21"/>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left"/>
              <w:textAlignment w:val="auto"/>
              <w:rPr>
                <w:rFonts w:hint="default" w:ascii="Times New Roman" w:hAnsi="Times New Roman" w:eastAsia="宋体" w:cs="Times New Roman"/>
                <w:b/>
                <w:color w:val="auto"/>
                <w:kern w:val="0"/>
                <w:sz w:val="21"/>
                <w:szCs w:val="21"/>
                <w:highlight w:val="none"/>
                <w:lang w:val="en-US" w:eastAsia="zh-CN" w:bidi="ar-SA"/>
              </w:rPr>
            </w:pPr>
            <w:r>
              <w:rPr>
                <w:rFonts w:hint="eastAsia" w:cs="Times New Roman"/>
                <w:b/>
                <w:color w:val="auto"/>
                <w:kern w:val="0"/>
                <w:szCs w:val="21"/>
                <w:highlight w:val="none"/>
                <w:lang w:val="en-US" w:eastAsia="zh-CN"/>
              </w:rPr>
              <w:t>2、营运期</w:t>
            </w:r>
            <w:r>
              <w:rPr>
                <w:rFonts w:hint="default" w:ascii="Times New Roman" w:hAnsi="Times New Roman" w:cs="Times New Roman"/>
                <w:b/>
                <w:color w:val="auto"/>
                <w:kern w:val="0"/>
                <w:szCs w:val="21"/>
                <w:highlight w:val="none"/>
              </w:rPr>
              <w:t>工程工艺流程及产污环节</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color w:val="auto"/>
                <w:highlight w:val="none"/>
                <w:lang w:val="en-US" w:eastAsia="zh-CN"/>
              </w:rPr>
            </w:pPr>
            <w:r>
              <w:rPr>
                <w:rFonts w:hint="eastAsia" w:ascii="Times New Roman" w:hAnsi="Times New Roman" w:eastAsia="黑体" w:cs="Times New Roman"/>
                <w:color w:val="auto"/>
                <w:highlight w:val="none"/>
                <w:lang w:eastAsia="zh-CN"/>
              </w:rPr>
              <w:object>
                <v:shape id="_x0000_i1026" o:spt="75" alt="" type="#_x0000_t75" style="height:599.4pt;width:305.75pt;" o:ole="t" filled="f" o:preferrelative="t" stroked="t" coordsize="21600,21600">
                  <v:path/>
                  <v:fill on="f" focussize="0,0"/>
                  <v:stroke color="#000000" joinstyle="miter"/>
                  <v:imagedata r:id="rId19" o:title=""/>
                  <o:lock v:ext="edit" aspectratio="t"/>
                  <w10:wrap type="none"/>
                  <w10:anchorlock/>
                </v:shape>
                <o:OLEObject Type="Embed" ProgID="Visio.Drawing.15" ShapeID="_x0000_i1026" DrawAspect="Content" ObjectID="_1468075726" r:id="rId18">
                  <o:LockedField>false</o:LockedField>
                </o:OLEObject>
              </w:object>
            </w:r>
          </w:p>
          <w:p>
            <w:pPr>
              <w:pStyle w:val="27"/>
              <w:keepNext w:val="0"/>
              <w:keepLines w:val="0"/>
              <w:pageBreakBefore w:val="0"/>
              <w:widowControl w:val="0"/>
              <w:numPr>
                <w:ilvl w:val="0"/>
                <w:numId w:val="8"/>
              </w:numPr>
              <w:kinsoku/>
              <w:wordWrap/>
              <w:overflowPunct/>
              <w:topLinePunct w:val="0"/>
              <w:bidi w:val="0"/>
              <w:adjustRightInd/>
              <w:snapToGrid/>
              <w:spacing w:line="360" w:lineRule="auto"/>
              <w:ind w:left="0" w:leftChars="0" w:hanging="420" w:firstLineChars="0"/>
              <w:textAlignment w:val="auto"/>
              <w:rPr>
                <w:rFonts w:hint="eastAsia" w:ascii="黑体" w:hAnsi="黑体" w:eastAsia="黑体" w:cs="黑体"/>
                <w:color w:val="auto"/>
                <w:kern w:val="2"/>
                <w:sz w:val="21"/>
                <w:szCs w:val="24"/>
                <w:highlight w:val="none"/>
                <w:lang w:val="en-US" w:eastAsia="zh-CN" w:bidi="ar-SA"/>
              </w:rPr>
            </w:pPr>
            <w:r>
              <w:rPr>
                <w:rFonts w:hint="eastAsia" w:ascii="黑体" w:hAnsi="黑体" w:eastAsia="黑体" w:cs="黑体"/>
                <w:color w:val="auto"/>
                <w:kern w:val="2"/>
                <w:sz w:val="21"/>
                <w:szCs w:val="24"/>
                <w:highlight w:val="none"/>
                <w:lang w:val="en-US" w:eastAsia="zh-CN" w:bidi="ar-SA"/>
              </w:rPr>
              <w:t>工艺流程及产污环节图</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left"/>
              <w:textAlignment w:val="auto"/>
              <w:rPr>
                <w:rFonts w:hint="eastAsia" w:ascii="Times New Roman" w:hAnsi="Times New Roman" w:eastAsia="黑体" w:cs="Times New Roman"/>
                <w:color w:val="auto"/>
                <w:sz w:val="21"/>
                <w:szCs w:val="21"/>
                <w:highlight w:val="none"/>
                <w:lang w:eastAsia="zh-CN"/>
              </w:rPr>
            </w:pPr>
            <w:r>
              <w:rPr>
                <w:rFonts w:hint="eastAsia" w:ascii="Times New Roman" w:hAnsi="Times New Roman" w:eastAsia="黑体" w:cs="Times New Roman"/>
                <w:color w:val="auto"/>
                <w:sz w:val="21"/>
                <w:szCs w:val="21"/>
                <w:highlight w:val="none"/>
                <w:lang w:eastAsia="zh-CN"/>
              </w:rPr>
              <w:t>本项目锂电池生产不含正、负极材料</w:t>
            </w:r>
            <w:r>
              <w:rPr>
                <w:rFonts w:hint="eastAsia" w:eastAsia="黑体" w:cs="Times New Roman"/>
                <w:color w:val="auto"/>
                <w:sz w:val="21"/>
                <w:szCs w:val="21"/>
                <w:highlight w:val="none"/>
                <w:lang w:eastAsia="zh-CN"/>
              </w:rPr>
              <w:t>（即正、负极卷材）</w:t>
            </w:r>
            <w:r>
              <w:rPr>
                <w:rFonts w:hint="eastAsia" w:ascii="Times New Roman" w:hAnsi="Times New Roman" w:eastAsia="黑体" w:cs="Times New Roman"/>
                <w:color w:val="auto"/>
                <w:sz w:val="21"/>
                <w:szCs w:val="21"/>
                <w:highlight w:val="none"/>
                <w:lang w:eastAsia="zh-CN"/>
              </w:rPr>
              <w:t>的生产，仅包含极片制作（</w:t>
            </w:r>
            <w:r>
              <w:rPr>
                <w:rFonts w:hint="eastAsia" w:eastAsia="黑体" w:cs="Times New Roman"/>
                <w:color w:val="auto"/>
                <w:sz w:val="21"/>
                <w:szCs w:val="21"/>
                <w:highlight w:val="none"/>
                <w:lang w:eastAsia="zh-CN"/>
              </w:rPr>
              <w:t>辊</w:t>
            </w:r>
            <w:r>
              <w:rPr>
                <w:rFonts w:hint="eastAsia" w:ascii="Times New Roman" w:hAnsi="Times New Roman" w:eastAsia="黑体" w:cs="Times New Roman"/>
                <w:color w:val="auto"/>
                <w:sz w:val="21"/>
                <w:szCs w:val="21"/>
                <w:highlight w:val="none"/>
                <w:lang w:eastAsia="zh-CN"/>
              </w:rPr>
              <w:t>压</w:t>
            </w:r>
            <w:r>
              <w:rPr>
                <w:rFonts w:hint="eastAsia" w:eastAsia="黑体" w:cs="Times New Roman"/>
                <w:color w:val="auto"/>
                <w:sz w:val="21"/>
                <w:szCs w:val="21"/>
                <w:highlight w:val="none"/>
                <w:lang w:eastAsia="zh-CN"/>
              </w:rPr>
              <w:t>、</w:t>
            </w:r>
            <w:r>
              <w:rPr>
                <w:rFonts w:hint="eastAsia" w:ascii="Times New Roman" w:hAnsi="Times New Roman" w:eastAsia="黑体" w:cs="Times New Roman"/>
                <w:color w:val="auto"/>
                <w:sz w:val="21"/>
                <w:szCs w:val="21"/>
                <w:highlight w:val="none"/>
                <w:lang w:eastAsia="zh-CN"/>
              </w:rPr>
              <w:t>分条）、卷绕、</w:t>
            </w:r>
            <w:r>
              <w:rPr>
                <w:rFonts w:hint="eastAsia" w:eastAsia="黑体" w:cs="Times New Roman"/>
                <w:color w:val="auto"/>
                <w:sz w:val="21"/>
                <w:szCs w:val="21"/>
                <w:highlight w:val="none"/>
                <w:lang w:eastAsia="zh-CN"/>
              </w:rPr>
              <w:t>（短路测试、烘干）、</w:t>
            </w:r>
            <w:r>
              <w:rPr>
                <w:rFonts w:hint="eastAsia" w:ascii="Times New Roman" w:hAnsi="Times New Roman" w:eastAsia="黑体" w:cs="Times New Roman"/>
                <w:color w:val="auto"/>
                <w:sz w:val="21"/>
                <w:szCs w:val="21"/>
                <w:highlight w:val="none"/>
                <w:lang w:eastAsia="zh-CN"/>
              </w:rPr>
              <w:t>极耳焊</w:t>
            </w:r>
            <w:r>
              <w:rPr>
                <w:rFonts w:hint="eastAsia" w:eastAsia="黑体" w:cs="Times New Roman"/>
                <w:color w:val="auto"/>
                <w:sz w:val="21"/>
                <w:szCs w:val="21"/>
                <w:highlight w:val="none"/>
                <w:lang w:eastAsia="zh-CN"/>
              </w:rPr>
              <w:t>接</w:t>
            </w:r>
            <w:r>
              <w:rPr>
                <w:rFonts w:hint="eastAsia" w:ascii="Times New Roman" w:hAnsi="Times New Roman" w:eastAsia="黑体" w:cs="Times New Roman"/>
                <w:color w:val="auto"/>
                <w:sz w:val="21"/>
                <w:szCs w:val="21"/>
                <w:highlight w:val="none"/>
                <w:lang w:eastAsia="zh-CN"/>
              </w:rPr>
              <w:t>、装配、</w:t>
            </w:r>
            <w:r>
              <w:rPr>
                <w:rFonts w:hint="eastAsia" w:eastAsia="黑体" w:cs="Times New Roman"/>
                <w:color w:val="auto"/>
                <w:sz w:val="21"/>
                <w:szCs w:val="21"/>
                <w:highlight w:val="none"/>
                <w:lang w:eastAsia="zh-CN"/>
              </w:rPr>
              <w:t>（</w:t>
            </w:r>
            <w:r>
              <w:rPr>
                <w:rFonts w:hint="eastAsia" w:ascii="Times New Roman" w:hAnsi="Times New Roman" w:eastAsia="黑体" w:cs="Times New Roman"/>
                <w:color w:val="auto"/>
                <w:sz w:val="21"/>
                <w:szCs w:val="21"/>
                <w:highlight w:val="none"/>
                <w:lang w:eastAsia="zh-CN"/>
              </w:rPr>
              <w:t>注液、封口</w:t>
            </w:r>
            <w:r>
              <w:rPr>
                <w:rFonts w:hint="eastAsia" w:eastAsia="黑体" w:cs="Times New Roman"/>
                <w:color w:val="auto"/>
                <w:sz w:val="21"/>
                <w:szCs w:val="21"/>
                <w:highlight w:val="none"/>
                <w:lang w:eastAsia="zh-CN"/>
              </w:rPr>
              <w:t>）</w:t>
            </w:r>
            <w:r>
              <w:rPr>
                <w:rFonts w:hint="eastAsia" w:ascii="Times New Roman" w:hAnsi="Times New Roman" w:eastAsia="黑体" w:cs="Times New Roman"/>
                <w:color w:val="auto"/>
                <w:sz w:val="21"/>
                <w:szCs w:val="21"/>
                <w:highlight w:val="none"/>
                <w:lang w:eastAsia="zh-CN"/>
              </w:rPr>
              <w:t>、化成</w:t>
            </w:r>
            <w:r>
              <w:rPr>
                <w:rFonts w:hint="eastAsia" w:eastAsia="黑体" w:cs="Times New Roman"/>
                <w:color w:val="auto"/>
                <w:sz w:val="21"/>
                <w:szCs w:val="21"/>
                <w:highlight w:val="none"/>
                <w:lang w:eastAsia="zh-CN"/>
              </w:rPr>
              <w:t>、</w:t>
            </w:r>
            <w:r>
              <w:rPr>
                <w:rFonts w:hint="eastAsia" w:ascii="Times New Roman" w:hAnsi="Times New Roman" w:eastAsia="黑体" w:cs="Times New Roman"/>
                <w:color w:val="auto"/>
                <w:sz w:val="21"/>
                <w:szCs w:val="21"/>
                <w:highlight w:val="none"/>
                <w:lang w:eastAsia="zh-CN"/>
              </w:rPr>
              <w:t>分容、</w:t>
            </w:r>
            <w:r>
              <w:rPr>
                <w:rFonts w:hint="eastAsia" w:eastAsia="黑体" w:cs="Times New Roman"/>
                <w:color w:val="auto"/>
                <w:sz w:val="21"/>
                <w:szCs w:val="21"/>
                <w:highlight w:val="none"/>
                <w:lang w:eastAsia="zh-CN"/>
              </w:rPr>
              <w:t>检验</w:t>
            </w:r>
            <w:r>
              <w:rPr>
                <w:rFonts w:hint="eastAsia" w:ascii="Times New Roman" w:hAnsi="Times New Roman" w:eastAsia="黑体" w:cs="Times New Roman"/>
                <w:color w:val="auto"/>
                <w:sz w:val="21"/>
                <w:szCs w:val="21"/>
                <w:highlight w:val="none"/>
                <w:lang w:eastAsia="zh-CN"/>
              </w:rPr>
              <w:t>、包装等工序。主要生产工艺简述如下：</w:t>
            </w:r>
          </w:p>
          <w:p>
            <w:pPr>
              <w:spacing w:line="360" w:lineRule="auto"/>
              <w:ind w:firstLine="482"/>
              <w:jc w:val="left"/>
              <w:rPr>
                <w:rFonts w:hint="default" w:ascii="Times New Roman" w:hAnsi="Times New Roman" w:eastAsia="宋体" w:cs="Times New Roman"/>
                <w:color w:val="auto"/>
                <w:sz w:val="21"/>
                <w:szCs w:val="21"/>
                <w:highlight w:val="none"/>
                <w:lang w:val="en-US" w:eastAsia="zh-CN"/>
              </w:rPr>
            </w:pPr>
            <w:r>
              <w:rPr>
                <w:rFonts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1</w:t>
            </w:r>
            <w:r>
              <w:rPr>
                <w:rFonts w:ascii="Times New Roman" w:hAnsi="Times New Roman" w:cs="Times New Roman"/>
                <w:color w:val="auto"/>
                <w:sz w:val="21"/>
                <w:szCs w:val="21"/>
                <w:highlight w:val="none"/>
              </w:rPr>
              <w:t>）</w:t>
            </w:r>
            <w:r>
              <w:rPr>
                <w:rFonts w:hint="eastAsia" w:cs="Times New Roman"/>
                <w:color w:val="auto"/>
                <w:sz w:val="21"/>
                <w:szCs w:val="21"/>
                <w:highlight w:val="none"/>
                <w:lang w:eastAsia="zh-CN"/>
              </w:rPr>
              <w:t>极片制作（辊</w:t>
            </w:r>
            <w:r>
              <w:rPr>
                <w:rFonts w:hint="eastAsia" w:cs="Times New Roman"/>
                <w:color w:val="auto"/>
                <w:sz w:val="21"/>
                <w:szCs w:val="21"/>
                <w:highlight w:val="none"/>
                <w:lang w:val="en-US" w:eastAsia="zh-CN"/>
              </w:rPr>
              <w:t>压、切片</w:t>
            </w:r>
            <w:r>
              <w:rPr>
                <w:rFonts w:hint="eastAsia" w:cs="Times New Roman"/>
                <w:color w:val="auto"/>
                <w:sz w:val="21"/>
                <w:szCs w:val="21"/>
                <w:highlight w:val="none"/>
                <w:lang w:eastAsia="zh-CN"/>
              </w:rPr>
              <w:t>）</w:t>
            </w:r>
          </w:p>
          <w:p>
            <w:pPr>
              <w:spacing w:line="360" w:lineRule="auto"/>
              <w:ind w:firstLine="482"/>
              <w:jc w:val="left"/>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val="en-US" w:eastAsia="zh-CN"/>
              </w:rPr>
              <w:t>项目外购正负极片卷材，首先按照工艺要求使用对辊机将极片条压</w:t>
            </w:r>
            <w:r>
              <w:rPr>
                <w:rFonts w:ascii="Times New Roman" w:hAnsi="Times New Roman" w:cs="Times New Roman"/>
                <w:bCs/>
                <w:color w:val="auto"/>
                <w:sz w:val="21"/>
                <w:szCs w:val="21"/>
                <w:highlight w:val="none"/>
              </w:rPr>
              <w:t>延成片状，厚度控制在0.125～0.165mm左右</w:t>
            </w:r>
            <w:r>
              <w:rPr>
                <w:rFonts w:hint="eastAsia" w:ascii="Times New Roman" w:hAnsi="Times New Roman" w:cs="Times New Roman"/>
                <w:bCs/>
                <w:color w:val="auto"/>
                <w:sz w:val="21"/>
                <w:szCs w:val="21"/>
                <w:highlight w:val="none"/>
                <w:lang w:eastAsia="zh-CN"/>
              </w:rPr>
              <w:t>，</w:t>
            </w:r>
            <w:r>
              <w:rPr>
                <w:rFonts w:hint="eastAsia" w:cs="Times New Roman"/>
                <w:bCs/>
                <w:color w:val="auto"/>
                <w:sz w:val="21"/>
                <w:szCs w:val="21"/>
                <w:highlight w:val="none"/>
                <w:lang w:val="en-US" w:eastAsia="zh-CN"/>
              </w:rPr>
              <w:t>然后</w:t>
            </w:r>
            <w:r>
              <w:rPr>
                <w:rFonts w:ascii="Times New Roman" w:hAnsi="Times New Roman" w:cs="Times New Roman"/>
                <w:bCs/>
                <w:color w:val="auto"/>
                <w:sz w:val="21"/>
                <w:szCs w:val="21"/>
                <w:highlight w:val="none"/>
              </w:rPr>
              <w:t>根据不同规格的电池要求</w:t>
            </w:r>
            <w:r>
              <w:rPr>
                <w:rFonts w:hint="eastAsia" w:cs="Times New Roman"/>
                <w:bCs/>
                <w:color w:val="auto"/>
                <w:sz w:val="21"/>
                <w:szCs w:val="21"/>
                <w:highlight w:val="none"/>
                <w:lang w:eastAsia="zh-CN"/>
              </w:rPr>
              <w:t>分别使用分条机、</w:t>
            </w:r>
            <w:r>
              <w:rPr>
                <w:rFonts w:hint="eastAsia" w:cs="Times New Roman"/>
                <w:bCs/>
                <w:color w:val="auto"/>
                <w:sz w:val="21"/>
                <w:szCs w:val="21"/>
                <w:highlight w:val="none"/>
                <w:lang w:val="en-US" w:eastAsia="zh-CN"/>
              </w:rPr>
              <w:t>切片机裁得到符合产品尺寸要求的正、负极片</w:t>
            </w:r>
            <w:r>
              <w:rPr>
                <w:rFonts w:ascii="Times New Roman" w:hAnsi="Times New Roman" w:cs="Times New Roman"/>
                <w:bCs/>
                <w:color w:val="auto"/>
                <w:sz w:val="21"/>
                <w:szCs w:val="21"/>
                <w:highlight w:val="none"/>
              </w:rPr>
              <w:t>。</w:t>
            </w:r>
            <w:r>
              <w:rPr>
                <w:rFonts w:hint="eastAsia" w:cs="Times New Roman"/>
                <w:bCs/>
                <w:color w:val="auto"/>
                <w:sz w:val="21"/>
                <w:szCs w:val="21"/>
                <w:highlight w:val="none"/>
                <w:lang w:eastAsia="zh-CN"/>
              </w:rPr>
              <w:t>工程辊压采用辊轴辊压，切片采用切片机内置切刀分切，因此在辊压和切片过程不会有颗粒物产生。</w:t>
            </w:r>
          </w:p>
          <w:p>
            <w:pPr>
              <w:spacing w:line="360" w:lineRule="auto"/>
              <w:ind w:firstLine="482"/>
              <w:jc w:val="left"/>
              <w:rPr>
                <w:rFonts w:ascii="Times New Roman" w:hAnsi="Times New Roman" w:cs="Times New Roman"/>
                <w:bCs/>
                <w:color w:val="auto"/>
                <w:sz w:val="21"/>
                <w:szCs w:val="21"/>
                <w:highlight w:val="none"/>
              </w:rPr>
            </w:pPr>
            <w:r>
              <w:rPr>
                <w:rFonts w:hint="eastAsia" w:cs="Times New Roman"/>
                <w:bCs/>
                <w:color w:val="auto"/>
                <w:sz w:val="21"/>
                <w:szCs w:val="21"/>
                <w:highlight w:val="none"/>
                <w:lang w:eastAsia="zh-CN"/>
              </w:rPr>
              <w:t>该工序产污环节为：</w:t>
            </w:r>
            <w:r>
              <w:rPr>
                <w:rFonts w:ascii="Times New Roman" w:hAnsi="Times New Roman" w:cs="Times New Roman"/>
                <w:color w:val="auto"/>
                <w:sz w:val="21"/>
                <w:szCs w:val="21"/>
                <w:highlight w:val="none"/>
              </w:rPr>
              <w:t>设备噪声，</w:t>
            </w:r>
            <w:r>
              <w:rPr>
                <w:rFonts w:hint="eastAsia" w:cs="Times New Roman"/>
                <w:color w:val="auto"/>
                <w:sz w:val="21"/>
                <w:szCs w:val="21"/>
                <w:highlight w:val="none"/>
                <w:lang w:eastAsia="zh-CN"/>
              </w:rPr>
              <w:t>切片</w:t>
            </w:r>
            <w:r>
              <w:rPr>
                <w:rFonts w:ascii="Times New Roman" w:hAnsi="Times New Roman" w:cs="Times New Roman"/>
                <w:color w:val="auto"/>
                <w:sz w:val="21"/>
                <w:szCs w:val="21"/>
                <w:highlight w:val="none"/>
              </w:rPr>
              <w:t>产生的正、负极</w:t>
            </w:r>
            <w:r>
              <w:rPr>
                <w:rFonts w:hint="eastAsia" w:cs="Times New Roman"/>
                <w:color w:val="auto"/>
                <w:sz w:val="21"/>
                <w:szCs w:val="21"/>
                <w:highlight w:val="none"/>
                <w:lang w:eastAsia="zh-CN"/>
              </w:rPr>
              <w:t>材料废</w:t>
            </w:r>
            <w:r>
              <w:rPr>
                <w:rFonts w:ascii="Times New Roman" w:hAnsi="Times New Roman" w:cs="Times New Roman"/>
                <w:color w:val="auto"/>
                <w:sz w:val="21"/>
                <w:szCs w:val="21"/>
                <w:highlight w:val="none"/>
              </w:rPr>
              <w:t>边角料。</w:t>
            </w:r>
          </w:p>
          <w:p>
            <w:pPr>
              <w:spacing w:line="360" w:lineRule="auto"/>
              <w:ind w:firstLine="482"/>
              <w:jc w:val="left"/>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2</w:t>
            </w:r>
            <w:r>
              <w:rPr>
                <w:rFonts w:ascii="Times New Roman" w:hAnsi="Times New Roman" w:cs="Times New Roman"/>
                <w:color w:val="auto"/>
                <w:sz w:val="21"/>
                <w:szCs w:val="21"/>
                <w:highlight w:val="none"/>
              </w:rPr>
              <w:t>）卷绕</w:t>
            </w:r>
          </w:p>
          <w:p>
            <w:pPr>
              <w:spacing w:line="360" w:lineRule="auto"/>
              <w:ind w:firstLine="482"/>
              <w:jc w:val="left"/>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将</w:t>
            </w:r>
            <w:r>
              <w:rPr>
                <w:rFonts w:hint="eastAsia" w:cs="Times New Roman"/>
                <w:bCs/>
                <w:color w:val="auto"/>
                <w:sz w:val="21"/>
                <w:szCs w:val="21"/>
                <w:highlight w:val="none"/>
                <w:lang w:eastAsia="zh-CN"/>
              </w:rPr>
              <w:t>上述制成的</w:t>
            </w:r>
            <w:r>
              <w:rPr>
                <w:rFonts w:ascii="Times New Roman" w:hAnsi="Times New Roman" w:cs="Times New Roman"/>
                <w:bCs/>
                <w:color w:val="auto"/>
                <w:sz w:val="21"/>
                <w:szCs w:val="21"/>
                <w:highlight w:val="none"/>
              </w:rPr>
              <w:t>正负极片和隔离膜按照正极片</w:t>
            </w:r>
            <w:r>
              <w:rPr>
                <w:rFonts w:hint="default" w:ascii="Arial" w:hAnsi="Arial" w:cs="Arial"/>
                <w:bCs/>
                <w:color w:val="auto"/>
                <w:sz w:val="21"/>
                <w:szCs w:val="21"/>
                <w:highlight w:val="none"/>
              </w:rPr>
              <w:t>→</w:t>
            </w:r>
            <w:r>
              <w:rPr>
                <w:rFonts w:ascii="Times New Roman" w:hAnsi="Times New Roman" w:cs="Times New Roman"/>
                <w:bCs/>
                <w:color w:val="auto"/>
                <w:sz w:val="21"/>
                <w:szCs w:val="21"/>
                <w:highlight w:val="none"/>
              </w:rPr>
              <w:t>隔膜</w:t>
            </w:r>
            <w:r>
              <w:rPr>
                <w:rFonts w:hint="default" w:ascii="Arial" w:hAnsi="Arial" w:cs="Arial"/>
                <w:bCs/>
                <w:color w:val="auto"/>
                <w:sz w:val="21"/>
                <w:szCs w:val="21"/>
                <w:highlight w:val="none"/>
              </w:rPr>
              <w:t>→</w:t>
            </w:r>
            <w:r>
              <w:rPr>
                <w:rFonts w:ascii="Times New Roman" w:hAnsi="Times New Roman" w:cs="Times New Roman"/>
                <w:bCs/>
                <w:color w:val="auto"/>
                <w:sz w:val="21"/>
                <w:szCs w:val="21"/>
                <w:highlight w:val="none"/>
              </w:rPr>
              <w:t>负极片自上而下顺序放好，经卷绕机卷绕制成</w:t>
            </w:r>
            <w:r>
              <w:rPr>
                <w:rFonts w:hint="eastAsia" w:cs="Times New Roman"/>
                <w:bCs/>
                <w:color w:val="auto"/>
                <w:sz w:val="21"/>
                <w:szCs w:val="21"/>
                <w:highlight w:val="none"/>
                <w:lang w:eastAsia="zh-CN"/>
              </w:rPr>
              <w:t>锂</w:t>
            </w:r>
            <w:r>
              <w:rPr>
                <w:rFonts w:ascii="Times New Roman" w:hAnsi="Times New Roman" w:cs="Times New Roman"/>
                <w:bCs/>
                <w:color w:val="auto"/>
                <w:sz w:val="21"/>
                <w:szCs w:val="21"/>
                <w:highlight w:val="none"/>
              </w:rPr>
              <w:t>电池电芯，隔膜采用聚丙烯+聚乙烯材料。</w:t>
            </w:r>
          </w:p>
          <w:p>
            <w:pPr>
              <w:spacing w:line="360" w:lineRule="auto"/>
              <w:ind w:firstLine="482"/>
              <w:jc w:val="left"/>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w:t>
            </w:r>
            <w:r>
              <w:rPr>
                <w:rFonts w:hint="eastAsia" w:cs="Times New Roman"/>
                <w:bCs/>
                <w:color w:val="auto"/>
                <w:sz w:val="21"/>
                <w:szCs w:val="21"/>
                <w:highlight w:val="none"/>
                <w:lang w:val="en-US" w:eastAsia="zh-CN"/>
              </w:rPr>
              <w:t>3</w:t>
            </w:r>
            <w:r>
              <w:rPr>
                <w:rFonts w:hint="eastAsia" w:cs="Times New Roman"/>
                <w:bCs/>
                <w:color w:val="auto"/>
                <w:sz w:val="21"/>
                <w:szCs w:val="21"/>
                <w:highlight w:val="none"/>
                <w:lang w:eastAsia="zh-CN"/>
              </w:rPr>
              <w:t>）短路测试、烘干</w:t>
            </w:r>
          </w:p>
          <w:p>
            <w:pPr>
              <w:spacing w:line="360" w:lineRule="auto"/>
              <w:ind w:firstLine="482"/>
              <w:jc w:val="left"/>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eastAsia="zh-CN"/>
              </w:rPr>
              <w:t>将上述</w:t>
            </w:r>
            <w:r>
              <w:rPr>
                <w:rFonts w:ascii="Times New Roman" w:hAnsi="Times New Roman" w:cs="Times New Roman"/>
                <w:bCs/>
                <w:color w:val="auto"/>
                <w:sz w:val="21"/>
                <w:szCs w:val="21"/>
                <w:highlight w:val="none"/>
              </w:rPr>
              <w:t>完成的电芯</w:t>
            </w:r>
            <w:r>
              <w:rPr>
                <w:rFonts w:hint="eastAsia" w:cs="Times New Roman"/>
                <w:bCs/>
                <w:color w:val="auto"/>
                <w:sz w:val="21"/>
                <w:szCs w:val="21"/>
                <w:highlight w:val="none"/>
                <w:lang w:eastAsia="zh-CN"/>
              </w:rPr>
              <w:t>使用</w:t>
            </w:r>
            <w:r>
              <w:rPr>
                <w:rFonts w:hint="eastAsia" w:ascii="Times New Roman" w:hAnsi="Times New Roman" w:cs="Times New Roman"/>
                <w:bCs/>
                <w:color w:val="auto"/>
                <w:sz w:val="21"/>
                <w:szCs w:val="21"/>
                <w:highlight w:val="none"/>
              </w:rPr>
              <w:t>绝缘内阻测试仪</w:t>
            </w:r>
            <w:r>
              <w:rPr>
                <w:rFonts w:hint="eastAsia" w:cs="Times New Roman"/>
                <w:bCs/>
                <w:color w:val="auto"/>
                <w:sz w:val="21"/>
                <w:szCs w:val="21"/>
                <w:highlight w:val="none"/>
                <w:lang w:eastAsia="zh-CN"/>
              </w:rPr>
              <w:t>进行</w:t>
            </w:r>
            <w:r>
              <w:rPr>
                <w:rFonts w:ascii="Times New Roman" w:hAnsi="Times New Roman" w:cs="Times New Roman"/>
                <w:bCs/>
                <w:color w:val="auto"/>
                <w:sz w:val="21"/>
                <w:szCs w:val="21"/>
                <w:highlight w:val="none"/>
              </w:rPr>
              <w:t>短路测试</w:t>
            </w:r>
            <w:r>
              <w:rPr>
                <w:rFonts w:hint="eastAsia" w:cs="Times New Roman"/>
                <w:bCs/>
                <w:color w:val="auto"/>
                <w:sz w:val="21"/>
                <w:szCs w:val="21"/>
                <w:highlight w:val="none"/>
                <w:lang w:eastAsia="zh-CN"/>
              </w:rPr>
              <w:t>，</w:t>
            </w:r>
            <w:r>
              <w:rPr>
                <w:rFonts w:ascii="Times New Roman" w:hAnsi="Times New Roman" w:cs="Times New Roman"/>
                <w:bCs/>
                <w:color w:val="auto"/>
                <w:sz w:val="21"/>
                <w:szCs w:val="21"/>
                <w:highlight w:val="none"/>
              </w:rPr>
              <w:t>合格电芯</w:t>
            </w:r>
            <w:r>
              <w:rPr>
                <w:rFonts w:hint="eastAsia" w:cs="Times New Roman"/>
                <w:bCs/>
                <w:color w:val="auto"/>
                <w:sz w:val="21"/>
                <w:szCs w:val="21"/>
                <w:highlight w:val="none"/>
                <w:lang w:eastAsia="zh-CN"/>
              </w:rPr>
              <w:t>使用烤箱</w:t>
            </w:r>
            <w:r>
              <w:rPr>
                <w:rFonts w:hint="eastAsia" w:cs="Times New Roman"/>
                <w:bCs/>
                <w:color w:val="auto"/>
                <w:sz w:val="21"/>
                <w:szCs w:val="21"/>
                <w:highlight w:val="none"/>
                <w:lang w:val="en-US" w:eastAsia="zh-CN"/>
              </w:rPr>
              <w:t>进行烘干后进入下一步工序，烘干过程使用电加热烤箱保持在</w:t>
            </w:r>
            <w:r>
              <w:rPr>
                <w:rFonts w:hint="default" w:ascii="Times New Roman" w:hAnsi="Times New Roman" w:cs="Times New Roman"/>
                <w:bCs/>
                <w:color w:val="auto"/>
                <w:sz w:val="21"/>
                <w:szCs w:val="21"/>
                <w:highlight w:val="none"/>
                <w:lang w:val="en-US" w:eastAsia="zh-CN"/>
              </w:rPr>
              <w:t>70</w:t>
            </w: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cs="Times New Roman"/>
                <w:bCs/>
                <w:color w:val="auto"/>
                <w:sz w:val="21"/>
                <w:szCs w:val="21"/>
                <w:highlight w:val="none"/>
                <w:lang w:val="en-US" w:eastAsia="zh-CN"/>
              </w:rPr>
              <w:t>、-0.08MPa条件进</w:t>
            </w:r>
            <w:r>
              <w:rPr>
                <w:rFonts w:hint="eastAsia" w:ascii="宋体" w:hAnsi="宋体" w:cs="宋体"/>
                <w:bCs/>
                <w:color w:val="auto"/>
                <w:sz w:val="21"/>
                <w:szCs w:val="21"/>
                <w:highlight w:val="none"/>
                <w:lang w:val="en-US" w:eastAsia="zh-CN"/>
              </w:rPr>
              <w:t>行烘干处理，烘干</w:t>
            </w:r>
            <w:r>
              <w:rPr>
                <w:rFonts w:hint="default" w:ascii="Times New Roman" w:hAnsi="Times New Roman" w:cs="Times New Roman"/>
                <w:bCs/>
                <w:color w:val="auto"/>
                <w:sz w:val="21"/>
                <w:szCs w:val="21"/>
                <w:highlight w:val="none"/>
                <w:lang w:val="en-US" w:eastAsia="zh-CN"/>
              </w:rPr>
              <w:t>时间约</w:t>
            </w:r>
            <w:r>
              <w:rPr>
                <w:rFonts w:hint="eastAsia" w:cs="Times New Roman"/>
                <w:bCs/>
                <w:color w:val="auto"/>
                <w:sz w:val="21"/>
                <w:szCs w:val="21"/>
                <w:highlight w:val="none"/>
                <w:lang w:val="en-US" w:eastAsia="zh-CN"/>
              </w:rPr>
              <w:t>10</w:t>
            </w:r>
            <w:r>
              <w:rPr>
                <w:rFonts w:hint="default" w:ascii="Times New Roman" w:hAnsi="Times New Roman" w:cs="Times New Roman"/>
                <w:bCs/>
                <w:color w:val="auto"/>
                <w:sz w:val="21"/>
                <w:szCs w:val="21"/>
                <w:highlight w:val="none"/>
                <w:lang w:val="en-US" w:eastAsia="zh-CN"/>
              </w:rPr>
              <w:t>min</w:t>
            </w:r>
            <w:r>
              <w:rPr>
                <w:rFonts w:hint="eastAsia" w:cs="Times New Roman"/>
                <w:bCs/>
                <w:color w:val="auto"/>
                <w:sz w:val="21"/>
                <w:szCs w:val="21"/>
                <w:highlight w:val="none"/>
                <w:lang w:val="en-US" w:eastAsia="zh-CN"/>
              </w:rPr>
              <w:t>。烘干</w:t>
            </w:r>
            <w:r>
              <w:rPr>
                <w:rFonts w:hint="default" w:ascii="Times New Roman" w:hAnsi="Times New Roman" w:cs="Times New Roman"/>
                <w:bCs/>
                <w:color w:val="auto"/>
                <w:sz w:val="21"/>
                <w:szCs w:val="21"/>
                <w:highlight w:val="none"/>
                <w:lang w:val="en-US" w:eastAsia="zh-CN"/>
              </w:rPr>
              <w:t>主要目的是去除电芯制作过程中吸入的微量水分</w:t>
            </w:r>
            <w:r>
              <w:rPr>
                <w:rFonts w:hint="eastAsia" w:cs="Times New Roman"/>
                <w:bCs/>
                <w:color w:val="auto"/>
                <w:sz w:val="21"/>
                <w:szCs w:val="21"/>
                <w:highlight w:val="none"/>
                <w:lang w:val="en-US" w:eastAsia="zh-CN"/>
              </w:rPr>
              <w:t>，烘干后泄压过程中通入氮气进行气体保护，氮气采用外购氮气瓶。</w:t>
            </w:r>
          </w:p>
          <w:p>
            <w:pPr>
              <w:spacing w:line="360" w:lineRule="auto"/>
              <w:ind w:firstLine="482"/>
              <w:jc w:val="left"/>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4</w:t>
            </w:r>
            <w:r>
              <w:rPr>
                <w:rFonts w:ascii="Times New Roman" w:hAnsi="Times New Roman" w:cs="Times New Roman"/>
                <w:color w:val="auto"/>
                <w:sz w:val="21"/>
                <w:szCs w:val="21"/>
                <w:highlight w:val="none"/>
              </w:rPr>
              <w:t>）极耳焊接</w:t>
            </w:r>
          </w:p>
          <w:p>
            <w:pPr>
              <w:spacing w:line="360" w:lineRule="auto"/>
              <w:ind w:firstLine="482"/>
              <w:jc w:val="left"/>
              <w:rPr>
                <w:rFonts w:hint="eastAsia" w:ascii="Times New Roman" w:hAnsi="Times New Roman" w:eastAsia="宋体" w:cs="Times New Roman"/>
                <w:color w:val="auto"/>
                <w:sz w:val="21"/>
                <w:szCs w:val="21"/>
                <w:highlight w:val="none"/>
                <w:lang w:eastAsia="zh-CN"/>
              </w:rPr>
            </w:pPr>
            <w:r>
              <w:rPr>
                <w:rFonts w:ascii="Times New Roman" w:hAnsi="Times New Roman" w:cs="Times New Roman"/>
                <w:color w:val="auto"/>
                <w:sz w:val="21"/>
                <w:szCs w:val="21"/>
                <w:highlight w:val="none"/>
              </w:rPr>
              <w:t>采用半自动点焊机在电芯</w:t>
            </w:r>
            <w:r>
              <w:rPr>
                <w:rFonts w:hint="eastAsia" w:cs="Times New Roman"/>
                <w:color w:val="auto"/>
                <w:sz w:val="21"/>
                <w:szCs w:val="21"/>
                <w:highlight w:val="none"/>
                <w:lang w:eastAsia="zh-CN"/>
              </w:rPr>
              <w:t>的</w:t>
            </w:r>
            <w:r>
              <w:rPr>
                <w:rFonts w:ascii="Times New Roman" w:hAnsi="Times New Roman" w:cs="Times New Roman"/>
                <w:color w:val="auto"/>
                <w:sz w:val="21"/>
                <w:szCs w:val="21"/>
                <w:highlight w:val="none"/>
              </w:rPr>
              <w:t>正负极各自焊接极耳</w:t>
            </w:r>
            <w:r>
              <w:rPr>
                <w:rFonts w:hint="eastAsia" w:ascii="Times New Roman" w:hAnsi="Times New Roman" w:cs="Times New Roman"/>
                <w:color w:val="auto"/>
                <w:sz w:val="21"/>
                <w:szCs w:val="21"/>
                <w:highlight w:val="none"/>
              </w:rPr>
              <w:t>，</w:t>
            </w:r>
            <w:r>
              <w:rPr>
                <w:rFonts w:hint="eastAsia" w:cs="Times New Roman"/>
                <w:color w:val="auto"/>
                <w:sz w:val="21"/>
                <w:szCs w:val="21"/>
                <w:highlight w:val="none"/>
                <w:lang w:eastAsia="zh-CN"/>
              </w:rPr>
              <w:t>该工序焊接采用点焊方式</w:t>
            </w:r>
            <w:r>
              <w:rPr>
                <w:rFonts w:hint="eastAsia" w:ascii="Times New Roman" w:hAnsi="Times New Roman" w:cs="Times New Roman"/>
                <w:color w:val="auto"/>
                <w:sz w:val="21"/>
                <w:szCs w:val="21"/>
                <w:highlight w:val="none"/>
              </w:rPr>
              <w:t>，点焊时先加压使工件紧密接触，随后接通电流，在电阻热的作用下工件接触处熔化，冷却后形成焊点</w:t>
            </w:r>
            <w:r>
              <w:rPr>
                <w:rFonts w:hint="eastAsia" w:cs="Times New Roman"/>
                <w:color w:val="auto"/>
                <w:sz w:val="21"/>
                <w:szCs w:val="21"/>
                <w:highlight w:val="none"/>
                <w:lang w:eastAsia="zh-CN"/>
              </w:rPr>
              <w:t>，点焊</w:t>
            </w:r>
            <w:r>
              <w:rPr>
                <w:rFonts w:hint="eastAsia" w:ascii="Times New Roman" w:hAnsi="Times New Roman" w:cs="Times New Roman"/>
                <w:color w:val="auto"/>
                <w:sz w:val="21"/>
                <w:szCs w:val="21"/>
                <w:highlight w:val="none"/>
              </w:rPr>
              <w:t>不使用焊接介质，无焊接废气产生</w:t>
            </w:r>
            <w:r>
              <w:rPr>
                <w:rFonts w:ascii="Times New Roman" w:hAnsi="Times New Roman" w:cs="Times New Roman"/>
                <w:color w:val="auto"/>
                <w:sz w:val="21"/>
                <w:szCs w:val="21"/>
                <w:highlight w:val="none"/>
              </w:rPr>
              <w:t>。</w:t>
            </w:r>
            <w:r>
              <w:rPr>
                <w:rFonts w:hint="eastAsia" w:cs="Times New Roman"/>
                <w:color w:val="auto"/>
                <w:sz w:val="21"/>
                <w:szCs w:val="21"/>
                <w:highlight w:val="none"/>
                <w:lang w:eastAsia="zh-CN"/>
              </w:rPr>
              <w:t>极耳焊接后</w:t>
            </w:r>
            <w:r>
              <w:rPr>
                <w:rFonts w:hint="eastAsia" w:ascii="Times New Roman" w:hAnsi="Times New Roman" w:cs="Times New Roman"/>
                <w:color w:val="auto"/>
                <w:sz w:val="21"/>
                <w:szCs w:val="21"/>
                <w:highlight w:val="none"/>
              </w:rPr>
              <w:t>采用</w:t>
            </w:r>
            <w:r>
              <w:rPr>
                <w:rFonts w:hint="eastAsia" w:cs="Times New Roman"/>
                <w:color w:val="auto"/>
                <w:sz w:val="21"/>
                <w:szCs w:val="21"/>
                <w:highlight w:val="none"/>
                <w:lang w:eastAsia="zh-CN"/>
              </w:rPr>
              <w:t>正负极</w:t>
            </w:r>
            <w:r>
              <w:rPr>
                <w:rFonts w:hint="eastAsia" w:ascii="Times New Roman" w:hAnsi="Times New Roman" w:cs="Times New Roman"/>
                <w:color w:val="auto"/>
                <w:sz w:val="21"/>
                <w:szCs w:val="21"/>
                <w:highlight w:val="none"/>
              </w:rPr>
              <w:t>贴胶机</w:t>
            </w:r>
            <w:r>
              <w:rPr>
                <w:rFonts w:ascii="Times New Roman" w:hAnsi="Times New Roman" w:cs="Times New Roman"/>
                <w:color w:val="auto"/>
                <w:sz w:val="21"/>
                <w:szCs w:val="21"/>
                <w:highlight w:val="none"/>
              </w:rPr>
              <w:t>对焊接区域加贴绝缘胶带，其中正极极耳采用铝带，负极极耳采用镍带</w:t>
            </w:r>
            <w:r>
              <w:rPr>
                <w:rFonts w:hint="eastAsia" w:cs="Times New Roman"/>
                <w:color w:val="auto"/>
                <w:sz w:val="21"/>
                <w:szCs w:val="21"/>
                <w:highlight w:val="none"/>
                <w:lang w:eastAsia="zh-CN"/>
              </w:rPr>
              <w:t>，贴胶过程所用铝带、镍带均是单面带有压敏胶（或不干胶）的胶带，通过贴胶机自动进行缠绕、裁剪，该过程无需进行加热，无废气产生。</w:t>
            </w:r>
          </w:p>
          <w:p>
            <w:pPr>
              <w:spacing w:line="360" w:lineRule="auto"/>
              <w:ind w:firstLine="482"/>
              <w:jc w:val="left"/>
              <w:rPr>
                <w:rFonts w:hint="eastAsia" w:ascii="Times New Roman" w:hAnsi="Times New Roman" w:eastAsia="宋体" w:cs="Times New Roman"/>
                <w:b/>
                <w:bCs/>
                <w:color w:val="auto"/>
                <w:sz w:val="21"/>
                <w:szCs w:val="21"/>
                <w:highlight w:val="none"/>
                <w:lang w:eastAsia="zh-CN"/>
              </w:rPr>
            </w:pPr>
            <w:r>
              <w:rPr>
                <w:rFonts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5</w:t>
            </w:r>
            <w:r>
              <w:rPr>
                <w:rFonts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装配</w:t>
            </w:r>
          </w:p>
          <w:p>
            <w:pPr>
              <w:spacing w:line="360" w:lineRule="auto"/>
              <w:ind w:firstLine="482"/>
              <w:jc w:val="left"/>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项目装配采用全自动</w:t>
            </w:r>
            <w:r>
              <w:rPr>
                <w:rFonts w:hint="eastAsia" w:cs="Times New Roman"/>
                <w:color w:val="auto"/>
                <w:sz w:val="21"/>
                <w:szCs w:val="21"/>
                <w:highlight w:val="none"/>
                <w:lang w:eastAsia="zh-CN"/>
              </w:rPr>
              <w:t>装配</w:t>
            </w:r>
            <w:r>
              <w:rPr>
                <w:rFonts w:hint="eastAsia" w:ascii="Times New Roman" w:hAnsi="Times New Roman" w:cs="Times New Roman"/>
                <w:color w:val="auto"/>
                <w:sz w:val="21"/>
                <w:szCs w:val="21"/>
                <w:highlight w:val="none"/>
              </w:rPr>
              <w:t>线作业</w:t>
            </w:r>
            <w:r>
              <w:rPr>
                <w:rFonts w:hint="eastAsia" w:cs="Times New Roman"/>
                <w:color w:val="auto"/>
                <w:sz w:val="21"/>
                <w:szCs w:val="21"/>
                <w:highlight w:val="none"/>
                <w:lang w:eastAsia="zh-CN"/>
              </w:rPr>
              <w:t>依次</w:t>
            </w:r>
            <w:r>
              <w:rPr>
                <w:rFonts w:hint="eastAsia" w:ascii="Times New Roman" w:hAnsi="Times New Roman" w:cs="Times New Roman"/>
                <w:color w:val="auto"/>
                <w:sz w:val="21"/>
                <w:szCs w:val="21"/>
                <w:highlight w:val="none"/>
              </w:rPr>
              <w:t>完成：极耳定位整形、壳体滚槽、焊盖帽</w:t>
            </w:r>
            <w:r>
              <w:rPr>
                <w:rFonts w:hint="eastAsia" w:cs="Times New Roman"/>
                <w:color w:val="auto"/>
                <w:sz w:val="21"/>
                <w:szCs w:val="21"/>
                <w:highlight w:val="none"/>
                <w:lang w:eastAsia="zh-CN"/>
              </w:rPr>
              <w:t>等</w:t>
            </w:r>
            <w:r>
              <w:rPr>
                <w:rFonts w:hint="eastAsia" w:ascii="Times New Roman" w:hAnsi="Times New Roman" w:cs="Times New Roman"/>
                <w:color w:val="auto"/>
                <w:sz w:val="21"/>
                <w:szCs w:val="21"/>
                <w:highlight w:val="none"/>
              </w:rPr>
              <w:t>工序。具体操作为：将电芯、上绝缘垫、下绝缘垫、正极</w:t>
            </w:r>
            <w:r>
              <w:rPr>
                <w:rFonts w:hint="eastAsia" w:cs="Times New Roman"/>
                <w:color w:val="auto"/>
                <w:sz w:val="21"/>
                <w:szCs w:val="21"/>
                <w:highlight w:val="none"/>
                <w:lang w:eastAsia="zh-CN"/>
              </w:rPr>
              <w:t>耳</w:t>
            </w:r>
            <w:r>
              <w:rPr>
                <w:rFonts w:hint="eastAsia" w:ascii="Times New Roman" w:hAnsi="Times New Roman" w:cs="Times New Roman"/>
                <w:color w:val="auto"/>
                <w:sz w:val="21"/>
                <w:szCs w:val="21"/>
                <w:highlight w:val="none"/>
              </w:rPr>
              <w:t>、负极</w:t>
            </w:r>
            <w:r>
              <w:rPr>
                <w:rFonts w:hint="eastAsia" w:cs="Times New Roman"/>
                <w:color w:val="auto"/>
                <w:sz w:val="21"/>
                <w:szCs w:val="21"/>
                <w:highlight w:val="none"/>
                <w:lang w:eastAsia="zh-CN"/>
              </w:rPr>
              <w:t>耳</w:t>
            </w:r>
            <w:r>
              <w:rPr>
                <w:rFonts w:hint="eastAsia" w:ascii="Times New Roman" w:hAnsi="Times New Roman" w:cs="Times New Roman"/>
                <w:color w:val="auto"/>
                <w:sz w:val="21"/>
                <w:szCs w:val="21"/>
                <w:highlight w:val="none"/>
              </w:rPr>
              <w:t>等通过机械装置放入外</w:t>
            </w:r>
            <w:r>
              <w:rPr>
                <w:rFonts w:hint="eastAsia" w:cs="Times New Roman"/>
                <w:color w:val="auto"/>
                <w:sz w:val="21"/>
                <w:szCs w:val="21"/>
                <w:highlight w:val="none"/>
                <w:lang w:eastAsia="zh-CN"/>
              </w:rPr>
              <w:t>钢</w:t>
            </w:r>
            <w:r>
              <w:rPr>
                <w:rFonts w:hint="eastAsia" w:ascii="Times New Roman" w:hAnsi="Times New Roman" w:cs="Times New Roman"/>
                <w:color w:val="auto"/>
                <w:sz w:val="21"/>
                <w:szCs w:val="21"/>
                <w:highlight w:val="none"/>
              </w:rPr>
              <w:t>壳内，利用凸轮立式滚槽装置在外壳上压槽，找正极耳位置后，经定位器定位，然后压合盖帽，</w:t>
            </w:r>
            <w:r>
              <w:rPr>
                <w:rFonts w:hint="eastAsia" w:cs="Times New Roman"/>
                <w:color w:val="auto"/>
                <w:sz w:val="21"/>
                <w:szCs w:val="21"/>
                <w:highlight w:val="none"/>
                <w:lang w:eastAsia="zh-CN"/>
              </w:rPr>
              <w:t>并</w:t>
            </w:r>
            <w:r>
              <w:rPr>
                <w:rFonts w:hint="eastAsia" w:ascii="Times New Roman" w:hAnsi="Times New Roman" w:cs="Times New Roman"/>
                <w:color w:val="auto"/>
                <w:sz w:val="21"/>
                <w:szCs w:val="21"/>
                <w:highlight w:val="none"/>
              </w:rPr>
              <w:t>采用点焊</w:t>
            </w:r>
            <w:r>
              <w:rPr>
                <w:rFonts w:hint="eastAsia" w:cs="Times New Roman"/>
                <w:color w:val="auto"/>
                <w:sz w:val="21"/>
                <w:szCs w:val="21"/>
                <w:highlight w:val="none"/>
                <w:lang w:eastAsia="zh-CN"/>
              </w:rPr>
              <w:t>方式</w:t>
            </w:r>
            <w:r>
              <w:rPr>
                <w:rFonts w:hint="eastAsia" w:ascii="Times New Roman" w:hAnsi="Times New Roman" w:cs="Times New Roman"/>
                <w:color w:val="auto"/>
                <w:sz w:val="21"/>
                <w:szCs w:val="21"/>
                <w:highlight w:val="none"/>
              </w:rPr>
              <w:t>将盖板点焊在外壳上。</w:t>
            </w:r>
            <w:r>
              <w:rPr>
                <w:rFonts w:hint="eastAsia" w:cs="Times New Roman"/>
                <w:color w:val="auto"/>
                <w:sz w:val="21"/>
                <w:szCs w:val="21"/>
                <w:highlight w:val="none"/>
                <w:lang w:eastAsia="zh-CN"/>
              </w:rPr>
              <w:t>该过程焊接采用点焊方式，</w:t>
            </w:r>
            <w:r>
              <w:rPr>
                <w:rFonts w:hint="eastAsia" w:ascii="Times New Roman" w:hAnsi="Times New Roman" w:cs="Times New Roman"/>
                <w:color w:val="auto"/>
                <w:sz w:val="21"/>
                <w:szCs w:val="21"/>
                <w:highlight w:val="none"/>
              </w:rPr>
              <w:t>焊接时利用柱状电极</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rPr>
              <w:t>在两块工件接触面之间形成焊点的焊接方法，不使用焊接介质，无焊接废气产生</w:t>
            </w:r>
            <w:r>
              <w:rPr>
                <w:rFonts w:ascii="Times New Roman" w:hAnsi="Times New Roman" w:cs="Times New Roman"/>
                <w:color w:val="auto"/>
                <w:sz w:val="21"/>
                <w:szCs w:val="21"/>
                <w:highlight w:val="none"/>
              </w:rPr>
              <w:t>。</w:t>
            </w:r>
          </w:p>
          <w:p>
            <w:pPr>
              <w:spacing w:line="360" w:lineRule="auto"/>
              <w:ind w:firstLine="482"/>
              <w:jc w:val="left"/>
              <w:rPr>
                <w:rFonts w:ascii="Times New Roman" w:hAnsi="Times New Roman" w:cs="Times New Roman"/>
                <w:color w:val="auto"/>
                <w:sz w:val="21"/>
                <w:szCs w:val="21"/>
                <w:highlight w:val="none"/>
              </w:rPr>
            </w:pPr>
            <w:r>
              <w:rPr>
                <w:rFonts w:hint="eastAsia" w:cs="Times New Roman"/>
                <w:bCs/>
                <w:color w:val="auto"/>
                <w:sz w:val="21"/>
                <w:szCs w:val="21"/>
                <w:highlight w:val="none"/>
                <w:lang w:eastAsia="zh-CN"/>
              </w:rPr>
              <w:t>该工序产污环节为：装配过程产生的噪声</w:t>
            </w:r>
            <w:r>
              <w:rPr>
                <w:rFonts w:ascii="Times New Roman" w:hAnsi="Times New Roman" w:cs="Times New Roman"/>
                <w:color w:val="auto"/>
                <w:sz w:val="21"/>
                <w:szCs w:val="21"/>
                <w:highlight w:val="none"/>
              </w:rPr>
              <w:t>。</w:t>
            </w:r>
          </w:p>
          <w:p>
            <w:pPr>
              <w:spacing w:line="360" w:lineRule="auto"/>
              <w:ind w:firstLine="482"/>
              <w:jc w:val="left"/>
              <w:rPr>
                <w:rFonts w:hint="eastAsia" w:ascii="Times New Roman" w:hAnsi="Times New Roman" w:eastAsia="宋体" w:cs="Times New Roman"/>
                <w:b/>
                <w:bCs/>
                <w:color w:val="auto"/>
                <w:sz w:val="21"/>
                <w:szCs w:val="21"/>
                <w:highlight w:val="none"/>
                <w:lang w:eastAsia="zh-CN"/>
              </w:rPr>
            </w:pPr>
            <w:r>
              <w:rPr>
                <w:rFonts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6</w:t>
            </w:r>
            <w:r>
              <w:rPr>
                <w:rFonts w:ascii="Times New Roman" w:hAnsi="Times New Roman" w:cs="Times New Roman"/>
                <w:color w:val="auto"/>
                <w:sz w:val="21"/>
                <w:szCs w:val="21"/>
                <w:highlight w:val="none"/>
              </w:rPr>
              <w:t>）注液</w:t>
            </w:r>
            <w:r>
              <w:rPr>
                <w:rFonts w:hint="eastAsia" w:cs="Times New Roman"/>
                <w:color w:val="auto"/>
                <w:sz w:val="21"/>
                <w:szCs w:val="21"/>
                <w:highlight w:val="none"/>
                <w:lang w:eastAsia="zh-CN"/>
              </w:rPr>
              <w:t>、封口</w:t>
            </w:r>
          </w:p>
          <w:p>
            <w:pPr>
              <w:spacing w:line="360" w:lineRule="auto"/>
              <w:ind w:firstLine="482"/>
              <w:jc w:val="left"/>
              <w:rPr>
                <w:rFonts w:hint="eastAsia" w:cs="Times New Roman"/>
                <w:bCs/>
                <w:color w:val="auto"/>
                <w:sz w:val="21"/>
                <w:szCs w:val="21"/>
                <w:highlight w:val="none"/>
                <w:lang w:val="en-US" w:eastAsia="zh-CN"/>
              </w:rPr>
            </w:pPr>
            <w:r>
              <w:rPr>
                <w:rFonts w:ascii="Times New Roman" w:hAnsi="Times New Roman" w:cs="Times New Roman"/>
                <w:bCs/>
                <w:color w:val="auto"/>
                <w:sz w:val="21"/>
                <w:szCs w:val="21"/>
                <w:highlight w:val="none"/>
              </w:rPr>
              <w:t>将组装后的</w:t>
            </w:r>
            <w:r>
              <w:rPr>
                <w:rFonts w:hint="eastAsia" w:cs="Times New Roman"/>
                <w:bCs/>
                <w:color w:val="auto"/>
                <w:sz w:val="21"/>
                <w:szCs w:val="21"/>
                <w:highlight w:val="none"/>
                <w:lang w:eastAsia="zh-CN"/>
              </w:rPr>
              <w:t>半成品</w:t>
            </w:r>
            <w:r>
              <w:rPr>
                <w:rFonts w:ascii="Times New Roman" w:hAnsi="Times New Roman" w:cs="Times New Roman"/>
                <w:bCs/>
                <w:color w:val="auto"/>
                <w:sz w:val="21"/>
                <w:szCs w:val="21"/>
                <w:highlight w:val="none"/>
              </w:rPr>
              <w:t>电池通过</w:t>
            </w:r>
            <w:r>
              <w:rPr>
                <w:rFonts w:hint="eastAsia" w:cs="Times New Roman"/>
                <w:bCs/>
                <w:color w:val="auto"/>
                <w:sz w:val="21"/>
                <w:szCs w:val="21"/>
                <w:highlight w:val="none"/>
                <w:lang w:eastAsia="zh-CN"/>
              </w:rPr>
              <w:t>全自动</w:t>
            </w:r>
            <w:r>
              <w:rPr>
                <w:rFonts w:ascii="Times New Roman" w:hAnsi="Times New Roman" w:cs="Times New Roman"/>
                <w:bCs/>
                <w:color w:val="auto"/>
                <w:sz w:val="21"/>
                <w:szCs w:val="21"/>
                <w:highlight w:val="none"/>
              </w:rPr>
              <w:t>真空注液机进行注液，</w:t>
            </w:r>
            <w:r>
              <w:rPr>
                <w:rFonts w:hint="eastAsia" w:cs="Times New Roman"/>
                <w:bCs/>
                <w:color w:val="auto"/>
                <w:sz w:val="21"/>
                <w:szCs w:val="21"/>
                <w:highlight w:val="none"/>
                <w:lang w:eastAsia="zh-CN"/>
              </w:rPr>
              <w:t>由于</w:t>
            </w:r>
            <w:r>
              <w:rPr>
                <w:rFonts w:hint="eastAsia" w:ascii="Times New Roman" w:hAnsi="Times New Roman" w:cs="Times New Roman"/>
                <w:bCs/>
                <w:color w:val="auto"/>
                <w:sz w:val="21"/>
                <w:szCs w:val="21"/>
                <w:highlight w:val="none"/>
              </w:rPr>
              <w:t>本项目使用的电解液中含有LiPF</w:t>
            </w:r>
            <w:r>
              <w:rPr>
                <w:rFonts w:hint="eastAsia" w:ascii="Times New Roman" w:hAnsi="Times New Roman" w:cs="Times New Roman"/>
                <w:bCs/>
                <w:color w:val="auto"/>
                <w:sz w:val="21"/>
                <w:szCs w:val="21"/>
                <w:highlight w:val="none"/>
                <w:vertAlign w:val="subscript"/>
              </w:rPr>
              <w:t>6</w:t>
            </w:r>
            <w:r>
              <w:rPr>
                <w:rFonts w:hint="eastAsia" w:cs="Times New Roman"/>
                <w:bCs/>
                <w:color w:val="auto"/>
                <w:sz w:val="21"/>
                <w:szCs w:val="21"/>
                <w:highlight w:val="none"/>
                <w:vertAlign w:val="baseline"/>
                <w:lang w:eastAsia="zh-CN"/>
              </w:rPr>
              <w:t>潮解性强</w:t>
            </w:r>
            <w:r>
              <w:rPr>
                <w:rFonts w:hint="eastAsia" w:ascii="Times New Roman" w:hAnsi="Times New Roman" w:cs="Times New Roman"/>
                <w:bCs/>
                <w:color w:val="auto"/>
                <w:sz w:val="21"/>
                <w:szCs w:val="21"/>
                <w:highlight w:val="none"/>
              </w:rPr>
              <w:t>，该物质接触空气中的水汽会导致分解，影响锂电池的性能，</w:t>
            </w:r>
            <w:r>
              <w:rPr>
                <w:rFonts w:hint="eastAsia" w:cs="Times New Roman"/>
                <w:bCs/>
                <w:color w:val="auto"/>
                <w:sz w:val="21"/>
                <w:szCs w:val="21"/>
                <w:highlight w:val="none"/>
                <w:lang w:eastAsia="zh-CN"/>
              </w:rPr>
              <w:t>因此</w:t>
            </w:r>
            <w:r>
              <w:rPr>
                <w:rFonts w:hint="eastAsia" w:ascii="Times New Roman" w:hAnsi="Times New Roman" w:cs="Times New Roman"/>
                <w:bCs/>
                <w:color w:val="auto"/>
                <w:sz w:val="21"/>
                <w:szCs w:val="21"/>
                <w:highlight w:val="none"/>
              </w:rPr>
              <w:t>电解液</w:t>
            </w:r>
            <w:r>
              <w:rPr>
                <w:rFonts w:hint="eastAsia" w:cs="Times New Roman"/>
                <w:bCs/>
                <w:color w:val="auto"/>
                <w:sz w:val="21"/>
                <w:szCs w:val="21"/>
                <w:highlight w:val="none"/>
                <w:lang w:eastAsia="zh-CN"/>
              </w:rPr>
              <w:t>在储存过程和</w:t>
            </w:r>
            <w:r>
              <w:rPr>
                <w:rFonts w:hint="eastAsia" w:ascii="Times New Roman" w:hAnsi="Times New Roman" w:cs="Times New Roman"/>
                <w:bCs/>
                <w:color w:val="auto"/>
                <w:sz w:val="21"/>
                <w:szCs w:val="21"/>
                <w:highlight w:val="none"/>
              </w:rPr>
              <w:t>注液</w:t>
            </w:r>
            <w:r>
              <w:rPr>
                <w:rFonts w:hint="eastAsia" w:cs="Times New Roman"/>
                <w:bCs/>
                <w:color w:val="auto"/>
                <w:sz w:val="21"/>
                <w:szCs w:val="21"/>
                <w:highlight w:val="none"/>
                <w:lang w:eastAsia="zh-CN"/>
              </w:rPr>
              <w:t>、封口等制作</w:t>
            </w:r>
            <w:r>
              <w:rPr>
                <w:rFonts w:hint="eastAsia" w:ascii="Times New Roman" w:hAnsi="Times New Roman" w:cs="Times New Roman"/>
                <w:bCs/>
                <w:color w:val="auto"/>
                <w:sz w:val="21"/>
                <w:szCs w:val="21"/>
                <w:highlight w:val="none"/>
              </w:rPr>
              <w:t>过程</w:t>
            </w:r>
            <w:r>
              <w:rPr>
                <w:rFonts w:hint="eastAsia" w:cs="Times New Roman"/>
                <w:bCs/>
                <w:color w:val="auto"/>
                <w:sz w:val="21"/>
                <w:szCs w:val="21"/>
                <w:highlight w:val="none"/>
                <w:lang w:eastAsia="zh-CN"/>
              </w:rPr>
              <w:t>均需在</w:t>
            </w:r>
            <w:r>
              <w:rPr>
                <w:rFonts w:hint="eastAsia" w:ascii="Times New Roman" w:hAnsi="Times New Roman" w:cs="Times New Roman"/>
                <w:bCs/>
                <w:color w:val="auto"/>
                <w:sz w:val="21"/>
                <w:szCs w:val="21"/>
                <w:highlight w:val="none"/>
              </w:rPr>
              <w:t>常温、完全密闭的条件</w:t>
            </w:r>
            <w:r>
              <w:rPr>
                <w:rFonts w:hint="eastAsia" w:cs="Times New Roman"/>
                <w:bCs/>
                <w:color w:val="auto"/>
                <w:sz w:val="21"/>
                <w:szCs w:val="21"/>
                <w:highlight w:val="none"/>
                <w:lang w:eastAsia="zh-CN"/>
              </w:rPr>
              <w:t>下进行。其中电解液储存过程均采用密闭电解液桶储存，使用时通过自吸泵将电解液抽至注液机配套的电解液缓存箱内，缓存箱为保证电解液不与空气接触，为全密闭设置，不设置呼吸口；后续注液、封口等工序则均</w:t>
            </w:r>
            <w:r>
              <w:rPr>
                <w:rFonts w:hint="eastAsia" w:ascii="Times New Roman" w:hAnsi="Times New Roman" w:cs="Times New Roman"/>
                <w:bCs/>
                <w:color w:val="auto"/>
                <w:sz w:val="21"/>
                <w:szCs w:val="21"/>
                <w:highlight w:val="none"/>
              </w:rPr>
              <w:t>在</w:t>
            </w:r>
            <w:r>
              <w:rPr>
                <w:rFonts w:hint="eastAsia" w:cs="Times New Roman"/>
                <w:bCs/>
                <w:color w:val="auto"/>
                <w:sz w:val="21"/>
                <w:szCs w:val="21"/>
                <w:highlight w:val="none"/>
                <w:lang w:eastAsia="zh-CN"/>
              </w:rPr>
              <w:t>密闭手套箱内进行，手套箱内通过冲入氮气对整个操作环境进行保护，</w:t>
            </w:r>
            <w:r>
              <w:rPr>
                <w:rFonts w:hint="eastAsia" w:cs="Times New Roman"/>
                <w:bCs/>
                <w:color w:val="auto"/>
                <w:sz w:val="21"/>
                <w:szCs w:val="21"/>
                <w:highlight w:val="none"/>
                <w:lang w:val="en-US" w:eastAsia="zh-CN"/>
              </w:rPr>
              <w:t>氮气采用外购氮气瓶。</w:t>
            </w:r>
          </w:p>
          <w:p>
            <w:pPr>
              <w:spacing w:line="360" w:lineRule="auto"/>
              <w:ind w:firstLine="482"/>
              <w:jc w:val="left"/>
              <w:rPr>
                <w:rFonts w:ascii="Times New Roman" w:hAnsi="Times New Roman" w:cs="Times New Roman"/>
                <w:bCs/>
                <w:color w:val="auto"/>
                <w:sz w:val="21"/>
                <w:szCs w:val="21"/>
                <w:highlight w:val="none"/>
              </w:rPr>
            </w:pPr>
            <w:r>
              <w:rPr>
                <w:rFonts w:hint="eastAsia" w:cs="Times New Roman"/>
                <w:bCs/>
                <w:color w:val="auto"/>
                <w:sz w:val="21"/>
                <w:szCs w:val="21"/>
                <w:highlight w:val="none"/>
                <w:lang w:eastAsia="zh-CN"/>
              </w:rPr>
              <w:t>注液工序介绍：装配后的</w:t>
            </w:r>
            <w:r>
              <w:rPr>
                <w:rFonts w:hint="eastAsia" w:ascii="Times New Roman" w:hAnsi="Times New Roman" w:cs="Times New Roman"/>
                <w:bCs/>
                <w:color w:val="auto"/>
                <w:sz w:val="21"/>
                <w:szCs w:val="21"/>
                <w:highlight w:val="none"/>
              </w:rPr>
              <w:t>电池</w:t>
            </w:r>
            <w:r>
              <w:rPr>
                <w:rFonts w:hint="eastAsia" w:cs="Times New Roman"/>
                <w:bCs/>
                <w:color w:val="auto"/>
                <w:sz w:val="21"/>
                <w:szCs w:val="21"/>
                <w:highlight w:val="none"/>
                <w:lang w:eastAsia="zh-CN"/>
              </w:rPr>
              <w:t>钢罩</w:t>
            </w:r>
            <w:r>
              <w:rPr>
                <w:rFonts w:hint="eastAsia" w:ascii="Times New Roman" w:hAnsi="Times New Roman" w:cs="Times New Roman"/>
                <w:bCs/>
                <w:color w:val="auto"/>
                <w:sz w:val="21"/>
                <w:szCs w:val="21"/>
                <w:highlight w:val="none"/>
              </w:rPr>
              <w:t>与注液</w:t>
            </w:r>
            <w:r>
              <w:rPr>
                <w:rFonts w:hint="eastAsia" w:cs="Times New Roman"/>
                <w:bCs/>
                <w:color w:val="auto"/>
                <w:sz w:val="21"/>
                <w:szCs w:val="21"/>
                <w:highlight w:val="none"/>
                <w:lang w:eastAsia="zh-CN"/>
              </w:rPr>
              <w:t>机的注液板</w:t>
            </w:r>
            <w:r>
              <w:rPr>
                <w:rFonts w:hint="eastAsia" w:ascii="Times New Roman" w:hAnsi="Times New Roman" w:cs="Times New Roman"/>
                <w:bCs/>
                <w:color w:val="auto"/>
                <w:sz w:val="21"/>
                <w:szCs w:val="21"/>
                <w:highlight w:val="none"/>
              </w:rPr>
              <w:t>形成独立空间，连接处用密封阀密封，通过真空泵将电池</w:t>
            </w:r>
            <w:r>
              <w:rPr>
                <w:rFonts w:hint="eastAsia" w:cs="Times New Roman"/>
                <w:bCs/>
                <w:color w:val="auto"/>
                <w:sz w:val="21"/>
                <w:szCs w:val="21"/>
                <w:highlight w:val="none"/>
                <w:lang w:eastAsia="zh-CN"/>
              </w:rPr>
              <w:t>钢罩</w:t>
            </w:r>
            <w:r>
              <w:rPr>
                <w:rFonts w:hint="eastAsia" w:ascii="Times New Roman" w:hAnsi="Times New Roman" w:cs="Times New Roman"/>
                <w:bCs/>
                <w:color w:val="auto"/>
                <w:sz w:val="21"/>
                <w:szCs w:val="21"/>
                <w:highlight w:val="none"/>
              </w:rPr>
              <w:t>内部抽真空，然后打开针阀阀芯，利用压力差将</w:t>
            </w:r>
            <w:r>
              <w:rPr>
                <w:rFonts w:hint="eastAsia" w:cs="Times New Roman"/>
                <w:bCs/>
                <w:color w:val="auto"/>
                <w:sz w:val="21"/>
                <w:szCs w:val="21"/>
                <w:highlight w:val="none"/>
                <w:lang w:eastAsia="zh-CN"/>
              </w:rPr>
              <w:t>缓存箱内</w:t>
            </w:r>
            <w:r>
              <w:rPr>
                <w:rFonts w:hint="eastAsia" w:ascii="Times New Roman" w:hAnsi="Times New Roman" w:cs="Times New Roman"/>
                <w:bCs/>
                <w:color w:val="auto"/>
                <w:sz w:val="21"/>
                <w:szCs w:val="21"/>
                <w:highlight w:val="none"/>
              </w:rPr>
              <w:t>电解液注入电池芯，完成注液工序</w:t>
            </w:r>
            <w:r>
              <w:rPr>
                <w:rFonts w:hint="eastAsia" w:cs="Times New Roman"/>
                <w:bCs/>
                <w:color w:val="auto"/>
                <w:sz w:val="21"/>
                <w:szCs w:val="21"/>
                <w:highlight w:val="none"/>
                <w:lang w:eastAsia="zh-CN"/>
              </w:rPr>
              <w:t>。注液完成后再次对电池钢罩进行抽真空，并立即使用封口机进行封口处理，再次抽真空目的是为电池后续使用过程产生的气体预留空间</w:t>
            </w:r>
            <w:r>
              <w:rPr>
                <w:rFonts w:hint="eastAsia" w:ascii="Times New Roman" w:hAnsi="Times New Roman" w:cs="Times New Roman"/>
                <w:bCs/>
                <w:color w:val="auto"/>
                <w:sz w:val="21"/>
                <w:szCs w:val="21"/>
                <w:highlight w:val="none"/>
              </w:rPr>
              <w:t>。注液过程挥发产生电解液废气</w:t>
            </w:r>
            <w:r>
              <w:rPr>
                <w:rFonts w:hint="eastAsia" w:cs="Times New Roman"/>
                <w:bCs/>
                <w:color w:val="auto"/>
                <w:sz w:val="21"/>
                <w:szCs w:val="21"/>
                <w:highlight w:val="none"/>
                <w:lang w:eastAsia="zh-CN"/>
              </w:rPr>
              <w:t>主要</w:t>
            </w:r>
            <w:r>
              <w:rPr>
                <w:rFonts w:hint="eastAsia" w:ascii="Times New Roman" w:hAnsi="Times New Roman" w:cs="Times New Roman"/>
                <w:bCs/>
                <w:color w:val="auto"/>
                <w:sz w:val="21"/>
                <w:szCs w:val="21"/>
                <w:highlight w:val="none"/>
              </w:rPr>
              <w:t>污染物为碳酸酯类等有机物产生，</w:t>
            </w:r>
            <w:r>
              <w:rPr>
                <w:rFonts w:hint="eastAsia" w:cs="Times New Roman"/>
                <w:bCs/>
                <w:color w:val="auto"/>
                <w:sz w:val="21"/>
                <w:szCs w:val="21"/>
                <w:highlight w:val="none"/>
                <w:lang w:eastAsia="zh-CN"/>
              </w:rPr>
              <w:t>本次评价</w:t>
            </w:r>
            <w:r>
              <w:rPr>
                <w:rFonts w:hint="eastAsia" w:ascii="Times New Roman" w:hAnsi="Times New Roman" w:cs="Times New Roman"/>
                <w:bCs/>
                <w:color w:val="auto"/>
                <w:sz w:val="21"/>
                <w:szCs w:val="21"/>
                <w:highlight w:val="none"/>
              </w:rPr>
              <w:t>以非甲烷总烃计</w:t>
            </w:r>
            <w:r>
              <w:rPr>
                <w:rFonts w:hint="eastAsia" w:cs="Times New Roman"/>
                <w:bCs/>
                <w:color w:val="auto"/>
                <w:sz w:val="21"/>
                <w:szCs w:val="21"/>
                <w:highlight w:val="none"/>
                <w:lang w:eastAsia="zh-CN"/>
              </w:rPr>
              <w:t>，该部分</w:t>
            </w:r>
            <w:r>
              <w:rPr>
                <w:rFonts w:ascii="Times New Roman" w:hAnsi="Times New Roman" w:cs="Times New Roman"/>
                <w:bCs/>
                <w:color w:val="auto"/>
                <w:sz w:val="21"/>
                <w:szCs w:val="21"/>
                <w:highlight w:val="none"/>
              </w:rPr>
              <w:t>废气</w:t>
            </w:r>
            <w:r>
              <w:rPr>
                <w:rFonts w:hint="eastAsia" w:cs="Times New Roman"/>
                <w:bCs/>
                <w:color w:val="auto"/>
                <w:sz w:val="21"/>
                <w:szCs w:val="21"/>
                <w:highlight w:val="none"/>
                <w:lang w:eastAsia="zh-CN"/>
              </w:rPr>
              <w:t>在抽真空过程中随着</w:t>
            </w:r>
            <w:r>
              <w:rPr>
                <w:rFonts w:ascii="Times New Roman" w:hAnsi="Times New Roman" w:cs="Times New Roman"/>
                <w:bCs/>
                <w:color w:val="auto"/>
                <w:sz w:val="21"/>
                <w:szCs w:val="21"/>
                <w:highlight w:val="none"/>
              </w:rPr>
              <w:t>真空尾气管道</w:t>
            </w:r>
            <w:r>
              <w:rPr>
                <w:rFonts w:hint="eastAsia" w:cs="Times New Roman"/>
                <w:bCs/>
                <w:color w:val="auto"/>
                <w:sz w:val="21"/>
                <w:szCs w:val="21"/>
                <w:highlight w:val="none"/>
                <w:lang w:eastAsia="zh-CN"/>
              </w:rPr>
              <w:t>排放，拟通过在真空尾气排放管道直接设置密闭管道接入</w:t>
            </w:r>
            <w:r>
              <w:rPr>
                <w:rFonts w:hint="eastAsia" w:cs="Times New Roman"/>
                <w:bCs/>
                <w:color w:val="auto"/>
                <w:sz w:val="21"/>
                <w:szCs w:val="21"/>
                <w:highlight w:val="none"/>
                <w:lang w:val="en-US" w:eastAsia="zh-CN"/>
              </w:rPr>
              <w:t>1套</w:t>
            </w:r>
            <w:r>
              <w:rPr>
                <w:rFonts w:hint="eastAsia" w:cs="Times New Roman"/>
                <w:bCs/>
                <w:color w:val="auto"/>
                <w:sz w:val="21"/>
                <w:szCs w:val="21"/>
                <w:highlight w:val="none"/>
                <w:lang w:eastAsia="zh-CN"/>
              </w:rPr>
              <w:t>“UV光催化氧化+活性炭吸附”</w:t>
            </w:r>
            <w:r>
              <w:rPr>
                <w:rFonts w:hint="eastAsia" w:cs="Times New Roman"/>
                <w:bCs/>
                <w:color w:val="auto"/>
                <w:sz w:val="21"/>
                <w:szCs w:val="21"/>
                <w:highlight w:val="none"/>
                <w:lang w:val="en-US" w:eastAsia="zh-CN"/>
              </w:rPr>
              <w:t>装置（TA001）处理后，经15m高排气筒（DW001）排放</w:t>
            </w:r>
            <w:r>
              <w:rPr>
                <w:rFonts w:ascii="Times New Roman" w:hAnsi="Times New Roman" w:cs="Times New Roman"/>
                <w:bCs/>
                <w:color w:val="auto"/>
                <w:sz w:val="21"/>
                <w:szCs w:val="21"/>
                <w:highlight w:val="none"/>
              </w:rPr>
              <w:t>。</w:t>
            </w:r>
          </w:p>
          <w:p>
            <w:pPr>
              <w:spacing w:line="360" w:lineRule="auto"/>
              <w:ind w:firstLine="482"/>
              <w:jc w:val="left"/>
              <w:rPr>
                <w:rFonts w:ascii="Times New Roman" w:hAnsi="Times New Roman" w:cs="Times New Roman"/>
                <w:color w:val="auto"/>
                <w:sz w:val="21"/>
                <w:szCs w:val="21"/>
                <w:highlight w:val="none"/>
              </w:rPr>
            </w:pPr>
            <w:r>
              <w:rPr>
                <w:rFonts w:hint="eastAsia" w:cs="Times New Roman"/>
                <w:bCs/>
                <w:color w:val="auto"/>
                <w:sz w:val="21"/>
                <w:szCs w:val="21"/>
                <w:highlight w:val="none"/>
                <w:lang w:eastAsia="zh-CN"/>
              </w:rPr>
              <w:t>该工序产污环节为：</w:t>
            </w:r>
            <w:r>
              <w:rPr>
                <w:rFonts w:hint="eastAsia" w:cs="Times New Roman"/>
                <w:color w:val="auto"/>
                <w:sz w:val="21"/>
                <w:szCs w:val="21"/>
                <w:highlight w:val="none"/>
                <w:lang w:eastAsia="zh-CN"/>
              </w:rPr>
              <w:t>注液过程产生的废气、设备运行产生的噪声</w:t>
            </w:r>
            <w:r>
              <w:rPr>
                <w:rFonts w:ascii="Times New Roman" w:hAnsi="Times New Roman" w:cs="Times New Roman"/>
                <w:color w:val="auto"/>
                <w:sz w:val="21"/>
                <w:szCs w:val="21"/>
                <w:highlight w:val="none"/>
              </w:rPr>
              <w:t>。</w:t>
            </w:r>
          </w:p>
          <w:p>
            <w:pPr>
              <w:spacing w:line="360" w:lineRule="auto"/>
              <w:ind w:firstLine="482"/>
              <w:jc w:val="left"/>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6</w:t>
            </w:r>
            <w:r>
              <w:rPr>
                <w:rFonts w:ascii="Times New Roman" w:hAnsi="Times New Roman" w:cs="Times New Roman"/>
                <w:color w:val="auto"/>
                <w:sz w:val="21"/>
                <w:szCs w:val="21"/>
                <w:highlight w:val="none"/>
              </w:rPr>
              <w:t>）化成</w:t>
            </w:r>
          </w:p>
          <w:p>
            <w:pPr>
              <w:spacing w:line="360" w:lineRule="auto"/>
              <w:ind w:firstLine="482"/>
              <w:jc w:val="left"/>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化成是注液后电池的首次充放电，通过化成可对电池正负极活性物质进行激活。本项目采用化成柜对电池进行化成，化成时间</w:t>
            </w:r>
            <w:r>
              <w:rPr>
                <w:rFonts w:hint="eastAsia" w:cs="Times New Roman"/>
                <w:bCs/>
                <w:color w:val="auto"/>
                <w:sz w:val="21"/>
                <w:szCs w:val="21"/>
                <w:highlight w:val="none"/>
                <w:lang w:eastAsia="zh-CN"/>
              </w:rPr>
              <w:t>约为</w:t>
            </w:r>
            <w:r>
              <w:rPr>
                <w:rFonts w:hint="eastAsia" w:cs="Times New Roman"/>
                <w:bCs/>
                <w:color w:val="auto"/>
                <w:sz w:val="21"/>
                <w:szCs w:val="21"/>
                <w:highlight w:val="none"/>
                <w:lang w:val="en-US" w:eastAsia="zh-CN"/>
              </w:rPr>
              <w:t>24h</w:t>
            </w:r>
            <w:r>
              <w:rPr>
                <w:rFonts w:ascii="Times New Roman" w:hAnsi="Times New Roman" w:cs="Times New Roman"/>
                <w:bCs/>
                <w:color w:val="auto"/>
                <w:sz w:val="21"/>
                <w:szCs w:val="21"/>
                <w:highlight w:val="none"/>
              </w:rPr>
              <w:t>。</w:t>
            </w:r>
          </w:p>
          <w:p>
            <w:pPr>
              <w:spacing w:line="360" w:lineRule="auto"/>
              <w:ind w:firstLine="482"/>
              <w:jc w:val="left"/>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7</w:t>
            </w:r>
            <w:r>
              <w:rPr>
                <w:rFonts w:ascii="Times New Roman" w:hAnsi="Times New Roman" w:cs="Times New Roman"/>
                <w:color w:val="auto"/>
                <w:sz w:val="21"/>
                <w:szCs w:val="21"/>
                <w:highlight w:val="none"/>
              </w:rPr>
              <w:t>）分容</w:t>
            </w:r>
          </w:p>
          <w:p>
            <w:pPr>
              <w:spacing w:line="360" w:lineRule="auto"/>
              <w:ind w:firstLine="482"/>
              <w:jc w:val="left"/>
              <w:rPr>
                <w:rFonts w:hint="eastAsia" w:ascii="Times New Roman" w:hAnsi="Times New Roman" w:cs="Times New Roman"/>
                <w:bCs/>
                <w:color w:val="auto"/>
                <w:sz w:val="21"/>
                <w:szCs w:val="21"/>
                <w:highlight w:val="none"/>
              </w:rPr>
            </w:pPr>
            <w:r>
              <w:rPr>
                <w:rFonts w:hint="eastAsia" w:cs="Times New Roman"/>
                <w:bCs/>
                <w:color w:val="auto"/>
                <w:sz w:val="21"/>
                <w:szCs w:val="21"/>
                <w:highlight w:val="none"/>
                <w:lang w:eastAsia="zh-CN"/>
              </w:rPr>
              <w:t>激活后</w:t>
            </w:r>
            <w:r>
              <w:rPr>
                <w:rFonts w:hint="eastAsia" w:ascii="Times New Roman" w:hAnsi="Times New Roman" w:cs="Times New Roman"/>
                <w:bCs/>
                <w:color w:val="auto"/>
                <w:sz w:val="21"/>
                <w:szCs w:val="21"/>
                <w:highlight w:val="none"/>
              </w:rPr>
              <w:t>锂电池虽然尺寸一样，但电池的容量会有差异的</w:t>
            </w:r>
            <w:r>
              <w:rPr>
                <w:rFonts w:hint="eastAsia" w:cs="Times New Roman"/>
                <w:bCs/>
                <w:color w:val="auto"/>
                <w:sz w:val="21"/>
                <w:szCs w:val="21"/>
                <w:highlight w:val="none"/>
                <w:lang w:eastAsia="zh-CN"/>
              </w:rPr>
              <w:t>，</w:t>
            </w:r>
            <w:r>
              <w:rPr>
                <w:rFonts w:hint="eastAsia" w:ascii="Times New Roman" w:hAnsi="Times New Roman" w:cs="Times New Roman"/>
                <w:bCs/>
                <w:color w:val="auto"/>
                <w:sz w:val="21"/>
                <w:szCs w:val="21"/>
                <w:highlight w:val="none"/>
              </w:rPr>
              <w:t>因此，必须在</w:t>
            </w:r>
            <w:r>
              <w:rPr>
                <w:rFonts w:hint="eastAsia" w:cs="Times New Roman"/>
                <w:bCs/>
                <w:color w:val="auto"/>
                <w:sz w:val="21"/>
                <w:szCs w:val="21"/>
                <w:highlight w:val="none"/>
                <w:lang w:eastAsia="zh-CN"/>
              </w:rPr>
              <w:t>分容柜</w:t>
            </w:r>
            <w:r>
              <w:rPr>
                <w:rFonts w:hint="eastAsia" w:ascii="Times New Roman" w:hAnsi="Times New Roman" w:cs="Times New Roman"/>
                <w:bCs/>
                <w:color w:val="auto"/>
                <w:sz w:val="21"/>
                <w:szCs w:val="21"/>
                <w:highlight w:val="none"/>
              </w:rPr>
              <w:t>上面按规范充满电，而后按规范的电流放电</w:t>
            </w:r>
            <w:r>
              <w:rPr>
                <w:rFonts w:hint="eastAsia" w:cs="Times New Roman"/>
                <w:bCs/>
                <w:color w:val="auto"/>
                <w:sz w:val="21"/>
                <w:szCs w:val="21"/>
                <w:highlight w:val="none"/>
                <w:lang w:eastAsia="zh-CN"/>
              </w:rPr>
              <w:t>（</w:t>
            </w:r>
            <w:r>
              <w:rPr>
                <w:rFonts w:hint="eastAsia" w:ascii="Times New Roman" w:hAnsi="Times New Roman" w:cs="Times New Roman"/>
                <w:bCs/>
                <w:color w:val="auto"/>
                <w:sz w:val="21"/>
                <w:szCs w:val="21"/>
                <w:highlight w:val="none"/>
              </w:rPr>
              <w:t>放完</w:t>
            </w:r>
            <w:r>
              <w:rPr>
                <w:rFonts w:hint="eastAsia" w:cs="Times New Roman"/>
                <w:bCs/>
                <w:color w:val="auto"/>
                <w:sz w:val="21"/>
                <w:szCs w:val="21"/>
                <w:highlight w:val="none"/>
                <w:lang w:eastAsia="zh-CN"/>
              </w:rPr>
              <w:t>），</w:t>
            </w:r>
            <w:r>
              <w:rPr>
                <w:rFonts w:hint="eastAsia" w:ascii="Times New Roman" w:hAnsi="Times New Roman" w:cs="Times New Roman"/>
                <w:bCs/>
                <w:color w:val="auto"/>
                <w:sz w:val="21"/>
                <w:szCs w:val="21"/>
                <w:highlight w:val="none"/>
              </w:rPr>
              <w:t>放完电所用的时间乘以放电电流就是电池的容量。只有测试的容量满足或大于设计的容量，锂电池是合格的，而小于设计容量的电池不能算是合格的电池。检测过程中分拣出的不合格产品降级销售</w:t>
            </w:r>
            <w:r>
              <w:rPr>
                <w:rFonts w:hint="eastAsia" w:cs="Times New Roman"/>
                <w:bCs/>
                <w:color w:val="auto"/>
                <w:sz w:val="21"/>
                <w:szCs w:val="21"/>
                <w:highlight w:val="none"/>
                <w:lang w:eastAsia="zh-CN"/>
              </w:rPr>
              <w:t>或出售废电池处理厂进行处理</w:t>
            </w:r>
            <w:r>
              <w:rPr>
                <w:rFonts w:hint="eastAsia" w:ascii="Times New Roman" w:hAnsi="Times New Roman" w:cs="Times New Roman"/>
                <w:bCs/>
                <w:color w:val="auto"/>
                <w:sz w:val="21"/>
                <w:szCs w:val="21"/>
                <w:highlight w:val="none"/>
              </w:rPr>
              <w:t>。</w:t>
            </w:r>
          </w:p>
          <w:p>
            <w:pPr>
              <w:spacing w:line="360" w:lineRule="auto"/>
              <w:ind w:firstLine="482"/>
              <w:jc w:val="left"/>
              <w:rPr>
                <w:rFonts w:hint="eastAsia" w:ascii="Times New Roman" w:hAnsi="Times New Roman" w:cs="Times New Roman"/>
                <w:bCs/>
                <w:color w:val="auto"/>
                <w:sz w:val="21"/>
                <w:szCs w:val="21"/>
                <w:highlight w:val="none"/>
              </w:rPr>
            </w:pPr>
            <w:r>
              <w:rPr>
                <w:rFonts w:hint="eastAsia" w:cs="Times New Roman"/>
                <w:bCs/>
                <w:color w:val="auto"/>
                <w:sz w:val="21"/>
                <w:szCs w:val="21"/>
                <w:highlight w:val="none"/>
                <w:lang w:eastAsia="zh-CN"/>
              </w:rPr>
              <w:t>该工序产污环节为：检测过程产生的不合格品。</w:t>
            </w:r>
          </w:p>
          <w:p>
            <w:pPr>
              <w:spacing w:line="360" w:lineRule="auto"/>
              <w:ind w:firstLine="482"/>
              <w:jc w:val="left"/>
              <w:rPr>
                <w:rFonts w:hint="default" w:ascii="Times New Roman" w:hAnsi="Times New Roman" w:eastAsia="宋体" w:cs="Times New Roman"/>
                <w:bCs/>
                <w:color w:val="auto"/>
                <w:sz w:val="21"/>
                <w:szCs w:val="21"/>
                <w:highlight w:val="none"/>
                <w:lang w:val="en-US" w:eastAsia="zh-CN"/>
              </w:rPr>
            </w:pPr>
            <w:r>
              <w:rPr>
                <w:rFonts w:ascii="Times New Roman" w:hAnsi="Times New Roman" w:cs="Times New Roman"/>
                <w:bCs/>
                <w:color w:val="auto"/>
                <w:sz w:val="21"/>
                <w:szCs w:val="21"/>
                <w:highlight w:val="none"/>
              </w:rPr>
              <w:t>（</w:t>
            </w:r>
            <w:r>
              <w:rPr>
                <w:rFonts w:hint="eastAsia" w:cs="Times New Roman"/>
                <w:bCs/>
                <w:color w:val="auto"/>
                <w:sz w:val="21"/>
                <w:szCs w:val="21"/>
                <w:highlight w:val="none"/>
                <w:lang w:val="en-US" w:eastAsia="zh-CN"/>
              </w:rPr>
              <w:t>8</w:t>
            </w:r>
            <w:r>
              <w:rPr>
                <w:rFonts w:ascii="Times New Roman" w:hAnsi="Times New Roman" w:cs="Times New Roman"/>
                <w:bCs/>
                <w:color w:val="auto"/>
                <w:sz w:val="21"/>
                <w:szCs w:val="21"/>
                <w:highlight w:val="none"/>
              </w:rPr>
              <w:t>）检验</w:t>
            </w:r>
            <w:r>
              <w:rPr>
                <w:rFonts w:hint="eastAsia" w:cs="Times New Roman"/>
                <w:bCs/>
                <w:color w:val="auto"/>
                <w:sz w:val="21"/>
                <w:szCs w:val="21"/>
                <w:highlight w:val="none"/>
                <w:lang w:val="en-US" w:eastAsia="zh-CN"/>
              </w:rPr>
              <w:t>包装</w:t>
            </w:r>
          </w:p>
          <w:p>
            <w:pPr>
              <w:spacing w:line="360" w:lineRule="auto"/>
              <w:ind w:firstLine="482"/>
              <w:jc w:val="left"/>
              <w:rPr>
                <w:rFonts w:hint="eastAsia" w:cs="Times New Roman"/>
                <w:color w:val="auto"/>
                <w:sz w:val="21"/>
                <w:szCs w:val="21"/>
                <w:highlight w:val="none"/>
                <w:lang w:eastAsia="zh-CN"/>
              </w:rPr>
            </w:pPr>
            <w:r>
              <w:rPr>
                <w:rFonts w:ascii="Times New Roman" w:hAnsi="Times New Roman" w:cs="Times New Roman"/>
                <w:color w:val="auto"/>
                <w:sz w:val="21"/>
                <w:szCs w:val="21"/>
                <w:highlight w:val="none"/>
              </w:rPr>
              <w:t>分容好的单体电池</w:t>
            </w:r>
            <w:r>
              <w:rPr>
                <w:rFonts w:hint="eastAsia" w:cs="Times New Roman"/>
                <w:color w:val="auto"/>
                <w:sz w:val="21"/>
                <w:szCs w:val="21"/>
                <w:highlight w:val="none"/>
                <w:lang w:eastAsia="zh-CN"/>
              </w:rPr>
              <w:t>使用</w:t>
            </w:r>
            <w:r>
              <w:rPr>
                <w:rFonts w:hint="eastAsia" w:ascii="Times New Roman" w:hAnsi="Times New Roman" w:cs="Times New Roman"/>
                <w:color w:val="auto"/>
                <w:sz w:val="21"/>
                <w:szCs w:val="21"/>
                <w:highlight w:val="none"/>
              </w:rPr>
              <w:t>绝缘内阻测试仪</w:t>
            </w:r>
            <w:r>
              <w:rPr>
                <w:rFonts w:hint="eastAsia" w:cs="Times New Roman"/>
                <w:color w:val="auto"/>
                <w:sz w:val="21"/>
                <w:szCs w:val="21"/>
                <w:highlight w:val="none"/>
                <w:lang w:eastAsia="zh-CN"/>
              </w:rPr>
              <w:t>进行内部短路高压测试，合格品使用包装机包装后待售。</w:t>
            </w:r>
          </w:p>
          <w:p>
            <w:pPr>
              <w:spacing w:line="360" w:lineRule="auto"/>
              <w:ind w:firstLine="482"/>
              <w:jc w:val="left"/>
              <w:rPr>
                <w:color w:val="auto"/>
              </w:rPr>
            </w:pPr>
            <w:r>
              <w:rPr>
                <w:rFonts w:hint="eastAsia" w:cs="Times New Roman"/>
                <w:bCs/>
                <w:color w:val="auto"/>
                <w:sz w:val="21"/>
                <w:szCs w:val="21"/>
                <w:highlight w:val="none"/>
                <w:lang w:eastAsia="zh-CN"/>
              </w:rPr>
              <w:t>该工序产污环节为：检测过程产生的不合格品。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color w:val="auto"/>
                <w:kern w:val="0"/>
                <w:sz w:val="21"/>
                <w:szCs w:val="21"/>
                <w:highlight w:val="none"/>
              </w:rPr>
            </w:pPr>
            <w:r>
              <w:rPr>
                <w:rFonts w:hint="eastAsia" w:cs="Times New Roman"/>
                <w:b/>
                <w:color w:val="auto"/>
                <w:kern w:val="0"/>
                <w:sz w:val="21"/>
                <w:szCs w:val="21"/>
                <w:highlight w:val="none"/>
                <w:lang w:val="en-US" w:eastAsia="zh-CN"/>
              </w:rPr>
              <w:t>3</w:t>
            </w:r>
            <w:r>
              <w:rPr>
                <w:rFonts w:hint="default" w:ascii="Times New Roman" w:hAnsi="Times New Roman" w:eastAsia="宋体" w:cs="Times New Roman"/>
                <w:b/>
                <w:color w:val="auto"/>
                <w:kern w:val="0"/>
                <w:sz w:val="21"/>
                <w:szCs w:val="21"/>
                <w:highlight w:val="none"/>
                <w:lang w:val="en-US" w:eastAsia="zh-CN"/>
              </w:rPr>
              <w:t>、</w:t>
            </w:r>
            <w:r>
              <w:rPr>
                <w:rFonts w:hint="default" w:ascii="Times New Roman" w:hAnsi="Times New Roman" w:eastAsia="宋体" w:cs="Times New Roman"/>
                <w:b/>
                <w:color w:val="auto"/>
                <w:kern w:val="0"/>
                <w:sz w:val="21"/>
                <w:szCs w:val="21"/>
                <w:highlight w:val="none"/>
              </w:rPr>
              <w:t>本项目产污环节分析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根据上述工艺分析，拟建工程生产过程中产污环节分析详见</w:t>
            </w:r>
            <w:r>
              <w:rPr>
                <w:rFonts w:hint="default" w:ascii="Times New Roman" w:hAnsi="Times New Roman" w:eastAsia="宋体" w:cs="Times New Roman"/>
                <w:bCs/>
                <w:color w:val="auto"/>
                <w:kern w:val="0"/>
                <w:sz w:val="21"/>
                <w:szCs w:val="21"/>
                <w:highlight w:val="none"/>
                <w:lang w:eastAsia="zh-CN"/>
              </w:rPr>
              <w:t>下表</w:t>
            </w:r>
            <w:r>
              <w:rPr>
                <w:rFonts w:hint="default" w:ascii="Times New Roman" w:hAnsi="Times New Roman" w:eastAsia="宋体" w:cs="Times New Roman"/>
                <w:bCs/>
                <w:color w:val="auto"/>
                <w:kern w:val="0"/>
                <w:sz w:val="21"/>
                <w:szCs w:val="21"/>
                <w:highlight w:val="none"/>
              </w:rPr>
              <w:t>。</w:t>
            </w:r>
          </w:p>
          <w:p>
            <w:pPr>
              <w:pStyle w:val="20"/>
              <w:ind w:left="0" w:leftChars="0" w:firstLine="0" w:firstLineChars="0"/>
              <w:rPr>
                <w:rFonts w:hint="default" w:ascii="Times New Roman" w:hAnsi="Times New Roman" w:eastAsia="宋体" w:cs="Times New Roman"/>
                <w:bCs/>
                <w:color w:val="auto"/>
                <w:kern w:val="0"/>
                <w:sz w:val="21"/>
                <w:szCs w:val="21"/>
                <w:highlight w:val="none"/>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项目产污节点一览表</w:t>
            </w:r>
          </w:p>
          <w:tbl>
            <w:tblPr>
              <w:tblStyle w:val="21"/>
              <w:tblW w:w="4995"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48"/>
              <w:gridCol w:w="1819"/>
              <w:gridCol w:w="3438"/>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类别</w:t>
                  </w:r>
                </w:p>
              </w:tc>
              <w:tc>
                <w:tcPr>
                  <w:tcW w:w="141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污染源名称</w:t>
                  </w:r>
                </w:p>
              </w:tc>
              <w:tc>
                <w:tcPr>
                  <w:tcW w:w="1095"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污染因子</w:t>
                  </w:r>
                </w:p>
              </w:tc>
              <w:tc>
                <w:tcPr>
                  <w:tcW w:w="2070" w:type="pct"/>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治理措施</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vMerge w:val="restart"/>
                  <w:tcBorders>
                    <w:top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废气</w:t>
                  </w:r>
                </w:p>
              </w:tc>
              <w:tc>
                <w:tcPr>
                  <w:tcW w:w="1414" w:type="pc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注液工序</w:t>
                  </w:r>
                </w:p>
              </w:tc>
              <w:tc>
                <w:tcPr>
                  <w:tcW w:w="1095" w:type="pct"/>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非甲烷总烃</w:t>
                  </w:r>
                </w:p>
              </w:tc>
              <w:tc>
                <w:tcPr>
                  <w:tcW w:w="2070" w:type="pct"/>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eastAsiaTheme="minorEastAsia"/>
                      <w:color w:val="auto"/>
                      <w:kern w:val="2"/>
                      <w:sz w:val="18"/>
                      <w:szCs w:val="18"/>
                      <w:highlight w:val="none"/>
                      <w:lang w:val="en-US" w:eastAsia="zh-CN" w:bidi="ar-SA"/>
                    </w:rPr>
                    <w:t>注液机抽真空尾气通过密闭管道通入1套“UV光催化氧化+活性炭吸附”处理后经15m高排气筒</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vMerge w:val="continue"/>
                  <w:tcBorders>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rPr>
                  </w:pPr>
                </w:p>
              </w:tc>
              <w:tc>
                <w:tcPr>
                  <w:tcW w:w="1414" w:type="pc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320" w:lineRule="exact"/>
                    <w:ind w:left="0" w:leftChars="0" w:firstLine="0" w:firstLineChars="0"/>
                    <w:jc w:val="center"/>
                    <w:textAlignment w:val="auto"/>
                    <w:rPr>
                      <w:rFonts w:hint="eastAsia"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污水处理设施</w:t>
                  </w:r>
                </w:p>
              </w:tc>
              <w:tc>
                <w:tcPr>
                  <w:tcW w:w="1095" w:type="pct"/>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320" w:lineRule="exact"/>
                    <w:ind w:left="0" w:leftChars="0" w:firstLine="0" w:firstLineChars="0"/>
                    <w:jc w:val="center"/>
                    <w:textAlignment w:val="auto"/>
                    <w:rPr>
                      <w:rFonts w:hint="eastAsia"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恶臭</w:t>
                  </w:r>
                </w:p>
              </w:tc>
              <w:tc>
                <w:tcPr>
                  <w:tcW w:w="2070" w:type="pct"/>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eastAsia" w:cs="Times New Roman" w:eastAsiaTheme="minorEastAsia"/>
                      <w:color w:val="auto"/>
                      <w:kern w:val="2"/>
                      <w:sz w:val="18"/>
                      <w:szCs w:val="18"/>
                      <w:highlight w:val="none"/>
                      <w:lang w:val="en-US" w:eastAsia="zh-CN" w:bidi="ar-SA"/>
                    </w:rPr>
                  </w:pPr>
                  <w:r>
                    <w:rPr>
                      <w:rFonts w:hint="eastAsia" w:cs="Times New Roman" w:eastAsiaTheme="minorEastAsia"/>
                      <w:color w:val="auto"/>
                      <w:kern w:val="2"/>
                      <w:sz w:val="18"/>
                      <w:szCs w:val="18"/>
                      <w:highlight w:val="none"/>
                      <w:lang w:val="en-US" w:eastAsia="zh-CN" w:bidi="ar-SA"/>
                    </w:rPr>
                    <w:t>采用一体化设施，为地下埋设，定期喷除臭剂，同时加强周边绿化</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vMerge w:val="restart"/>
                  <w:tcBorders>
                    <w:top w:val="single" w:color="auto" w:sz="4"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废水</w:t>
                  </w:r>
                </w:p>
              </w:tc>
              <w:tc>
                <w:tcPr>
                  <w:tcW w:w="1414" w:type="pc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生活污水</w:t>
                  </w:r>
                </w:p>
              </w:tc>
              <w:tc>
                <w:tcPr>
                  <w:tcW w:w="1095" w:type="pct"/>
                  <w:vMerge w:val="restart"/>
                  <w:tcBorders>
                    <w:top w:val="single" w:color="auto" w:sz="4" w:space="0"/>
                    <w:left w:val="single" w:color="auto" w:sz="6"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COD、SS、NH</w:t>
                  </w:r>
                  <w:r>
                    <w:rPr>
                      <w:rFonts w:hint="default" w:ascii="Times New Roman" w:hAnsi="Times New Roman" w:cs="Times New Roman" w:eastAsiaTheme="minorEastAsia"/>
                      <w:color w:val="auto"/>
                      <w:sz w:val="18"/>
                      <w:szCs w:val="18"/>
                      <w:highlight w:val="none"/>
                      <w:vertAlign w:val="subscript"/>
                      <w:lang w:val="en-US" w:eastAsia="zh-CN"/>
                    </w:rPr>
                    <w:t>3</w:t>
                  </w:r>
                  <w:r>
                    <w:rPr>
                      <w:rFonts w:hint="default" w:ascii="Times New Roman" w:hAnsi="Times New Roman" w:cs="Times New Roman" w:eastAsiaTheme="minorEastAsia"/>
                      <w:color w:val="auto"/>
                      <w:sz w:val="18"/>
                      <w:szCs w:val="18"/>
                      <w:highlight w:val="none"/>
                      <w:lang w:val="en-US" w:eastAsia="zh-CN"/>
                    </w:rPr>
                    <w:t>-N、TP</w:t>
                  </w:r>
                  <w:r>
                    <w:rPr>
                      <w:rFonts w:hint="eastAsia" w:cs="Times New Roman" w:eastAsiaTheme="minorEastAsia"/>
                      <w:color w:val="auto"/>
                      <w:sz w:val="18"/>
                      <w:szCs w:val="18"/>
                      <w:highlight w:val="none"/>
                      <w:lang w:val="en-US" w:eastAsia="zh-CN"/>
                    </w:rPr>
                    <w:t>、TN</w:t>
                  </w:r>
                </w:p>
              </w:tc>
              <w:tc>
                <w:tcPr>
                  <w:tcW w:w="2070" w:type="pct"/>
                  <w:tcBorders>
                    <w:top w:val="single" w:color="auto" w:sz="6" w:space="0"/>
                    <w:left w:val="single" w:color="auto" w:sz="4"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eastAsia" w:cs="Times New Roman"/>
                      <w:i w:val="0"/>
                      <w:iCs w:val="0"/>
                      <w:color w:val="auto"/>
                      <w:kern w:val="0"/>
                      <w:sz w:val="18"/>
                      <w:szCs w:val="18"/>
                      <w:highlight w:val="none"/>
                      <w:u w:val="none"/>
                      <w:lang w:val="en-US" w:eastAsia="zh-CN" w:bidi="ar"/>
                    </w:rPr>
                    <w:t>自建一体化污水处理设施</w:t>
                  </w:r>
                  <w:r>
                    <w:rPr>
                      <w:rFonts w:hint="default" w:ascii="Times New Roman" w:hAnsi="Times New Roman" w:cs="Times New Roman" w:eastAsiaTheme="minorEastAsia"/>
                      <w:color w:val="auto"/>
                      <w:sz w:val="18"/>
                      <w:szCs w:val="18"/>
                      <w:highlight w:val="none"/>
                      <w:lang w:eastAsia="zh-CN"/>
                    </w:rPr>
                    <w:t>处理后</w:t>
                  </w:r>
                  <w:r>
                    <w:rPr>
                      <w:rFonts w:hint="eastAsia" w:cs="Times New Roman" w:eastAsiaTheme="minorEastAsia"/>
                      <w:color w:val="auto"/>
                      <w:sz w:val="18"/>
                      <w:szCs w:val="18"/>
                      <w:highlight w:val="none"/>
                      <w:lang w:eastAsia="zh-CN"/>
                    </w:rPr>
                    <w:t>，通过污水管网排入新乡市小尚庄污水处理厂进行进一步处理。待后期区域规划新乡市凤泉区污水处理厂建成后排入新乡市凤泉区污水处理厂处理</w:t>
                  </w:r>
                  <w:r>
                    <w:rPr>
                      <w:rFonts w:hint="default" w:ascii="Times New Roman" w:hAnsi="Times New Roman" w:cs="Times New Roman" w:eastAsiaTheme="minorEastAsia"/>
                      <w:color w:val="auto"/>
                      <w:sz w:val="18"/>
                      <w:szCs w:val="18"/>
                      <w:highlight w:val="none"/>
                      <w:lang w:eastAsia="zh-CN"/>
                    </w:rPr>
                    <w:t>。</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vMerge w:val="restart"/>
                  <w:tcBorders>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固废</w:t>
                  </w:r>
                </w:p>
              </w:tc>
              <w:tc>
                <w:tcPr>
                  <w:tcW w:w="1414" w:type="pct"/>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eastAsiaTheme="minorEastAsia"/>
                      <w:color w:val="auto"/>
                      <w:kern w:val="2"/>
                      <w:sz w:val="18"/>
                      <w:szCs w:val="18"/>
                      <w:highlight w:val="none"/>
                      <w:lang w:val="en-US" w:eastAsia="zh-CN" w:bidi="ar-SA"/>
                    </w:rPr>
                    <w:t>原辅材料使用</w:t>
                  </w:r>
                </w:p>
              </w:tc>
              <w:tc>
                <w:tcPr>
                  <w:tcW w:w="1095" w:type="pct"/>
                  <w:tcBorders>
                    <w:top w:val="single" w:color="auto" w:sz="4" w:space="0"/>
                    <w:left w:val="single" w:color="auto" w:sz="6"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eastAsiaTheme="minorEastAsia"/>
                      <w:color w:val="auto"/>
                      <w:kern w:val="2"/>
                      <w:sz w:val="18"/>
                      <w:szCs w:val="18"/>
                      <w:highlight w:val="none"/>
                      <w:lang w:val="en-US" w:eastAsia="zh-CN" w:bidi="ar-SA"/>
                    </w:rPr>
                    <w:t>废包装材料</w:t>
                  </w:r>
                </w:p>
              </w:tc>
              <w:tc>
                <w:tcPr>
                  <w:tcW w:w="2070" w:type="pct"/>
                  <w:vMerge w:val="restart"/>
                  <w:tcBorders>
                    <w:top w:val="single" w:color="auto" w:sz="6" w:space="0"/>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eastAsiaTheme="minorEastAsia"/>
                      <w:b w:val="0"/>
                      <w:bCs w:val="0"/>
                      <w:color w:val="auto"/>
                      <w:sz w:val="18"/>
                      <w:szCs w:val="18"/>
                      <w:highlight w:val="none"/>
                      <w:u w:val="none"/>
                    </w:rPr>
                    <w:t>一般固废暂存</w:t>
                  </w:r>
                  <w:r>
                    <w:rPr>
                      <w:rFonts w:hint="default" w:ascii="Times New Roman" w:hAnsi="Times New Roman" w:cs="Times New Roman" w:eastAsiaTheme="minorEastAsia"/>
                      <w:b w:val="0"/>
                      <w:bCs w:val="0"/>
                      <w:color w:val="auto"/>
                      <w:sz w:val="18"/>
                      <w:szCs w:val="18"/>
                      <w:highlight w:val="none"/>
                      <w:u w:val="none"/>
                      <w:lang w:eastAsia="zh-CN"/>
                    </w:rPr>
                    <w:t>间</w:t>
                  </w:r>
                  <w:r>
                    <w:rPr>
                      <w:rFonts w:hint="default" w:ascii="Times New Roman" w:hAnsi="Times New Roman" w:cs="Times New Roman" w:eastAsiaTheme="minorEastAsia"/>
                      <w:b w:val="0"/>
                      <w:bCs w:val="0"/>
                      <w:color w:val="auto"/>
                      <w:sz w:val="18"/>
                      <w:szCs w:val="18"/>
                      <w:highlight w:val="none"/>
                      <w:u w:val="none"/>
                    </w:rPr>
                    <w:t>暂存后</w:t>
                  </w:r>
                  <w:r>
                    <w:rPr>
                      <w:rFonts w:hint="default" w:ascii="Times New Roman" w:hAnsi="Times New Roman" w:cs="Times New Roman" w:eastAsiaTheme="minorEastAsia"/>
                      <w:b w:val="0"/>
                      <w:bCs w:val="0"/>
                      <w:color w:val="auto"/>
                      <w:sz w:val="18"/>
                      <w:szCs w:val="18"/>
                      <w:highlight w:val="none"/>
                      <w:u w:val="none"/>
                      <w:lang w:eastAsia="zh-CN"/>
                    </w:rPr>
                    <w:t>，定期外售废品回收单位</w:t>
                  </w:r>
                  <w:r>
                    <w:rPr>
                      <w:rFonts w:hint="eastAsia" w:cs="Times New Roman" w:eastAsiaTheme="minorEastAsia"/>
                      <w:b w:val="0"/>
                      <w:bCs w:val="0"/>
                      <w:color w:val="auto"/>
                      <w:sz w:val="18"/>
                      <w:szCs w:val="18"/>
                      <w:highlight w:val="none"/>
                      <w:u w:val="none"/>
                      <w:lang w:eastAsia="zh-CN"/>
                    </w:rPr>
                    <w:t>或废旧电池回收单位</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vMerge w:val="continue"/>
                  <w:tcBorders>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rPr>
                  </w:pPr>
                </w:p>
              </w:tc>
              <w:tc>
                <w:tcPr>
                  <w:tcW w:w="1414" w:type="pct"/>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eastAsiaTheme="minorEastAsia"/>
                      <w:color w:val="auto"/>
                      <w:kern w:val="2"/>
                      <w:sz w:val="18"/>
                      <w:szCs w:val="18"/>
                      <w:highlight w:val="none"/>
                      <w:lang w:val="en-US" w:eastAsia="zh-CN" w:bidi="ar-SA"/>
                    </w:rPr>
                    <w:t>切片工序</w:t>
                  </w:r>
                </w:p>
              </w:tc>
              <w:tc>
                <w:tcPr>
                  <w:tcW w:w="1095" w:type="pct"/>
                  <w:tcBorders>
                    <w:top w:val="single" w:color="auto" w:sz="6" w:space="0"/>
                    <w:left w:val="single" w:color="auto" w:sz="6"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eastAsiaTheme="minorEastAsia"/>
                      <w:color w:val="auto"/>
                      <w:kern w:val="2"/>
                      <w:sz w:val="18"/>
                      <w:szCs w:val="18"/>
                      <w:highlight w:val="none"/>
                      <w:lang w:val="en-US" w:eastAsia="zh-CN" w:bidi="ar-SA"/>
                    </w:rPr>
                    <w:t>极片</w:t>
                  </w:r>
                  <w:r>
                    <w:rPr>
                      <w:rFonts w:hint="eastAsia" w:cs="Times New Roman" w:eastAsiaTheme="minorEastAsia"/>
                      <w:color w:val="auto"/>
                      <w:kern w:val="2"/>
                      <w:sz w:val="18"/>
                      <w:szCs w:val="18"/>
                      <w:highlight w:val="none"/>
                      <w:lang w:val="en-US" w:eastAsia="zh-CN" w:bidi="ar-SA"/>
                    </w:rPr>
                    <w:t>废</w:t>
                  </w:r>
                  <w:r>
                    <w:rPr>
                      <w:rFonts w:hint="default" w:ascii="Times New Roman" w:hAnsi="Times New Roman" w:cs="Times New Roman" w:eastAsiaTheme="minorEastAsia"/>
                      <w:color w:val="auto"/>
                      <w:kern w:val="2"/>
                      <w:sz w:val="18"/>
                      <w:szCs w:val="18"/>
                      <w:highlight w:val="none"/>
                      <w:lang w:val="en-US" w:eastAsia="zh-CN" w:bidi="ar-SA"/>
                    </w:rPr>
                    <w:t>边角料</w:t>
                  </w:r>
                </w:p>
              </w:tc>
              <w:tc>
                <w:tcPr>
                  <w:tcW w:w="2070" w:type="pct"/>
                  <w:vMerge w:val="continue"/>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val="0"/>
                      <w:bCs w:val="0"/>
                      <w:color w:val="auto"/>
                      <w:sz w:val="18"/>
                      <w:szCs w:val="18"/>
                      <w:highlight w:val="green"/>
                      <w:u w:val="none"/>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vMerge w:val="continue"/>
                  <w:tcBorders>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rPr>
                  </w:pPr>
                </w:p>
              </w:tc>
              <w:tc>
                <w:tcPr>
                  <w:tcW w:w="1414" w:type="pct"/>
                  <w:tcBorders>
                    <w:top w:val="single" w:color="auto" w:sz="6" w:space="0"/>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eastAsia" w:cs="Times New Roman" w:eastAsiaTheme="minorEastAsia"/>
                      <w:b w:val="0"/>
                      <w:bCs w:val="0"/>
                      <w:color w:val="auto"/>
                      <w:kern w:val="2"/>
                      <w:sz w:val="18"/>
                      <w:szCs w:val="18"/>
                      <w:highlight w:val="none"/>
                      <w:u w:val="none"/>
                      <w:lang w:val="en-US" w:eastAsia="zh-CN" w:bidi="ar-SA"/>
                    </w:rPr>
                    <w:t>分容检验</w:t>
                  </w:r>
                </w:p>
              </w:tc>
              <w:tc>
                <w:tcPr>
                  <w:tcW w:w="1095" w:type="pct"/>
                  <w:tcBorders>
                    <w:top w:val="single" w:color="auto" w:sz="6" w:space="0"/>
                    <w:left w:val="single" w:color="auto" w:sz="6"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不合格电池</w:t>
                  </w:r>
                </w:p>
              </w:tc>
              <w:tc>
                <w:tcPr>
                  <w:tcW w:w="2070" w:type="pct"/>
                  <w:vMerge w:val="continue"/>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val="0"/>
                      <w:bCs w:val="0"/>
                      <w:color w:val="auto"/>
                      <w:sz w:val="18"/>
                      <w:szCs w:val="18"/>
                      <w:highlight w:val="green"/>
                      <w:u w:val="none"/>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vMerge w:val="continue"/>
                  <w:tcBorders>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rPr>
                  </w:pPr>
                </w:p>
              </w:tc>
              <w:tc>
                <w:tcPr>
                  <w:tcW w:w="1414" w:type="pct"/>
                  <w:tcBorders>
                    <w:top w:val="single" w:color="auto" w:sz="6" w:space="0"/>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cs="Times New Roman" w:eastAsiaTheme="minorEastAsia"/>
                      <w:b w:val="0"/>
                      <w:bCs w:val="0"/>
                      <w:color w:val="auto"/>
                      <w:kern w:val="2"/>
                      <w:sz w:val="18"/>
                      <w:szCs w:val="18"/>
                      <w:highlight w:val="none"/>
                      <w:u w:val="none"/>
                      <w:lang w:val="en-US" w:eastAsia="zh-CN" w:bidi="ar-SA"/>
                    </w:rPr>
                  </w:pPr>
                  <w:r>
                    <w:rPr>
                      <w:rFonts w:hint="eastAsia" w:cs="Times New Roman" w:eastAsiaTheme="minorEastAsia"/>
                      <w:b w:val="0"/>
                      <w:bCs w:val="0"/>
                      <w:color w:val="auto"/>
                      <w:kern w:val="2"/>
                      <w:sz w:val="18"/>
                      <w:szCs w:val="18"/>
                      <w:highlight w:val="none"/>
                      <w:u w:val="none"/>
                      <w:lang w:val="en-US" w:eastAsia="zh-CN" w:bidi="ar-SA"/>
                    </w:rPr>
                    <w:t>一体化污水处理设施</w:t>
                  </w:r>
                </w:p>
              </w:tc>
              <w:tc>
                <w:tcPr>
                  <w:tcW w:w="1095" w:type="pct"/>
                  <w:tcBorders>
                    <w:top w:val="single" w:color="auto" w:sz="6" w:space="0"/>
                    <w:left w:val="single" w:color="auto" w:sz="6"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eastAsia" w:cs="Times New Roman" w:eastAsiaTheme="minorEastAsia"/>
                      <w:b w:val="0"/>
                      <w:bCs w:val="0"/>
                      <w:color w:val="auto"/>
                      <w:kern w:val="2"/>
                      <w:sz w:val="18"/>
                      <w:szCs w:val="18"/>
                      <w:highlight w:val="none"/>
                      <w:u w:val="none"/>
                      <w:lang w:val="en-US" w:eastAsia="zh-CN" w:bidi="ar-SA"/>
                    </w:rPr>
                    <w:t>污泥</w:t>
                  </w:r>
                </w:p>
              </w:tc>
              <w:tc>
                <w:tcPr>
                  <w:tcW w:w="207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cs="Times New Roman" w:eastAsiaTheme="minorEastAsia"/>
                      <w:b w:val="0"/>
                      <w:bCs w:val="0"/>
                      <w:color w:val="auto"/>
                      <w:sz w:val="18"/>
                      <w:szCs w:val="18"/>
                      <w:highlight w:val="none"/>
                      <w:u w:val="none"/>
                      <w:lang w:eastAsia="zh-CN"/>
                    </w:rPr>
                  </w:pPr>
                  <w:r>
                    <w:rPr>
                      <w:rFonts w:hint="eastAsia" w:cs="Times New Roman" w:eastAsiaTheme="minorEastAsia"/>
                      <w:b w:val="0"/>
                      <w:bCs w:val="0"/>
                      <w:color w:val="auto"/>
                      <w:sz w:val="18"/>
                      <w:szCs w:val="18"/>
                      <w:highlight w:val="none"/>
                      <w:u w:val="none"/>
                      <w:lang w:eastAsia="zh-CN"/>
                    </w:rPr>
                    <w:t>定期由环卫部门清运处理</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vMerge w:val="continue"/>
                  <w:tcBorders>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green"/>
                    </w:rPr>
                  </w:pPr>
                </w:p>
              </w:tc>
              <w:tc>
                <w:tcPr>
                  <w:tcW w:w="1414" w:type="pct"/>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员工日常办公生活</w:t>
                  </w:r>
                </w:p>
              </w:tc>
              <w:tc>
                <w:tcPr>
                  <w:tcW w:w="1095" w:type="pct"/>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bCs/>
                      <w:color w:val="auto"/>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bidi="ar-SA"/>
                    </w:rPr>
                    <w:t>生活垃圾</w:t>
                  </w:r>
                </w:p>
              </w:tc>
              <w:tc>
                <w:tcPr>
                  <w:tcW w:w="2070" w:type="pct"/>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eastAsiaTheme="minorEastAsia"/>
                      <w:b w:val="0"/>
                      <w:bCs w:val="0"/>
                      <w:color w:val="auto"/>
                      <w:sz w:val="18"/>
                      <w:szCs w:val="18"/>
                      <w:highlight w:val="none"/>
                      <w:u w:val="none"/>
                      <w:lang w:eastAsia="zh-CN"/>
                    </w:rPr>
                    <w:t>垃圾收集箱收集后，定期委托环卫部门清运处理</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vMerge w:val="continue"/>
                  <w:tcBorders>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green"/>
                    </w:rPr>
                  </w:pPr>
                </w:p>
              </w:tc>
              <w:tc>
                <w:tcPr>
                  <w:tcW w:w="1414" w:type="pct"/>
                  <w:tcBorders>
                    <w:top w:val="single" w:color="auto" w:sz="4"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bCs/>
                      <w:color w:val="auto"/>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bidi="ar-SA"/>
                    </w:rPr>
                    <w:t>机械设备维护</w:t>
                  </w:r>
                </w:p>
              </w:tc>
              <w:tc>
                <w:tcPr>
                  <w:tcW w:w="1095" w:type="pct"/>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bCs/>
                      <w:color w:val="auto"/>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bidi="ar-SA"/>
                    </w:rPr>
                    <w:t>废润滑油</w:t>
                  </w:r>
                </w:p>
              </w:tc>
              <w:tc>
                <w:tcPr>
                  <w:tcW w:w="2070" w:type="pct"/>
                  <w:vMerge w:val="restart"/>
                  <w:tcBorders>
                    <w:top w:val="single" w:color="auto" w:sz="4" w:space="0"/>
                    <w:left w:val="single" w:color="auto" w:sz="4"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危险固废暂存间暂存后，定期委托有资质的危废处置单位回收处理</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vMerge w:val="continue"/>
                  <w:tcBorders>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green"/>
                    </w:rPr>
                  </w:pPr>
                </w:p>
              </w:tc>
              <w:tc>
                <w:tcPr>
                  <w:tcW w:w="1414" w:type="pct"/>
                  <w:vMerge w:val="restart"/>
                  <w:tcBorders>
                    <w:top w:val="single" w:color="auto" w:sz="4"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bCs/>
                      <w:color w:val="auto"/>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bidi="ar-SA"/>
                    </w:rPr>
                    <w:t>废气治理设施</w:t>
                  </w:r>
                </w:p>
              </w:tc>
              <w:tc>
                <w:tcPr>
                  <w:tcW w:w="1095" w:type="pct"/>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bCs/>
                      <w:color w:val="auto"/>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bidi="ar-SA"/>
                    </w:rPr>
                    <w:t>废UV灯管</w:t>
                  </w:r>
                </w:p>
              </w:tc>
              <w:tc>
                <w:tcPr>
                  <w:tcW w:w="207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color w:val="auto"/>
                      <w:sz w:val="18"/>
                      <w:szCs w:val="18"/>
                      <w:highlight w:val="none"/>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vMerge w:val="continue"/>
                  <w:tcBorders>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green"/>
                    </w:rPr>
                  </w:pPr>
                </w:p>
              </w:tc>
              <w:tc>
                <w:tcPr>
                  <w:tcW w:w="1414"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bCs/>
                      <w:color w:val="auto"/>
                      <w:sz w:val="18"/>
                      <w:szCs w:val="18"/>
                      <w:highlight w:val="none"/>
                      <w:lang w:val="en-US" w:eastAsia="zh-CN" w:bidi="ar-SA"/>
                    </w:rPr>
                  </w:pPr>
                </w:p>
              </w:tc>
              <w:tc>
                <w:tcPr>
                  <w:tcW w:w="1095" w:type="pct"/>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bCs/>
                      <w:color w:val="auto"/>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bidi="ar-SA"/>
                    </w:rPr>
                    <w:t>废活性炭</w:t>
                  </w:r>
                </w:p>
              </w:tc>
              <w:tc>
                <w:tcPr>
                  <w:tcW w:w="207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color w:val="auto"/>
                      <w:sz w:val="18"/>
                      <w:szCs w:val="18"/>
                      <w:highlight w:val="none"/>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vMerge w:val="restart"/>
                  <w:tcBorders>
                    <w:top w:val="single" w:color="auto" w:sz="4"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噪声</w:t>
                  </w:r>
                </w:p>
              </w:tc>
              <w:tc>
                <w:tcPr>
                  <w:tcW w:w="1414"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生产机械设备运行</w:t>
                  </w:r>
                </w:p>
              </w:tc>
              <w:tc>
                <w:tcPr>
                  <w:tcW w:w="1095"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机械噪声</w:t>
                  </w:r>
                </w:p>
              </w:tc>
              <w:tc>
                <w:tcPr>
                  <w:tcW w:w="2070" w:type="pct"/>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室内布置，设置减振基础</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9" w:type="pct"/>
                  <w:vMerge w:val="continue"/>
                  <w:tcBorders>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rPr>
                  </w:pPr>
                </w:p>
              </w:tc>
              <w:tc>
                <w:tcPr>
                  <w:tcW w:w="1414" w:type="pc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eastAsia" w:cs="Times New Roman" w:eastAsiaTheme="minorEastAsia"/>
                      <w:color w:val="auto"/>
                      <w:sz w:val="18"/>
                      <w:szCs w:val="18"/>
                      <w:highlight w:val="none"/>
                      <w:lang w:eastAsia="zh-CN"/>
                    </w:rPr>
                    <w:t>空压机</w:t>
                  </w:r>
                </w:p>
              </w:tc>
              <w:tc>
                <w:tcPr>
                  <w:tcW w:w="1095" w:type="pc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空气动力噪声</w:t>
                  </w:r>
                </w:p>
              </w:tc>
              <w:tc>
                <w:tcPr>
                  <w:tcW w:w="2070" w:type="pct"/>
                  <w:tcBorders>
                    <w:top w:val="single" w:color="auto" w:sz="4"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color w:val="auto"/>
                      <w:sz w:val="18"/>
                      <w:szCs w:val="18"/>
                      <w:highlight w:val="none"/>
                      <w:lang w:eastAsia="zh-CN"/>
                    </w:rPr>
                    <w:t>安装隔声装置，厂房隔声</w:t>
                  </w:r>
                </w:p>
              </w:tc>
            </w:tr>
          </w:tbl>
          <w:p>
            <w:pPr>
              <w:pageBreakBefore w:val="0"/>
              <w:kinsoku/>
              <w:wordWrap/>
              <w:overflowPunct/>
              <w:topLinePunct w:val="0"/>
              <w:bidi w:val="0"/>
              <w:adjustRightInd/>
              <w:snapToGrid/>
              <w:spacing w:line="320" w:lineRule="exact"/>
              <w:ind w:left="0" w:leftChars="0"/>
              <w:rPr>
                <w:rFonts w:hint="default" w:ascii="Times New Roman" w:hAnsi="Times New Roman" w:eastAsia="宋体" w:cs="Times New Roman"/>
                <w:bCs/>
                <w:color w:val="auto"/>
                <w:szCs w:val="21"/>
                <w:highlight w:val="green"/>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1" w:hRule="atLeast"/>
          <w:jc w:val="center"/>
        </w:trPr>
        <w:tc>
          <w:tcPr>
            <w:tcW w:w="388" w:type="pct"/>
            <w:noWrap w:val="0"/>
            <w:vAlign w:val="center"/>
          </w:tcPr>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260" w:lineRule="exact"/>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2"/>
                <w:sz w:val="21"/>
                <w:szCs w:val="21"/>
                <w:highlight w:val="none"/>
              </w:rPr>
              <w:t>与项目有关的原有环境污染问题</w:t>
            </w:r>
          </w:p>
        </w:tc>
        <w:tc>
          <w:tcPr>
            <w:tcW w:w="4611" w:type="pct"/>
            <w:noWrap w:val="0"/>
            <w:vAlign w:val="center"/>
          </w:tcPr>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cs="Times New Roman"/>
                <w:color w:val="auto"/>
                <w:highlight w:val="none"/>
                <w:lang w:eastAsia="zh-CN"/>
              </w:rPr>
            </w:pPr>
            <w:r>
              <w:rPr>
                <w:rFonts w:hint="default" w:ascii="Times New Roman" w:hAnsi="Times New Roman" w:eastAsia="宋体" w:cs="Times New Roman"/>
                <w:bCs/>
                <w:color w:val="auto"/>
                <w:kern w:val="2"/>
                <w:sz w:val="21"/>
                <w:szCs w:val="21"/>
                <w:highlight w:val="none"/>
                <w:lang w:val="en-US" w:eastAsia="zh-CN" w:bidi="ar-SA"/>
              </w:rPr>
              <w:t>本项目为新建项目，</w:t>
            </w:r>
            <w:r>
              <w:rPr>
                <w:rFonts w:hint="eastAsia" w:cs="Times New Roman"/>
                <w:bCs/>
                <w:color w:val="auto"/>
                <w:kern w:val="2"/>
                <w:sz w:val="21"/>
                <w:szCs w:val="21"/>
                <w:highlight w:val="none"/>
                <w:lang w:val="en-US" w:eastAsia="zh-CN" w:bidi="ar-SA"/>
              </w:rPr>
              <w:t>租用</w:t>
            </w:r>
            <w:r>
              <w:rPr>
                <w:rFonts w:hint="default" w:ascii="Times New Roman" w:hAnsi="Times New Roman" w:eastAsia="宋体" w:cs="Times New Roman"/>
                <w:bCs/>
                <w:color w:val="auto"/>
                <w:kern w:val="2"/>
                <w:sz w:val="21"/>
                <w:szCs w:val="21"/>
                <w:highlight w:val="none"/>
                <w:lang w:val="en-US" w:eastAsia="zh-CN" w:bidi="ar-SA"/>
              </w:rPr>
              <w:t>新乡市凤泉湖实业有限公司</w:t>
            </w:r>
            <w:r>
              <w:rPr>
                <w:rFonts w:hint="eastAsia" w:cs="Times New Roman"/>
                <w:bCs/>
                <w:color w:val="auto"/>
                <w:kern w:val="2"/>
                <w:sz w:val="21"/>
                <w:szCs w:val="21"/>
                <w:highlight w:val="none"/>
                <w:lang w:val="en-US" w:eastAsia="zh-CN" w:bidi="ar-SA"/>
              </w:rPr>
              <w:t>建设的标准化厂房一层区域进行建设，根据现场勘查，目前所租赁厂房一层区域闲置</w:t>
            </w:r>
            <w:r>
              <w:rPr>
                <w:rFonts w:hint="default" w:ascii="Times New Roman" w:hAnsi="Times New Roman" w:eastAsia="宋体" w:cs="Times New Roman"/>
                <w:bCs/>
                <w:color w:val="auto"/>
                <w:kern w:val="2"/>
                <w:sz w:val="21"/>
                <w:szCs w:val="21"/>
                <w:highlight w:val="none"/>
                <w:lang w:val="en-US" w:eastAsia="zh-CN" w:bidi="ar-SA"/>
              </w:rPr>
              <w:t>，不存在与本项目有关的原有污染情况和环境问题。</w:t>
            </w:r>
          </w:p>
        </w:tc>
      </w:tr>
    </w:tbl>
    <w:p>
      <w:pPr>
        <w:pStyle w:val="16"/>
        <w:jc w:val="center"/>
        <w:rPr>
          <w:rFonts w:hint="default" w:ascii="Times New Roman" w:hAnsi="Times New Roman" w:eastAsia="黑体" w:cs="Times New Roman"/>
          <w:snapToGrid w:val="0"/>
          <w:color w:val="auto"/>
          <w:sz w:val="36"/>
          <w:szCs w:val="36"/>
          <w:highlight w:val="green"/>
        </w:rPr>
        <w:sectPr>
          <w:pgSz w:w="11906" w:h="16838"/>
          <w:pgMar w:top="1803" w:right="1440" w:bottom="1803" w:left="144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三、区域环境质量现状、环境保护目标及评价标准</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区域</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质量</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kern w:val="0"/>
                <w:szCs w:val="21"/>
                <w:highlight w:val="green"/>
              </w:rPr>
            </w:pPr>
            <w:r>
              <w:rPr>
                <w:rFonts w:hint="default" w:ascii="Times New Roman" w:hAnsi="Times New Roman" w:cs="Times New Roman"/>
                <w:color w:val="auto"/>
                <w:kern w:val="0"/>
                <w:szCs w:val="21"/>
                <w:highlight w:val="none"/>
              </w:rPr>
              <w:t>现状</w:t>
            </w:r>
          </w:p>
        </w:tc>
        <w:tc>
          <w:tcPr>
            <w:tcW w:w="819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rPr>
              <w:t>环境空气质量现状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val="0"/>
                <w:bCs w:val="0"/>
                <w:color w:val="auto"/>
                <w:sz w:val="21"/>
                <w:szCs w:val="21"/>
                <w:highlight w:val="none"/>
                <w:u w:val="none"/>
              </w:rPr>
              <w:t>项目所在地属空气环境质量二类功能区，环境空气质量应执行《环境空气质量标准》（GB3095-2012）二级标准。</w:t>
            </w:r>
            <w:r>
              <w:rPr>
                <w:rFonts w:hint="default" w:ascii="Times New Roman" w:hAnsi="Times New Roman" w:cs="Times New Roman"/>
                <w:color w:val="auto"/>
                <w:sz w:val="21"/>
                <w:szCs w:val="21"/>
                <w:highlight w:val="none"/>
              </w:rPr>
              <w:t>根据新乡市生态环境局发布的《新乡市</w:t>
            </w:r>
            <w:r>
              <w:rPr>
                <w:rFonts w:hint="default" w:ascii="Times New Roman" w:hAnsi="Times New Roman" w:cs="Times New Roman"/>
                <w:color w:val="auto"/>
                <w:sz w:val="21"/>
                <w:szCs w:val="21"/>
                <w:highlight w:val="none"/>
                <w:lang w:val="en-US" w:eastAsia="zh-CN"/>
              </w:rPr>
              <w:t>2022</w:t>
            </w:r>
            <w:r>
              <w:rPr>
                <w:rFonts w:hint="default" w:ascii="Times New Roman" w:hAnsi="Times New Roman" w:cs="Times New Roman"/>
                <w:color w:val="auto"/>
                <w:sz w:val="21"/>
                <w:szCs w:val="21"/>
                <w:highlight w:val="none"/>
              </w:rPr>
              <w:t>年环境质量</w:t>
            </w:r>
            <w:r>
              <w:rPr>
                <w:rFonts w:hint="default" w:ascii="Times New Roman" w:hAnsi="Times New Roman" w:cs="Times New Roman"/>
                <w:color w:val="auto"/>
                <w:sz w:val="21"/>
                <w:szCs w:val="21"/>
                <w:highlight w:val="none"/>
                <w:lang w:eastAsia="zh-CN"/>
              </w:rPr>
              <w:t>状况公报</w:t>
            </w:r>
            <w:r>
              <w:rPr>
                <w:rFonts w:hint="default" w:ascii="Times New Roman" w:hAnsi="Times New Roman" w:cs="Times New Roman"/>
                <w:color w:val="auto"/>
                <w:sz w:val="21"/>
                <w:szCs w:val="21"/>
                <w:highlight w:val="none"/>
              </w:rPr>
              <w:t>》，区域空气质量现状数据如下表所示。</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区域空气质量现状评价表</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57" w:type="dxa"/>
                <w:left w:w="108" w:type="dxa"/>
                <w:bottom w:w="57" w:type="dxa"/>
                <w:right w:w="108" w:type="dxa"/>
              </w:tblCellMar>
            </w:tblPr>
            <w:tblGrid>
              <w:gridCol w:w="885"/>
              <w:gridCol w:w="1683"/>
              <w:gridCol w:w="1094"/>
              <w:gridCol w:w="1094"/>
              <w:gridCol w:w="1094"/>
              <w:gridCol w:w="1097"/>
              <w:gridCol w:w="10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5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w:t>
                  </w:r>
                </w:p>
              </w:tc>
              <w:tc>
                <w:tcPr>
                  <w:tcW w:w="105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年评价指标</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现状浓度/（μg/m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标准值/（μg/m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占标率</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687"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超标倍数</w:t>
                  </w:r>
                </w:p>
              </w:tc>
              <w:tc>
                <w:tcPr>
                  <w:tcW w:w="643"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5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PM</w:t>
                  </w:r>
                  <w:r>
                    <w:rPr>
                      <w:rFonts w:hint="default" w:ascii="Times New Roman" w:hAnsi="Times New Roman" w:eastAsia="宋体" w:cs="Times New Roman"/>
                      <w:color w:val="auto"/>
                      <w:sz w:val="18"/>
                      <w:szCs w:val="18"/>
                      <w:highlight w:val="none"/>
                      <w:vertAlign w:val="subscript"/>
                    </w:rPr>
                    <w:t>10</w:t>
                  </w:r>
                </w:p>
              </w:tc>
              <w:tc>
                <w:tcPr>
                  <w:tcW w:w="105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年平均质量浓度</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89</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70</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127.1</w:t>
                  </w:r>
                </w:p>
              </w:tc>
              <w:tc>
                <w:tcPr>
                  <w:tcW w:w="687"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27.1</w:t>
                  </w:r>
                </w:p>
              </w:tc>
              <w:tc>
                <w:tcPr>
                  <w:tcW w:w="643"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5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PM</w:t>
                  </w:r>
                  <w:r>
                    <w:rPr>
                      <w:rFonts w:hint="default" w:ascii="Times New Roman" w:hAnsi="Times New Roman" w:eastAsia="宋体" w:cs="Times New Roman"/>
                      <w:color w:val="auto"/>
                      <w:sz w:val="18"/>
                      <w:szCs w:val="18"/>
                      <w:highlight w:val="none"/>
                      <w:vertAlign w:val="subscript"/>
                    </w:rPr>
                    <w:t>2.5</w:t>
                  </w:r>
                </w:p>
              </w:tc>
              <w:tc>
                <w:tcPr>
                  <w:tcW w:w="105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年平均质量浓度</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50</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35</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142.9</w:t>
                  </w:r>
                </w:p>
              </w:tc>
              <w:tc>
                <w:tcPr>
                  <w:tcW w:w="687"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42.9</w:t>
                  </w:r>
                </w:p>
              </w:tc>
              <w:tc>
                <w:tcPr>
                  <w:tcW w:w="643"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5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SO</w:t>
                  </w:r>
                  <w:r>
                    <w:rPr>
                      <w:rFonts w:hint="default" w:ascii="Times New Roman" w:hAnsi="Times New Roman" w:eastAsia="宋体" w:cs="Times New Roman"/>
                      <w:color w:val="auto"/>
                      <w:sz w:val="18"/>
                      <w:szCs w:val="18"/>
                      <w:highlight w:val="none"/>
                      <w:vertAlign w:val="subscript"/>
                    </w:rPr>
                    <w:t>2</w:t>
                  </w:r>
                </w:p>
              </w:tc>
              <w:tc>
                <w:tcPr>
                  <w:tcW w:w="105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年平均质量浓度</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10</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60</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16.7</w:t>
                  </w:r>
                </w:p>
              </w:tc>
              <w:tc>
                <w:tcPr>
                  <w:tcW w:w="687"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2"/>
                      <w:w w:val="101"/>
                      <w:position w:val="2"/>
                      <w:sz w:val="18"/>
                      <w:szCs w:val="18"/>
                      <w:highlight w:val="none"/>
                    </w:rPr>
                    <w:t>/</w:t>
                  </w:r>
                </w:p>
              </w:tc>
              <w:tc>
                <w:tcPr>
                  <w:tcW w:w="643"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5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NO</w:t>
                  </w:r>
                  <w:r>
                    <w:rPr>
                      <w:rFonts w:hint="default" w:ascii="Times New Roman" w:hAnsi="Times New Roman" w:eastAsia="宋体" w:cs="Times New Roman"/>
                      <w:color w:val="auto"/>
                      <w:sz w:val="18"/>
                      <w:szCs w:val="18"/>
                      <w:highlight w:val="none"/>
                      <w:vertAlign w:val="subscript"/>
                    </w:rPr>
                    <w:t>2</w:t>
                  </w:r>
                </w:p>
              </w:tc>
              <w:tc>
                <w:tcPr>
                  <w:tcW w:w="105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年平均质量浓度</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30</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40</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75</w:t>
                  </w:r>
                </w:p>
              </w:tc>
              <w:tc>
                <w:tcPr>
                  <w:tcW w:w="687"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2"/>
                      <w:w w:val="101"/>
                      <w:position w:val="2"/>
                      <w:sz w:val="18"/>
                      <w:szCs w:val="18"/>
                      <w:highlight w:val="none"/>
                    </w:rPr>
                    <w:t>/</w:t>
                  </w:r>
                </w:p>
              </w:tc>
              <w:tc>
                <w:tcPr>
                  <w:tcW w:w="643"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5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CO</w:t>
                  </w:r>
                </w:p>
              </w:tc>
              <w:tc>
                <w:tcPr>
                  <w:tcW w:w="105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第95百分位浓度</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r>
                    <w:rPr>
                      <w:rFonts w:hint="default" w:ascii="Times New Roman" w:hAnsi="Times New Roman" w:cs="Times New Roman"/>
                      <w:color w:val="auto"/>
                      <w:sz w:val="18"/>
                      <w:szCs w:val="18"/>
                      <w:highlight w:val="none"/>
                      <w:lang w:val="en-US" w:eastAsia="zh-CN"/>
                    </w:rPr>
                    <w:t>4</w:t>
                  </w:r>
                  <w:r>
                    <w:rPr>
                      <w:rFonts w:hint="default" w:ascii="Times New Roman" w:hAnsi="Times New Roman" w:eastAsia="宋体" w:cs="Times New Roman"/>
                      <w:color w:val="auto"/>
                      <w:sz w:val="18"/>
                      <w:szCs w:val="18"/>
                      <w:highlight w:val="none"/>
                    </w:rPr>
                    <w:t>mg/m</w:t>
                  </w:r>
                  <w:r>
                    <w:rPr>
                      <w:rFonts w:hint="default" w:ascii="Times New Roman" w:hAnsi="Times New Roman" w:eastAsia="宋体" w:cs="Times New Roman"/>
                      <w:color w:val="auto"/>
                      <w:sz w:val="18"/>
                      <w:szCs w:val="18"/>
                      <w:highlight w:val="none"/>
                      <w:vertAlign w:val="superscript"/>
                    </w:rPr>
                    <w:t>3</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4mg/m</w:t>
                  </w:r>
                  <w:r>
                    <w:rPr>
                      <w:rFonts w:hint="default" w:ascii="Times New Roman" w:hAnsi="Times New Roman" w:eastAsia="宋体" w:cs="Times New Roman"/>
                      <w:color w:val="auto"/>
                      <w:sz w:val="18"/>
                      <w:szCs w:val="18"/>
                      <w:highlight w:val="none"/>
                      <w:vertAlign w:val="superscript"/>
                    </w:rPr>
                    <w:t>3</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35</w:t>
                  </w:r>
                </w:p>
              </w:tc>
              <w:tc>
                <w:tcPr>
                  <w:tcW w:w="687"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2"/>
                      <w:w w:val="101"/>
                      <w:position w:val="2"/>
                      <w:sz w:val="18"/>
                      <w:szCs w:val="18"/>
                      <w:highlight w:val="none"/>
                    </w:rPr>
                    <w:t>/</w:t>
                  </w:r>
                </w:p>
              </w:tc>
              <w:tc>
                <w:tcPr>
                  <w:tcW w:w="643"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5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O</w:t>
                  </w:r>
                  <w:r>
                    <w:rPr>
                      <w:rFonts w:hint="default" w:ascii="Times New Roman" w:hAnsi="Times New Roman" w:eastAsia="宋体" w:cs="Times New Roman"/>
                      <w:color w:val="auto"/>
                      <w:sz w:val="18"/>
                      <w:szCs w:val="18"/>
                      <w:highlight w:val="none"/>
                      <w:vertAlign w:val="subscript"/>
                    </w:rPr>
                    <w:t>3</w:t>
                  </w:r>
                </w:p>
              </w:tc>
              <w:tc>
                <w:tcPr>
                  <w:tcW w:w="105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第90百分位浓度</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182</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160</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113.8</w:t>
                  </w:r>
                </w:p>
              </w:tc>
              <w:tc>
                <w:tcPr>
                  <w:tcW w:w="687"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13.8</w:t>
                  </w:r>
                </w:p>
              </w:tc>
              <w:tc>
                <w:tcPr>
                  <w:tcW w:w="643"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超标</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由上表可知，其中PM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、P</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bscript"/>
                <w:lang w:eastAsia="zh-CN"/>
              </w:rPr>
              <w:t>2</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vertAlign w:val="baseline"/>
                <w:lang w:eastAsia="zh-CN"/>
              </w:rPr>
              <w:t>和</w:t>
            </w: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均不能够满足《环境空气质量标准》（GB3095-2012）二级标准要求</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本项目所在区域属于不达标区。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 w:val="0"/>
                <w:bCs w:val="0"/>
                <w:color w:val="auto"/>
                <w:sz w:val="21"/>
                <w:szCs w:val="21"/>
                <w:highlight w:val="none"/>
                <w:u w:val="none"/>
                <w:lang w:eastAsia="zh-CN"/>
              </w:rPr>
            </w:pPr>
            <w:r>
              <w:rPr>
                <w:rFonts w:hint="default" w:ascii="Times New Roman" w:hAnsi="Times New Roman" w:cs="Times New Roman"/>
                <w:b w:val="0"/>
                <w:bCs w:val="0"/>
                <w:color w:val="auto"/>
                <w:sz w:val="21"/>
                <w:szCs w:val="21"/>
                <w:highlight w:val="none"/>
                <w:u w:val="none"/>
                <w:lang w:eastAsia="zh-CN"/>
              </w:rPr>
              <w:t>目前，新乡市正在实施《</w:t>
            </w:r>
            <w:r>
              <w:rPr>
                <w:rFonts w:hint="eastAsia" w:cs="Times New Roman"/>
                <w:b w:val="0"/>
                <w:bCs w:val="0"/>
                <w:color w:val="auto"/>
                <w:sz w:val="21"/>
                <w:szCs w:val="21"/>
                <w:highlight w:val="none"/>
                <w:u w:val="none"/>
                <w:lang w:eastAsia="zh-CN"/>
              </w:rPr>
              <w:t>新乡市</w:t>
            </w:r>
            <w:r>
              <w:rPr>
                <w:rFonts w:hint="default" w:ascii="Times New Roman" w:hAnsi="Times New Roman" w:cs="Times New Roman"/>
                <w:b w:val="0"/>
                <w:bCs w:val="0"/>
                <w:color w:val="auto"/>
                <w:sz w:val="21"/>
                <w:szCs w:val="21"/>
                <w:highlight w:val="none"/>
                <w:u w:val="none"/>
                <w:lang w:eastAsia="zh-CN"/>
              </w:rPr>
              <w:t>深入打好秋冬季重污染天气消除、夏季臭氧污染防治和柴油货车污染治理攻坚战</w:t>
            </w:r>
            <w:r>
              <w:rPr>
                <w:rFonts w:hint="eastAsia" w:cs="Times New Roman"/>
                <w:b w:val="0"/>
                <w:bCs w:val="0"/>
                <w:color w:val="auto"/>
                <w:sz w:val="21"/>
                <w:szCs w:val="21"/>
                <w:highlight w:val="none"/>
                <w:u w:val="none"/>
                <w:lang w:eastAsia="zh-CN"/>
              </w:rPr>
              <w:t>实施</w:t>
            </w:r>
            <w:r>
              <w:rPr>
                <w:rFonts w:hint="default" w:ascii="Times New Roman" w:hAnsi="Times New Roman" w:cs="Times New Roman"/>
                <w:b w:val="0"/>
                <w:bCs w:val="0"/>
                <w:color w:val="auto"/>
                <w:sz w:val="21"/>
                <w:szCs w:val="21"/>
                <w:highlight w:val="none"/>
                <w:u w:val="none"/>
                <w:lang w:eastAsia="zh-CN"/>
              </w:rPr>
              <w:t>方案》（</w:t>
            </w:r>
            <w:r>
              <w:rPr>
                <w:rFonts w:hint="eastAsia" w:cs="Times New Roman"/>
                <w:b w:val="0"/>
                <w:bCs w:val="0"/>
                <w:color w:val="auto"/>
                <w:sz w:val="21"/>
                <w:szCs w:val="21"/>
                <w:highlight w:val="none"/>
                <w:u w:val="none"/>
                <w:lang w:eastAsia="zh-CN"/>
              </w:rPr>
              <w:t>新环攻坚</w:t>
            </w:r>
            <w:r>
              <w:rPr>
                <w:rFonts w:hint="default" w:ascii="Times New Roman" w:hAnsi="Times New Roman" w:cs="Times New Roman"/>
                <w:b w:val="0"/>
                <w:bCs w:val="0"/>
                <w:color w:val="auto"/>
                <w:sz w:val="21"/>
                <w:szCs w:val="21"/>
                <w:highlight w:val="none"/>
                <w:u w:val="none"/>
                <w:lang w:eastAsia="zh-CN"/>
              </w:rPr>
              <w:t>办〔2023〕</w:t>
            </w:r>
            <w:r>
              <w:rPr>
                <w:rFonts w:hint="eastAsia" w:cs="Times New Roman"/>
                <w:b w:val="0"/>
                <w:bCs w:val="0"/>
                <w:color w:val="auto"/>
                <w:sz w:val="21"/>
                <w:szCs w:val="21"/>
                <w:highlight w:val="none"/>
                <w:u w:val="none"/>
                <w:lang w:val="en-US" w:eastAsia="zh-CN"/>
              </w:rPr>
              <w:t>7</w:t>
            </w:r>
            <w:r>
              <w:rPr>
                <w:rFonts w:hint="default" w:ascii="Times New Roman" w:hAnsi="Times New Roman" w:cs="Times New Roman"/>
                <w:b w:val="0"/>
                <w:bCs w:val="0"/>
                <w:color w:val="auto"/>
                <w:sz w:val="21"/>
                <w:szCs w:val="21"/>
                <w:highlight w:val="none"/>
                <w:u w:val="none"/>
                <w:lang w:eastAsia="zh-CN"/>
              </w:rPr>
              <w:t>3号）等一系列措施，将不断改善区域大气环境质量。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2、水环境质量现状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s="Times New Roman"/>
                <w:b w:val="0"/>
                <w:bCs w:val="0"/>
                <w:color w:val="auto"/>
                <w:sz w:val="21"/>
                <w:szCs w:val="21"/>
                <w:highlight w:val="none"/>
                <w:u w:val="none"/>
                <w:lang w:val="en-US" w:eastAsia="zh-CN"/>
              </w:rPr>
            </w:pPr>
            <w:r>
              <w:rPr>
                <w:rFonts w:hint="eastAsia" w:cs="Times New Roman"/>
                <w:b w:val="0"/>
                <w:bCs w:val="0"/>
                <w:color w:val="auto"/>
                <w:sz w:val="21"/>
                <w:szCs w:val="21"/>
                <w:highlight w:val="none"/>
                <w:u w:val="none"/>
                <w:lang w:eastAsia="zh-CN"/>
              </w:rPr>
              <w:t>本项目生活污水经自建一体化污水处理设施处理后，通过污水管网排入新乡市小尚庄污水处理厂进行进一步处理后，最终排入卫河。待后期区域规划的新乡市凤泉区污水处理厂建成后排入新乡市凤泉区污水处理厂处理，最终排入民生渠。根据《新乡市生态环境局关于下达2022年地表水环境质量暂定目标的函》，卫河、民生渠规划水体功能均为《地表水环境质量标准》（GB3838-2002）IV类。距离项目最近的地表水体为西南侧</w:t>
            </w:r>
            <w:r>
              <w:rPr>
                <w:rFonts w:hint="eastAsia" w:cs="Times New Roman"/>
                <w:b w:val="0"/>
                <w:bCs w:val="0"/>
                <w:color w:val="auto"/>
                <w:sz w:val="21"/>
                <w:szCs w:val="21"/>
                <w:highlight w:val="none"/>
                <w:u w:val="none"/>
                <w:lang w:val="en-US" w:eastAsia="zh-CN"/>
              </w:rPr>
              <w:t>1640m处的民生渠，根据《新乡市生态环境局关于下达2022年地表水环境质量暂定目标的函》，民生渠水体功能类别为Ⅳ类标准。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b w:val="0"/>
                <w:bCs w:val="0"/>
                <w:color w:val="auto"/>
                <w:spacing w:val="-4"/>
                <w:sz w:val="21"/>
                <w:szCs w:val="21"/>
                <w:highlight w:val="none"/>
                <w:u w:val="none"/>
              </w:rPr>
            </w:pPr>
            <w:r>
              <w:rPr>
                <w:rFonts w:hint="eastAsia" w:cs="Times New Roman"/>
                <w:b w:val="0"/>
                <w:bCs w:val="0"/>
                <w:color w:val="auto"/>
                <w:sz w:val="21"/>
                <w:szCs w:val="21"/>
                <w:highlight w:val="none"/>
                <w:u w:val="none"/>
                <w:lang w:val="en-US" w:eastAsia="zh-CN"/>
              </w:rPr>
              <w:t>本次评价引用《新乡市新能源电池专业园区发展规划（2022-2035年）环境影响报告书》中河南宜信检测技术服务有限公司于2022年7月27日~7月29日对凤泉区污水处理厂出水口上游500m处、凤泉区污水处理厂出水口下游500m处及小尚庄污水处理厂出水口上游500m处、小尚庄污水处理厂出水口下游500m处断面进行的监测数据。</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污水处理厂出水口上下游断面现状监测结果表    单位：mg/L</w:t>
            </w:r>
          </w:p>
          <w:tbl>
            <w:tblPr>
              <w:tblStyle w:val="21"/>
              <w:tblW w:w="4996" w:type="pct"/>
              <w:jc w:val="center"/>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772"/>
              <w:gridCol w:w="1108"/>
              <w:gridCol w:w="1075"/>
              <w:gridCol w:w="1075"/>
              <w:gridCol w:w="1075"/>
              <w:gridCol w:w="1075"/>
              <w:gridCol w:w="1080"/>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地表</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水体</w:t>
                  </w:r>
                </w:p>
              </w:tc>
              <w:tc>
                <w:tcPr>
                  <w:tcW w:w="4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监测断面</w:t>
                  </w:r>
                </w:p>
              </w:tc>
              <w:tc>
                <w:tcPr>
                  <w:tcW w:w="6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项目</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pH</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COD</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氨氮</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总磷</w:t>
                  </w:r>
                </w:p>
              </w:tc>
              <w:tc>
                <w:tcPr>
                  <w:tcW w:w="6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总氮</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民生渠</w:t>
                  </w:r>
                </w:p>
              </w:tc>
              <w:tc>
                <w:tcPr>
                  <w:tcW w:w="48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凤泉区污水处理厂出水口上游</w:t>
                  </w:r>
                  <w:r>
                    <w:rPr>
                      <w:b w:val="0"/>
                      <w:bCs w:val="0"/>
                      <w:sz w:val="18"/>
                      <w:szCs w:val="18"/>
                    </w:rPr>
                    <w:t>500m</w:t>
                  </w:r>
                  <w:r>
                    <w:rPr>
                      <w:rFonts w:hint="eastAsia"/>
                      <w:b w:val="0"/>
                      <w:bCs w:val="0"/>
                      <w:sz w:val="18"/>
                      <w:szCs w:val="18"/>
                    </w:rPr>
                    <w:t>断面</w:t>
                  </w:r>
                </w:p>
              </w:tc>
              <w:tc>
                <w:tcPr>
                  <w:tcW w:w="6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监测值范围</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7.5~7.6</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25~27</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4</w:t>
                  </w:r>
                  <w:r>
                    <w:rPr>
                      <w:b w:val="0"/>
                      <w:bCs w:val="0"/>
                      <w:sz w:val="18"/>
                      <w:szCs w:val="18"/>
                    </w:rPr>
                    <w:t>.43~4.61</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0</w:t>
                  </w:r>
                  <w:r>
                    <w:rPr>
                      <w:b w:val="0"/>
                      <w:bCs w:val="0"/>
                      <w:sz w:val="18"/>
                      <w:szCs w:val="18"/>
                    </w:rPr>
                    <w:t>.32~0.35</w:t>
                  </w:r>
                </w:p>
              </w:tc>
              <w:tc>
                <w:tcPr>
                  <w:tcW w:w="6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6</w:t>
                  </w:r>
                  <w:r>
                    <w:rPr>
                      <w:b w:val="0"/>
                      <w:bCs w:val="0"/>
                      <w:sz w:val="18"/>
                      <w:szCs w:val="18"/>
                    </w:rPr>
                    <w:t>.17~6.44</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48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6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均值</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7.5</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2</w:t>
                  </w:r>
                  <w:r>
                    <w:rPr>
                      <w:b w:val="0"/>
                      <w:bCs w:val="0"/>
                      <w:sz w:val="18"/>
                      <w:szCs w:val="18"/>
                    </w:rPr>
                    <w:t>6</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4</w:t>
                  </w:r>
                  <w:r>
                    <w:rPr>
                      <w:b w:val="0"/>
                      <w:bCs w:val="0"/>
                      <w:sz w:val="18"/>
                      <w:szCs w:val="18"/>
                    </w:rPr>
                    <w:t>.52</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0</w:t>
                  </w:r>
                  <w:r>
                    <w:rPr>
                      <w:b w:val="0"/>
                      <w:bCs w:val="0"/>
                      <w:sz w:val="18"/>
                      <w:szCs w:val="18"/>
                    </w:rPr>
                    <w:t>.33</w:t>
                  </w:r>
                </w:p>
              </w:tc>
              <w:tc>
                <w:tcPr>
                  <w:tcW w:w="6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6</w:t>
                  </w:r>
                  <w:r>
                    <w:rPr>
                      <w:b w:val="0"/>
                      <w:bCs w:val="0"/>
                      <w:sz w:val="18"/>
                      <w:szCs w:val="18"/>
                    </w:rPr>
                    <w:t>.28</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48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6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最大值标准指数</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0</w:t>
                  </w:r>
                  <w:r>
                    <w:rPr>
                      <w:b w:val="0"/>
                      <w:bCs w:val="0"/>
                      <w:sz w:val="18"/>
                      <w:szCs w:val="18"/>
                    </w:rPr>
                    <w:t>.3</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0.9</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3</w:t>
                  </w:r>
                  <w:r>
                    <w:rPr>
                      <w:b w:val="0"/>
                      <w:bCs w:val="0"/>
                      <w:sz w:val="18"/>
                      <w:szCs w:val="18"/>
                    </w:rPr>
                    <w:t>.07</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1</w:t>
                  </w:r>
                  <w:r>
                    <w:rPr>
                      <w:b w:val="0"/>
                      <w:bCs w:val="0"/>
                      <w:sz w:val="18"/>
                      <w:szCs w:val="18"/>
                    </w:rPr>
                    <w:t>.17</w:t>
                  </w:r>
                </w:p>
              </w:tc>
              <w:tc>
                <w:tcPr>
                  <w:tcW w:w="6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4</w:t>
                  </w:r>
                  <w:r>
                    <w:rPr>
                      <w:b w:val="0"/>
                      <w:bCs w:val="0"/>
                      <w:sz w:val="18"/>
                      <w:szCs w:val="18"/>
                    </w:rPr>
                    <w:t>.29</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48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6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最大超标倍数</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2.07</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0</w:t>
                  </w:r>
                  <w:r>
                    <w:rPr>
                      <w:b w:val="0"/>
                      <w:bCs w:val="0"/>
                      <w:sz w:val="18"/>
                      <w:szCs w:val="18"/>
                    </w:rPr>
                    <w:t>.17</w:t>
                  </w:r>
                </w:p>
              </w:tc>
              <w:tc>
                <w:tcPr>
                  <w:tcW w:w="6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3</w:t>
                  </w:r>
                  <w:r>
                    <w:rPr>
                      <w:b w:val="0"/>
                      <w:bCs w:val="0"/>
                      <w:sz w:val="18"/>
                      <w:szCs w:val="18"/>
                    </w:rPr>
                    <w:t>.29</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48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凤泉污水厂出水口下游</w:t>
                  </w:r>
                  <w:r>
                    <w:rPr>
                      <w:b w:val="0"/>
                      <w:bCs w:val="0"/>
                      <w:sz w:val="18"/>
                      <w:szCs w:val="18"/>
                    </w:rPr>
                    <w:t>500m</w:t>
                  </w:r>
                  <w:r>
                    <w:rPr>
                      <w:rFonts w:hint="eastAsia"/>
                      <w:b w:val="0"/>
                      <w:bCs w:val="0"/>
                      <w:sz w:val="18"/>
                      <w:szCs w:val="18"/>
                    </w:rPr>
                    <w:t>断面</w:t>
                  </w:r>
                </w:p>
              </w:tc>
              <w:tc>
                <w:tcPr>
                  <w:tcW w:w="6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监测值范围</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7</w:t>
                  </w:r>
                  <w:r>
                    <w:rPr>
                      <w:b w:val="0"/>
                      <w:bCs w:val="0"/>
                      <w:sz w:val="18"/>
                      <w:szCs w:val="18"/>
                    </w:rPr>
                    <w:t>.2-7.5</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2</w:t>
                  </w:r>
                  <w:r>
                    <w:rPr>
                      <w:b w:val="0"/>
                      <w:bCs w:val="0"/>
                      <w:sz w:val="18"/>
                      <w:szCs w:val="18"/>
                    </w:rPr>
                    <w:t>7~28</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3</w:t>
                  </w:r>
                  <w:r>
                    <w:rPr>
                      <w:b w:val="0"/>
                      <w:bCs w:val="0"/>
                      <w:sz w:val="18"/>
                      <w:szCs w:val="18"/>
                    </w:rPr>
                    <w:t>.15~3.25</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0</w:t>
                  </w:r>
                  <w:r>
                    <w:rPr>
                      <w:b w:val="0"/>
                      <w:bCs w:val="0"/>
                      <w:sz w:val="18"/>
                      <w:szCs w:val="18"/>
                    </w:rPr>
                    <w:t>.27~0.28</w:t>
                  </w:r>
                </w:p>
              </w:tc>
              <w:tc>
                <w:tcPr>
                  <w:tcW w:w="6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4</w:t>
                  </w:r>
                  <w:r>
                    <w:rPr>
                      <w:b w:val="0"/>
                      <w:bCs w:val="0"/>
                      <w:sz w:val="18"/>
                      <w:szCs w:val="18"/>
                    </w:rPr>
                    <w:t>.8~5.13</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48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6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均值</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7.4</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2</w:t>
                  </w:r>
                  <w:r>
                    <w:rPr>
                      <w:b w:val="0"/>
                      <w:bCs w:val="0"/>
                      <w:sz w:val="18"/>
                      <w:szCs w:val="18"/>
                    </w:rPr>
                    <w:t>8</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3</w:t>
                  </w:r>
                  <w:r>
                    <w:rPr>
                      <w:b w:val="0"/>
                      <w:bCs w:val="0"/>
                      <w:sz w:val="18"/>
                      <w:szCs w:val="18"/>
                    </w:rPr>
                    <w:t>.21</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0</w:t>
                  </w:r>
                  <w:r>
                    <w:rPr>
                      <w:b w:val="0"/>
                      <w:bCs w:val="0"/>
                      <w:sz w:val="18"/>
                      <w:szCs w:val="18"/>
                    </w:rPr>
                    <w:t>.27</w:t>
                  </w:r>
                </w:p>
              </w:tc>
              <w:tc>
                <w:tcPr>
                  <w:tcW w:w="6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4</w:t>
                  </w:r>
                  <w:r>
                    <w:rPr>
                      <w:b w:val="0"/>
                      <w:bCs w:val="0"/>
                      <w:sz w:val="18"/>
                      <w:szCs w:val="18"/>
                    </w:rPr>
                    <w:t>.94</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48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6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最大值标准指数</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0.25</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0</w:t>
                  </w:r>
                  <w:r>
                    <w:rPr>
                      <w:b w:val="0"/>
                      <w:bCs w:val="0"/>
                      <w:sz w:val="18"/>
                      <w:szCs w:val="18"/>
                    </w:rPr>
                    <w:t>.93</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2</w:t>
                  </w:r>
                  <w:r>
                    <w:rPr>
                      <w:b w:val="0"/>
                      <w:bCs w:val="0"/>
                      <w:sz w:val="18"/>
                      <w:szCs w:val="18"/>
                    </w:rPr>
                    <w:t>.17</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0</w:t>
                  </w:r>
                  <w:r>
                    <w:rPr>
                      <w:b w:val="0"/>
                      <w:bCs w:val="0"/>
                      <w:sz w:val="18"/>
                      <w:szCs w:val="18"/>
                    </w:rPr>
                    <w:t>.93</w:t>
                  </w:r>
                </w:p>
              </w:tc>
              <w:tc>
                <w:tcPr>
                  <w:tcW w:w="6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3</w:t>
                  </w:r>
                  <w:r>
                    <w:rPr>
                      <w:b w:val="0"/>
                      <w:bCs w:val="0"/>
                      <w:sz w:val="18"/>
                      <w:szCs w:val="18"/>
                    </w:rPr>
                    <w:t>.42</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48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6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最大超标倍数</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1.17</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w:t>
                  </w:r>
                </w:p>
              </w:tc>
              <w:tc>
                <w:tcPr>
                  <w:tcW w:w="6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2</w:t>
                  </w:r>
                  <w:r>
                    <w:rPr>
                      <w:b w:val="0"/>
                      <w:bCs w:val="0"/>
                      <w:sz w:val="18"/>
                      <w:szCs w:val="18"/>
                    </w:rPr>
                    <w:t>.42</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卫河</w:t>
                  </w:r>
                </w:p>
              </w:tc>
              <w:tc>
                <w:tcPr>
                  <w:tcW w:w="48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小尚庄污水处理厂出水口上游</w:t>
                  </w:r>
                  <w:r>
                    <w:rPr>
                      <w:b w:val="0"/>
                      <w:bCs w:val="0"/>
                      <w:sz w:val="18"/>
                      <w:szCs w:val="18"/>
                    </w:rPr>
                    <w:t>500m</w:t>
                  </w:r>
                  <w:r>
                    <w:rPr>
                      <w:rFonts w:hint="eastAsia"/>
                      <w:b w:val="0"/>
                      <w:bCs w:val="0"/>
                      <w:sz w:val="18"/>
                      <w:szCs w:val="18"/>
                    </w:rPr>
                    <w:t>断面</w:t>
                  </w:r>
                </w:p>
              </w:tc>
              <w:tc>
                <w:tcPr>
                  <w:tcW w:w="6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监测值范围</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7</w:t>
                  </w:r>
                  <w:r>
                    <w:rPr>
                      <w:b w:val="0"/>
                      <w:bCs w:val="0"/>
                      <w:sz w:val="18"/>
                      <w:szCs w:val="18"/>
                    </w:rPr>
                    <w:t>.2-7.5</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1</w:t>
                  </w:r>
                  <w:r>
                    <w:rPr>
                      <w:b w:val="0"/>
                      <w:bCs w:val="0"/>
                      <w:sz w:val="18"/>
                      <w:szCs w:val="18"/>
                    </w:rPr>
                    <w:t>2-16</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1</w:t>
                  </w:r>
                  <w:r>
                    <w:rPr>
                      <w:b w:val="0"/>
                      <w:bCs w:val="0"/>
                      <w:sz w:val="18"/>
                      <w:szCs w:val="18"/>
                    </w:rPr>
                    <w:t>.16~1.26</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0</w:t>
                  </w:r>
                  <w:r>
                    <w:rPr>
                      <w:b w:val="0"/>
                      <w:bCs w:val="0"/>
                      <w:sz w:val="18"/>
                      <w:szCs w:val="18"/>
                    </w:rPr>
                    <w:t>.22~0.24</w:t>
                  </w:r>
                </w:p>
              </w:tc>
              <w:tc>
                <w:tcPr>
                  <w:tcW w:w="6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1</w:t>
                  </w:r>
                  <w:r>
                    <w:rPr>
                      <w:b w:val="0"/>
                      <w:bCs w:val="0"/>
                      <w:sz w:val="18"/>
                      <w:szCs w:val="18"/>
                    </w:rPr>
                    <w:t>.21~1.31</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48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6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均值</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7</w:t>
                  </w:r>
                  <w:r>
                    <w:rPr>
                      <w:b w:val="0"/>
                      <w:bCs w:val="0"/>
                      <w:sz w:val="18"/>
                      <w:szCs w:val="18"/>
                    </w:rPr>
                    <w:t>.4</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1</w:t>
                  </w:r>
                  <w:r>
                    <w:rPr>
                      <w:b w:val="0"/>
                      <w:bCs w:val="0"/>
                      <w:sz w:val="18"/>
                      <w:szCs w:val="18"/>
                    </w:rPr>
                    <w:t>4.3</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1</w:t>
                  </w:r>
                  <w:r>
                    <w:rPr>
                      <w:b w:val="0"/>
                      <w:bCs w:val="0"/>
                      <w:sz w:val="18"/>
                      <w:szCs w:val="18"/>
                    </w:rPr>
                    <w:t>.22</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0</w:t>
                  </w:r>
                  <w:r>
                    <w:rPr>
                      <w:b w:val="0"/>
                      <w:bCs w:val="0"/>
                      <w:sz w:val="18"/>
                      <w:szCs w:val="18"/>
                    </w:rPr>
                    <w:t>.23</w:t>
                  </w:r>
                </w:p>
              </w:tc>
              <w:tc>
                <w:tcPr>
                  <w:tcW w:w="6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1</w:t>
                  </w:r>
                  <w:r>
                    <w:rPr>
                      <w:b w:val="0"/>
                      <w:bCs w:val="0"/>
                      <w:sz w:val="18"/>
                      <w:szCs w:val="18"/>
                    </w:rPr>
                    <w:t>.27</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48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6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最大值标准指数</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0</w:t>
                  </w:r>
                  <w:r>
                    <w:rPr>
                      <w:b w:val="0"/>
                      <w:bCs w:val="0"/>
                      <w:sz w:val="18"/>
                      <w:szCs w:val="18"/>
                    </w:rPr>
                    <w:t>.2</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0</w:t>
                  </w:r>
                  <w:r>
                    <w:rPr>
                      <w:b w:val="0"/>
                      <w:bCs w:val="0"/>
                      <w:sz w:val="18"/>
                      <w:szCs w:val="18"/>
                    </w:rPr>
                    <w:t>.53</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0</w:t>
                  </w:r>
                  <w:r>
                    <w:rPr>
                      <w:b w:val="0"/>
                      <w:bCs w:val="0"/>
                      <w:sz w:val="18"/>
                      <w:szCs w:val="18"/>
                    </w:rPr>
                    <w:t>.84</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0</w:t>
                  </w:r>
                  <w:r>
                    <w:rPr>
                      <w:b w:val="0"/>
                      <w:bCs w:val="0"/>
                      <w:sz w:val="18"/>
                      <w:szCs w:val="18"/>
                    </w:rPr>
                    <w:t>.8</w:t>
                  </w:r>
                </w:p>
              </w:tc>
              <w:tc>
                <w:tcPr>
                  <w:tcW w:w="6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0</w:t>
                  </w:r>
                  <w:r>
                    <w:rPr>
                      <w:b w:val="0"/>
                      <w:bCs w:val="0"/>
                      <w:sz w:val="18"/>
                      <w:szCs w:val="18"/>
                    </w:rPr>
                    <w:t>.87</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48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6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最大超标倍数</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w:t>
                  </w:r>
                </w:p>
              </w:tc>
              <w:tc>
                <w:tcPr>
                  <w:tcW w:w="6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48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小尚庄污水处理厂出水口下游</w:t>
                  </w:r>
                  <w:r>
                    <w:rPr>
                      <w:b w:val="0"/>
                      <w:bCs w:val="0"/>
                      <w:sz w:val="18"/>
                      <w:szCs w:val="18"/>
                    </w:rPr>
                    <w:t>500m</w:t>
                  </w:r>
                  <w:r>
                    <w:rPr>
                      <w:rFonts w:hint="eastAsia"/>
                      <w:b w:val="0"/>
                      <w:bCs w:val="0"/>
                      <w:sz w:val="18"/>
                      <w:szCs w:val="18"/>
                    </w:rPr>
                    <w:t>断面</w:t>
                  </w:r>
                </w:p>
              </w:tc>
              <w:tc>
                <w:tcPr>
                  <w:tcW w:w="6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监测值范围</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7</w:t>
                  </w:r>
                  <w:r>
                    <w:rPr>
                      <w:b w:val="0"/>
                      <w:bCs w:val="0"/>
                      <w:sz w:val="18"/>
                      <w:szCs w:val="18"/>
                    </w:rPr>
                    <w:t>.3-7.5</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1</w:t>
                  </w:r>
                  <w:r>
                    <w:rPr>
                      <w:b w:val="0"/>
                      <w:bCs w:val="0"/>
                      <w:sz w:val="18"/>
                      <w:szCs w:val="18"/>
                    </w:rPr>
                    <w:t>4-18</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1</w:t>
                  </w:r>
                  <w:r>
                    <w:rPr>
                      <w:b w:val="0"/>
                      <w:bCs w:val="0"/>
                      <w:sz w:val="18"/>
                      <w:szCs w:val="18"/>
                    </w:rPr>
                    <w:t>.32~1.39</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0</w:t>
                  </w:r>
                  <w:r>
                    <w:rPr>
                      <w:b w:val="0"/>
                      <w:bCs w:val="0"/>
                      <w:sz w:val="18"/>
                      <w:szCs w:val="18"/>
                    </w:rPr>
                    <w:t>.25~0.26</w:t>
                  </w:r>
                </w:p>
              </w:tc>
              <w:tc>
                <w:tcPr>
                  <w:tcW w:w="6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1</w:t>
                  </w:r>
                  <w:r>
                    <w:rPr>
                      <w:b w:val="0"/>
                      <w:bCs w:val="0"/>
                      <w:sz w:val="18"/>
                      <w:szCs w:val="18"/>
                    </w:rPr>
                    <w:t>.2~1.41</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48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6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均值</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7</w:t>
                  </w:r>
                  <w:r>
                    <w:rPr>
                      <w:b w:val="0"/>
                      <w:bCs w:val="0"/>
                      <w:sz w:val="18"/>
                      <w:szCs w:val="18"/>
                    </w:rPr>
                    <w:t>.4</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1</w:t>
                  </w:r>
                  <w:r>
                    <w:rPr>
                      <w:b w:val="0"/>
                      <w:bCs w:val="0"/>
                      <w:sz w:val="18"/>
                      <w:szCs w:val="18"/>
                    </w:rPr>
                    <w:t>5</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1</w:t>
                  </w:r>
                  <w:r>
                    <w:rPr>
                      <w:b w:val="0"/>
                      <w:bCs w:val="0"/>
                      <w:sz w:val="18"/>
                      <w:szCs w:val="18"/>
                    </w:rPr>
                    <w:t>.35</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0</w:t>
                  </w:r>
                  <w:r>
                    <w:rPr>
                      <w:b w:val="0"/>
                      <w:bCs w:val="0"/>
                      <w:sz w:val="18"/>
                      <w:szCs w:val="18"/>
                    </w:rPr>
                    <w:t>.25</w:t>
                  </w:r>
                </w:p>
              </w:tc>
              <w:tc>
                <w:tcPr>
                  <w:tcW w:w="6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1</w:t>
                  </w:r>
                  <w:r>
                    <w:rPr>
                      <w:b w:val="0"/>
                      <w:bCs w:val="0"/>
                      <w:sz w:val="18"/>
                      <w:szCs w:val="18"/>
                    </w:rPr>
                    <w:t>.33</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48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6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最大值标准指数</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0</w:t>
                  </w:r>
                  <w:r>
                    <w:rPr>
                      <w:b w:val="0"/>
                      <w:bCs w:val="0"/>
                      <w:sz w:val="18"/>
                      <w:szCs w:val="18"/>
                    </w:rPr>
                    <w:t>.2</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0</w:t>
                  </w:r>
                  <w:r>
                    <w:rPr>
                      <w:b w:val="0"/>
                      <w:bCs w:val="0"/>
                      <w:sz w:val="18"/>
                      <w:szCs w:val="18"/>
                    </w:rPr>
                    <w:t>.6</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0</w:t>
                  </w:r>
                  <w:r>
                    <w:rPr>
                      <w:b w:val="0"/>
                      <w:bCs w:val="0"/>
                      <w:sz w:val="18"/>
                      <w:szCs w:val="18"/>
                    </w:rPr>
                    <w:t>.93</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0</w:t>
                  </w:r>
                  <w:r>
                    <w:rPr>
                      <w:b w:val="0"/>
                      <w:bCs w:val="0"/>
                      <w:sz w:val="18"/>
                      <w:szCs w:val="18"/>
                    </w:rPr>
                    <w:t>.87</w:t>
                  </w:r>
                </w:p>
              </w:tc>
              <w:tc>
                <w:tcPr>
                  <w:tcW w:w="6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0</w:t>
                  </w:r>
                  <w:r>
                    <w:rPr>
                      <w:b w:val="0"/>
                      <w:bCs w:val="0"/>
                      <w:sz w:val="18"/>
                      <w:szCs w:val="18"/>
                    </w:rPr>
                    <w:t>.94</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48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p>
              </w:tc>
              <w:tc>
                <w:tcPr>
                  <w:tcW w:w="6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b w:val="0"/>
                      <w:bCs w:val="0"/>
                      <w:sz w:val="18"/>
                      <w:szCs w:val="18"/>
                    </w:rPr>
                    <w:t>最大超标倍数</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w:t>
                  </w:r>
                </w:p>
              </w:tc>
              <w:tc>
                <w:tcPr>
                  <w:tcW w:w="6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3"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标准值</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6</w:t>
                  </w:r>
                  <w:r>
                    <w:rPr>
                      <w:b w:val="0"/>
                      <w:bCs w:val="0"/>
                      <w:sz w:val="18"/>
                      <w:szCs w:val="18"/>
                    </w:rPr>
                    <w:t>-9</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3</w:t>
                  </w:r>
                  <w:r>
                    <w:rPr>
                      <w:b w:val="0"/>
                      <w:bCs w:val="0"/>
                      <w:sz w:val="18"/>
                      <w:szCs w:val="18"/>
                    </w:rPr>
                    <w:t>0</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1</w:t>
                  </w:r>
                  <w:r>
                    <w:rPr>
                      <w:b w:val="0"/>
                      <w:bCs w:val="0"/>
                      <w:sz w:val="18"/>
                      <w:szCs w:val="18"/>
                    </w:rPr>
                    <w:t>.5</w:t>
                  </w:r>
                </w:p>
              </w:tc>
              <w:tc>
                <w:tcPr>
                  <w:tcW w:w="6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0</w:t>
                  </w:r>
                  <w:r>
                    <w:rPr>
                      <w:b w:val="0"/>
                      <w:bCs w:val="0"/>
                      <w:sz w:val="18"/>
                      <w:szCs w:val="18"/>
                    </w:rPr>
                    <w:t>.3</w:t>
                  </w:r>
                </w:p>
              </w:tc>
              <w:tc>
                <w:tcPr>
                  <w:tcW w:w="6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sz w:val="18"/>
                      <w:szCs w:val="18"/>
                    </w:rPr>
                  </w:pPr>
                  <w:r>
                    <w:rPr>
                      <w:rFonts w:hint="eastAsia"/>
                      <w:b w:val="0"/>
                      <w:bCs w:val="0"/>
                      <w:sz w:val="18"/>
                      <w:szCs w:val="18"/>
                    </w:rPr>
                    <w:t>1</w:t>
                  </w:r>
                  <w:r>
                    <w:rPr>
                      <w:b w:val="0"/>
                      <w:bCs w:val="0"/>
                      <w:sz w:val="18"/>
                      <w:szCs w:val="18"/>
                    </w:rPr>
                    <w:t>.5</w:t>
                  </w:r>
                </w:p>
              </w:tc>
            </w:tr>
          </w:tbl>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bCs/>
                <w:color w:val="auto"/>
                <w:sz w:val="21"/>
                <w:szCs w:val="21"/>
                <w:highlight w:val="none"/>
                <w:lang w:eastAsia="zh-CN"/>
              </w:rPr>
            </w:pPr>
            <w:r>
              <w:rPr>
                <w:rFonts w:hint="default" w:ascii="Times New Roman" w:hAnsi="Times New Roman" w:cs="Times New Roman"/>
                <w:b w:val="0"/>
                <w:bCs w:val="0"/>
                <w:color w:val="auto"/>
                <w:sz w:val="21"/>
                <w:szCs w:val="21"/>
                <w:highlight w:val="none"/>
                <w:u w:val="none"/>
              </w:rPr>
              <w:t>根据上表监测数据显示，</w:t>
            </w:r>
            <w:r>
              <w:rPr>
                <w:rFonts w:hint="default" w:ascii="Times New Roman" w:hAnsi="Times New Roman" w:cs="Times New Roman"/>
                <w:b w:val="0"/>
                <w:bCs w:val="0"/>
                <w:color w:val="auto"/>
                <w:sz w:val="21"/>
                <w:szCs w:val="21"/>
                <w:highlight w:val="none"/>
                <w:u w:val="none"/>
                <w:lang w:eastAsia="zh-CN"/>
              </w:rPr>
              <w:t>凤泉区污水处理厂出水口上游500m处、凤泉区污水处理厂出水口下游500m处断面各检测因子除氨氮、总磷、总氮超标外，pH、COD能够满足《地表水环境质量标准》（GB3838-2002）中IV类标准；小尚庄污水处理厂出水口上游500m处、小尚庄污水处理厂出水口下游500m处断面各检测因子pH、COD、氨氮、总磷、总氮能够满足《地表水环境质量标准》（GB3838-2002）中IV类标准。超标原因主要为：①上游来水水质较差；②沿线两岸村庄、农田较多，村庄排水设施缺乏，农村点源污染和农业生产面源污染较严重，在降水或灌溉过程中，通过农田地表径流、壤中流、农田排水和地下渗漏，进入河道水体、污染流域水体；③河道内生态流量不足，地下水水位较深需补充，水生态系统不健全，水下植被多样性差，近岸群落结构不合理，水体自净能力差，水质恶化快；④3月~5月进行河道清淤，导致断面3月~4月暂停监测，5月~6月超标严重</w:t>
            </w:r>
            <w:r>
              <w:rPr>
                <w:rFonts w:hint="eastAsia" w:cs="Times New Roman"/>
                <w:color w:val="auto"/>
                <w:kern w:val="0"/>
                <w:sz w:val="21"/>
                <w:szCs w:val="21"/>
                <w:highlight w:val="none"/>
                <w:lang w:eastAsia="zh-CN"/>
              </w:rPr>
              <w:t>。目前新乡市正在推进实施《新乡市2023年碧水保卫战实施方案》（</w:t>
            </w:r>
            <w:r>
              <w:rPr>
                <w:rFonts w:hint="eastAsia" w:cs="Times New Roman"/>
                <w:b w:val="0"/>
                <w:bCs w:val="0"/>
                <w:color w:val="auto"/>
                <w:sz w:val="21"/>
                <w:szCs w:val="21"/>
                <w:highlight w:val="none"/>
                <w:u w:val="none"/>
                <w:lang w:eastAsia="zh-CN"/>
              </w:rPr>
              <w:t>新环攻坚</w:t>
            </w:r>
            <w:r>
              <w:rPr>
                <w:rFonts w:hint="default" w:ascii="Times New Roman" w:hAnsi="Times New Roman" w:cs="Times New Roman"/>
                <w:b w:val="0"/>
                <w:bCs w:val="0"/>
                <w:color w:val="auto"/>
                <w:sz w:val="21"/>
                <w:szCs w:val="21"/>
                <w:highlight w:val="none"/>
                <w:u w:val="none"/>
                <w:lang w:eastAsia="zh-CN"/>
              </w:rPr>
              <w:t>办〔2023〕</w:t>
            </w:r>
            <w:r>
              <w:rPr>
                <w:rFonts w:hint="eastAsia" w:cs="Times New Roman"/>
                <w:b w:val="0"/>
                <w:bCs w:val="0"/>
                <w:color w:val="auto"/>
                <w:sz w:val="21"/>
                <w:szCs w:val="21"/>
                <w:highlight w:val="none"/>
                <w:u w:val="none"/>
                <w:lang w:val="en-US" w:eastAsia="zh-CN"/>
              </w:rPr>
              <w:t>66</w:t>
            </w:r>
            <w:r>
              <w:rPr>
                <w:rFonts w:hint="default" w:ascii="Times New Roman" w:hAnsi="Times New Roman" w:cs="Times New Roman"/>
                <w:b w:val="0"/>
                <w:bCs w:val="0"/>
                <w:color w:val="auto"/>
                <w:sz w:val="21"/>
                <w:szCs w:val="21"/>
                <w:highlight w:val="none"/>
                <w:u w:val="none"/>
                <w:lang w:eastAsia="zh-CN"/>
              </w:rPr>
              <w:t>号</w:t>
            </w:r>
            <w:r>
              <w:rPr>
                <w:rFonts w:hint="eastAsia" w:cs="Times New Roman"/>
                <w:color w:val="auto"/>
                <w:kern w:val="0"/>
                <w:sz w:val="21"/>
                <w:szCs w:val="21"/>
                <w:highlight w:val="none"/>
                <w:lang w:eastAsia="zh-CN"/>
              </w:rPr>
              <w:t>）等一系列方案，将进一步改善新乡市水环境质量。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声环境质量现状</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both"/>
              <w:textAlignment w:val="auto"/>
              <w:rPr>
                <w:rFonts w:hint="default" w:cs="Times New Roman"/>
                <w:color w:val="auto"/>
                <w:kern w:val="0"/>
                <w:sz w:val="21"/>
                <w:szCs w:val="21"/>
                <w:highlight w:val="none"/>
                <w:lang w:eastAsia="zh-CN"/>
              </w:rPr>
            </w:pPr>
            <w:r>
              <w:rPr>
                <w:rFonts w:hint="default" w:cs="Times New Roman"/>
                <w:color w:val="auto"/>
                <w:kern w:val="0"/>
                <w:sz w:val="21"/>
                <w:szCs w:val="21"/>
                <w:highlight w:val="none"/>
                <w:lang w:eastAsia="zh-CN"/>
              </w:rPr>
              <w:t>根据声环境功能区划，项目所在区域属于2类声环境功能区，应当执行《声环境质量标准》（GB3096-2008）2类标准（昼间≤60dB（A）夜间≤50dB（A））。根据《建设项目环境影响报告表编制技术指南（污染影响类）（试行）》，厂界外周边50米范围内存在声环境保护目标的建设项目，应监测保护目标声环境质量现状并评价达标情况。根据现场踏勘，厂界外周边50米范围内不存在声环境保护目标，故未监测保护目标声环境质量现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4、地下水、土壤环境质量现状</w:t>
            </w:r>
          </w:p>
          <w:p>
            <w:pPr>
              <w:bidi w:val="0"/>
              <w:rPr>
                <w:rFonts w:hint="default" w:ascii="Times New Roman" w:hAnsi="Times New Roman" w:cs="Times New Roman"/>
                <w:color w:val="auto"/>
              </w:rPr>
            </w:pPr>
            <w:r>
              <w:rPr>
                <w:rFonts w:hint="default" w:ascii="Times New Roman" w:hAnsi="Times New Roman" w:cs="Times New Roman"/>
                <w:color w:val="auto"/>
              </w:rPr>
              <w:t>根据《建设项目环境影响报告表编制技术指南（污染影响类）》（试行），地下水、土壤原则上不开展环境质量现状调查。建设项目存在土壤、地下水环境污染途径的，应结合污染源、保护目标分布情况开展现状调查以留作背景值。</w:t>
            </w:r>
          </w:p>
          <w:p>
            <w:pPr>
              <w:bidi w:val="0"/>
              <w:rPr>
                <w:rFonts w:hint="default" w:ascii="Times New Roman" w:hAnsi="Times New Roman" w:cs="Times New Roman"/>
                <w:b/>
                <w:color w:val="auto"/>
                <w:sz w:val="21"/>
                <w:szCs w:val="21"/>
                <w:highlight w:val="none"/>
              </w:rPr>
            </w:pPr>
            <w:r>
              <w:rPr>
                <w:rFonts w:hint="default" w:ascii="Times New Roman" w:hAnsi="Times New Roman" w:cs="Times New Roman"/>
                <w:color w:val="auto"/>
                <w:highlight w:val="none"/>
              </w:rPr>
              <w:t>本</w:t>
            </w:r>
            <w:r>
              <w:rPr>
                <w:rFonts w:hint="eastAsia" w:cs="Times New Roman"/>
                <w:color w:val="auto"/>
                <w:highlight w:val="none"/>
                <w:lang w:eastAsia="zh-CN"/>
              </w:rPr>
              <w:t>项目租用</w:t>
            </w:r>
            <w:r>
              <w:rPr>
                <w:rFonts w:hint="default" w:ascii="Times New Roman" w:hAnsi="Times New Roman" w:cs="Times New Roman"/>
                <w:color w:val="auto"/>
                <w:highlight w:val="none"/>
              </w:rPr>
              <w:t>现有厂房内进行建设，生产车间内已硬化，</w:t>
            </w:r>
            <w:r>
              <w:rPr>
                <w:rFonts w:hint="default" w:ascii="Times New Roman" w:hAnsi="Times New Roman" w:cs="Times New Roman"/>
                <w:color w:val="auto"/>
                <w:highlight w:val="none"/>
                <w:lang w:eastAsia="zh-CN"/>
              </w:rPr>
              <w:t>本项目生产过程产生的有机废气经设置1套“UV光催化氧化+活性炭吸附”装置处理后经15m高排气筒排放；项目无生产废水产生，生活污水经自建1套地埋式A/O一体化污水处理设施处理后，</w:t>
            </w:r>
            <w:r>
              <w:rPr>
                <w:rFonts w:hint="eastAsia" w:cs="Times New Roman"/>
                <w:b w:val="0"/>
                <w:bCs w:val="0"/>
                <w:color w:val="auto"/>
                <w:sz w:val="21"/>
                <w:szCs w:val="21"/>
                <w:highlight w:val="none"/>
                <w:u w:val="none"/>
                <w:lang w:eastAsia="zh-CN"/>
              </w:rPr>
              <w:t>通过污水管网排入新乡市小尚庄污水处理厂进行进一步处理后。待后期区域规划的新乡市凤泉区污水处理厂建成后排入新乡市凤泉区污水处理厂处理</w:t>
            </w:r>
            <w:r>
              <w:rPr>
                <w:rFonts w:hint="default" w:ascii="Times New Roman" w:hAnsi="Times New Roman" w:cs="Times New Roman"/>
                <w:color w:val="auto"/>
                <w:highlight w:val="none"/>
                <w:lang w:eastAsia="zh-CN"/>
              </w:rPr>
              <w:t>；一般固废经设置的一般固废暂存间暂存后定期外售处理，危险废物经设置的危险固废暂存间暂存后定期交由有资质的单位安全处置。项目</w:t>
            </w:r>
            <w:r>
              <w:rPr>
                <w:rFonts w:hint="default" w:ascii="Times New Roman" w:hAnsi="Times New Roman" w:cs="Times New Roman"/>
                <w:color w:val="auto"/>
                <w:highlight w:val="none"/>
              </w:rPr>
              <w:t>不存在地下水、土壤污染途径，因此本次评价不再进行地下水、土壤质量现状调查。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b/>
                <w:color w:val="auto"/>
                <w:sz w:val="21"/>
                <w:szCs w:val="21"/>
                <w:highlight w:val="none"/>
              </w:rPr>
            </w:pPr>
            <w:r>
              <w:rPr>
                <w:rFonts w:hint="eastAsia" w:cs="Times New Roman"/>
                <w:b/>
                <w:color w:val="auto"/>
                <w:sz w:val="21"/>
                <w:szCs w:val="21"/>
                <w:highlight w:val="none"/>
                <w:lang w:val="en-US" w:eastAsia="zh-CN"/>
              </w:rPr>
              <w:t>5</w:t>
            </w:r>
            <w:r>
              <w:rPr>
                <w:rFonts w:hint="default" w:ascii="Times New Roman" w:hAnsi="Times New Roman" w:cs="Times New Roman"/>
                <w:b/>
                <w:color w:val="auto"/>
                <w:sz w:val="21"/>
                <w:szCs w:val="21"/>
                <w:highlight w:val="none"/>
              </w:rPr>
              <w:t>、生态环境质量现状</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根据调查，评价区域内生态环境主要以人工生态环境为主，主要植被为人工栽培的树木以及农作物，区域内无珍稀野生植被和野生动物。</w:t>
            </w:r>
          </w:p>
          <w:p>
            <w:pPr>
              <w:pStyle w:val="11"/>
              <w:rPr>
                <w:rFonts w:hint="default"/>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保护</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green"/>
              </w:rPr>
            </w:pPr>
            <w:r>
              <w:rPr>
                <w:rFonts w:hint="default" w:ascii="Times New Roman" w:hAnsi="Times New Roman" w:cs="Times New Roman"/>
                <w:color w:val="auto"/>
                <w:kern w:val="0"/>
                <w:szCs w:val="21"/>
                <w:highlight w:val="none"/>
              </w:rPr>
              <w:t>目标</w:t>
            </w:r>
          </w:p>
        </w:tc>
        <w:tc>
          <w:tcPr>
            <w:tcW w:w="819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项目租赁</w:t>
            </w:r>
            <w:r>
              <w:rPr>
                <w:rFonts w:hint="eastAsia" w:ascii="Times New Roman" w:hAnsi="Times New Roman" w:cs="Times New Roman"/>
                <w:bCs/>
                <w:color w:val="auto"/>
                <w:kern w:val="0"/>
                <w:sz w:val="21"/>
                <w:szCs w:val="21"/>
                <w:highlight w:val="none"/>
                <w:lang w:val="en-US" w:eastAsia="zh-CN"/>
              </w:rPr>
              <w:t>新乡市</w:t>
            </w:r>
            <w:r>
              <w:rPr>
                <w:rFonts w:hint="eastAsia" w:cs="Times New Roman"/>
                <w:bCs/>
                <w:color w:val="auto"/>
                <w:kern w:val="0"/>
                <w:sz w:val="21"/>
                <w:szCs w:val="21"/>
                <w:highlight w:val="none"/>
                <w:lang w:val="en-US" w:eastAsia="zh-CN"/>
              </w:rPr>
              <w:t>凤泉湖实业有限公司建设的标准化厂房一层区域进行</w:t>
            </w:r>
            <w:r>
              <w:rPr>
                <w:rFonts w:hint="default" w:ascii="Times New Roman" w:hAnsi="Times New Roman" w:cs="Times New Roman"/>
                <w:color w:val="auto"/>
                <w:kern w:val="0"/>
                <w:szCs w:val="21"/>
                <w:highlight w:val="none"/>
              </w:rPr>
              <w:t>建设，租赁协议见附件三。根据现场勘查，项目</w:t>
            </w:r>
            <w:r>
              <w:rPr>
                <w:rFonts w:hint="eastAsia" w:cs="Times New Roman"/>
                <w:color w:val="auto"/>
                <w:kern w:val="0"/>
                <w:szCs w:val="21"/>
                <w:highlight w:val="none"/>
                <w:lang w:eastAsia="zh-CN"/>
              </w:rPr>
              <w:t>所在车间</w:t>
            </w:r>
            <w:r>
              <w:rPr>
                <w:rFonts w:hint="default" w:ascii="Times New Roman" w:hAnsi="Times New Roman" w:cs="Times New Roman"/>
                <w:color w:val="auto"/>
                <w:kern w:val="0"/>
                <w:szCs w:val="21"/>
                <w:highlight w:val="none"/>
              </w:rPr>
              <w:t>北侧为</w:t>
            </w:r>
            <w:r>
              <w:rPr>
                <w:rFonts w:hint="eastAsia" w:cs="Times New Roman"/>
                <w:color w:val="auto"/>
                <w:kern w:val="0"/>
                <w:szCs w:val="21"/>
                <w:highlight w:val="none"/>
                <w:lang w:eastAsia="zh-CN"/>
              </w:rPr>
              <w:t>新乡市艾洁净化科技有限公司、新乡市凤泉区人民法院</w:t>
            </w:r>
            <w:r>
              <w:rPr>
                <w:rFonts w:hint="default" w:ascii="Times New Roman" w:hAnsi="Times New Roman" w:cs="Times New Roman"/>
                <w:color w:val="auto"/>
                <w:kern w:val="0"/>
                <w:szCs w:val="21"/>
                <w:highlight w:val="none"/>
              </w:rPr>
              <w:t>；</w:t>
            </w:r>
            <w:r>
              <w:rPr>
                <w:rFonts w:hint="eastAsia" w:cs="Times New Roman"/>
                <w:color w:val="auto"/>
                <w:kern w:val="0"/>
                <w:szCs w:val="21"/>
                <w:highlight w:val="none"/>
                <w:lang w:eastAsia="zh-CN"/>
              </w:rPr>
              <w:t>西</w:t>
            </w:r>
            <w:r>
              <w:rPr>
                <w:rFonts w:hint="default" w:ascii="Times New Roman" w:hAnsi="Times New Roman" w:cs="Times New Roman"/>
                <w:color w:val="auto"/>
                <w:kern w:val="0"/>
                <w:szCs w:val="21"/>
                <w:highlight w:val="none"/>
              </w:rPr>
              <w:t>侧为</w:t>
            </w:r>
            <w:r>
              <w:rPr>
                <w:rFonts w:hint="eastAsia" w:cs="Times New Roman"/>
                <w:color w:val="auto"/>
                <w:kern w:val="0"/>
                <w:szCs w:val="21"/>
                <w:highlight w:val="none"/>
                <w:lang w:eastAsia="zh-CN"/>
              </w:rPr>
              <w:t>新乡市艾洁净化科技有限公司和新乡市鸿鹄电子科技有限公司部分厂房、</w:t>
            </w:r>
            <w:r>
              <w:rPr>
                <w:rFonts w:hint="default" w:ascii="Times New Roman" w:hAnsi="Times New Roman" w:cs="Times New Roman"/>
                <w:color w:val="auto"/>
                <w:kern w:val="0"/>
                <w:szCs w:val="21"/>
                <w:highlight w:val="none"/>
              </w:rPr>
              <w:t>新乡市诚德能源科技装备有限公司；</w:t>
            </w:r>
            <w:r>
              <w:rPr>
                <w:rFonts w:hint="eastAsia" w:cs="Times New Roman"/>
                <w:color w:val="auto"/>
                <w:kern w:val="0"/>
                <w:szCs w:val="21"/>
                <w:highlight w:val="none"/>
                <w:lang w:eastAsia="zh-CN"/>
              </w:rPr>
              <w:t>南侧为新乡市华之源生物技术有限公司；东侧为农田</w:t>
            </w:r>
            <w:r>
              <w:rPr>
                <w:rFonts w:hint="default" w:ascii="Times New Roman" w:hAnsi="Times New Roman" w:cs="Times New Roman"/>
                <w:color w:val="auto"/>
                <w:kern w:val="0"/>
                <w:szCs w:val="21"/>
                <w:highlight w:val="none"/>
              </w:rPr>
              <w:t>。距离项目最近的环境敏感点为</w:t>
            </w:r>
            <w:r>
              <w:rPr>
                <w:rFonts w:hint="eastAsia" w:cs="Times New Roman"/>
                <w:color w:val="auto"/>
                <w:kern w:val="0"/>
                <w:szCs w:val="21"/>
                <w:highlight w:val="none"/>
                <w:lang w:eastAsia="zh-CN"/>
              </w:rPr>
              <w:t>北侧</w:t>
            </w:r>
            <w:r>
              <w:rPr>
                <w:rFonts w:hint="eastAsia" w:cs="Times New Roman"/>
                <w:color w:val="auto"/>
                <w:kern w:val="0"/>
                <w:szCs w:val="21"/>
                <w:highlight w:val="none"/>
                <w:lang w:val="en-US" w:eastAsia="zh-CN"/>
              </w:rPr>
              <w:t>55m处</w:t>
            </w:r>
            <w:r>
              <w:rPr>
                <w:rFonts w:hint="eastAsia" w:cs="Times New Roman"/>
                <w:color w:val="auto"/>
                <w:kern w:val="0"/>
                <w:szCs w:val="21"/>
                <w:highlight w:val="none"/>
                <w:lang w:eastAsia="zh-CN"/>
              </w:rPr>
              <w:t>新乡市凤泉区人民法院，距离项目最近居民点为北侧</w:t>
            </w:r>
            <w:r>
              <w:rPr>
                <w:rFonts w:hint="eastAsia" w:cs="Times New Roman"/>
                <w:color w:val="auto"/>
                <w:kern w:val="0"/>
                <w:szCs w:val="21"/>
                <w:highlight w:val="none"/>
                <w:lang w:val="en-US" w:eastAsia="zh-CN"/>
              </w:rPr>
              <w:t>93</w:t>
            </w:r>
            <w:r>
              <w:rPr>
                <w:rFonts w:hint="default" w:ascii="Times New Roman" w:hAnsi="Times New Roman" w:cs="Times New Roman"/>
                <w:color w:val="auto"/>
                <w:kern w:val="0"/>
                <w:szCs w:val="21"/>
                <w:highlight w:val="none"/>
              </w:rPr>
              <w:t>m的</w:t>
            </w:r>
            <w:r>
              <w:rPr>
                <w:rFonts w:hint="eastAsia" w:cs="Times New Roman"/>
                <w:color w:val="auto"/>
                <w:kern w:val="0"/>
                <w:szCs w:val="21"/>
                <w:highlight w:val="none"/>
                <w:lang w:eastAsia="zh-CN"/>
              </w:rPr>
              <w:t>东张门村</w:t>
            </w:r>
            <w:r>
              <w:rPr>
                <w:rFonts w:hint="default" w:ascii="Times New Roman" w:hAnsi="Times New Roman" w:cs="Times New Roman"/>
                <w:color w:val="auto"/>
                <w:kern w:val="0"/>
                <w:szCs w:val="21"/>
                <w:highlight w:val="none"/>
              </w:rPr>
              <w:t>，距离项目最近的地表水体为</w:t>
            </w:r>
            <w:r>
              <w:rPr>
                <w:rFonts w:hint="eastAsia" w:cs="Times New Roman"/>
                <w:color w:val="auto"/>
                <w:kern w:val="0"/>
                <w:szCs w:val="21"/>
                <w:highlight w:val="none"/>
                <w:lang w:eastAsia="zh-CN"/>
              </w:rPr>
              <w:t>西南</w:t>
            </w:r>
            <w:r>
              <w:rPr>
                <w:rFonts w:hint="eastAsia" w:cs="Times New Roman"/>
                <w:color w:val="auto"/>
                <w:kern w:val="0"/>
                <w:szCs w:val="21"/>
                <w:highlight w:val="none"/>
                <w:lang w:val="en-US" w:eastAsia="zh-CN"/>
              </w:rPr>
              <w:t>1640</w:t>
            </w:r>
            <w:r>
              <w:rPr>
                <w:rFonts w:hint="default" w:ascii="Times New Roman" w:hAnsi="Times New Roman" w:cs="Times New Roman"/>
                <w:color w:val="auto"/>
                <w:kern w:val="0"/>
                <w:szCs w:val="21"/>
                <w:highlight w:val="none"/>
              </w:rPr>
              <w:t>m处的</w:t>
            </w:r>
            <w:r>
              <w:rPr>
                <w:rFonts w:hint="eastAsia" w:cs="Times New Roman"/>
                <w:color w:val="auto"/>
                <w:kern w:val="0"/>
                <w:szCs w:val="21"/>
                <w:highlight w:val="none"/>
                <w:lang w:eastAsia="zh-CN"/>
              </w:rPr>
              <w:t>民生渠</w:t>
            </w:r>
            <w:r>
              <w:rPr>
                <w:rFonts w:hint="default" w:ascii="Times New Roman" w:hAnsi="Times New Roman" w:cs="Times New Roman"/>
                <w:color w:val="auto"/>
                <w:kern w:val="0"/>
                <w:szCs w:val="21"/>
                <w:highlight w:val="none"/>
              </w:rPr>
              <w:t>。</w:t>
            </w:r>
            <w:r>
              <w:rPr>
                <w:rFonts w:hint="default" w:ascii="Times New Roman" w:hAnsi="Times New Roman" w:eastAsia="宋体" w:cs="Times New Roman"/>
                <w:color w:val="auto"/>
                <w:kern w:val="0"/>
                <w:szCs w:val="21"/>
                <w:highlight w:val="none"/>
                <w:lang w:eastAsia="zh-CN"/>
              </w:rPr>
              <w:t>项目周边环境</w:t>
            </w:r>
            <w:r>
              <w:rPr>
                <w:rFonts w:hint="default" w:ascii="Times New Roman" w:hAnsi="Times New Roman" w:cs="Times New Roman"/>
                <w:color w:val="auto"/>
                <w:kern w:val="0"/>
                <w:szCs w:val="21"/>
                <w:highlight w:val="none"/>
                <w:lang w:eastAsia="zh-CN"/>
              </w:rPr>
              <w:t>详见附图二。</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根据现场调查，拟建项目环境保护目标详见</w:t>
            </w:r>
            <w:r>
              <w:rPr>
                <w:rFonts w:hint="default" w:ascii="Times New Roman" w:hAnsi="Times New Roman" w:cs="Times New Roman"/>
                <w:bCs/>
                <w:color w:val="auto"/>
                <w:kern w:val="0"/>
                <w:szCs w:val="21"/>
                <w:highlight w:val="none"/>
                <w:lang w:eastAsia="zh-CN"/>
              </w:rPr>
              <w:t>下表</w:t>
            </w:r>
            <w:r>
              <w:rPr>
                <w:rFonts w:hint="default" w:ascii="Times New Roman" w:hAnsi="Times New Roman" w:cs="Times New Roman"/>
                <w:bCs/>
                <w:color w:val="auto"/>
                <w:kern w:val="0"/>
                <w:szCs w:val="21"/>
                <w:highlight w:val="none"/>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项目主要环境保护目标一览表</w:t>
            </w:r>
          </w:p>
          <w:tbl>
            <w:tblPr>
              <w:tblStyle w:val="21"/>
              <w:tblW w:w="5000" w:type="pct"/>
              <w:jc w:val="center"/>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2390"/>
              <w:gridCol w:w="3"/>
              <w:gridCol w:w="940"/>
              <w:gridCol w:w="1070"/>
              <w:gridCol w:w="2370"/>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noWrap w:val="0"/>
                  <w:vAlign w:val="center"/>
                </w:tcPr>
                <w:p>
                  <w:pPr>
                    <w:pStyle w:val="36"/>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环境要素</w:t>
                  </w:r>
                </w:p>
              </w:tc>
              <w:tc>
                <w:tcPr>
                  <w:tcW w:w="1498" w:type="pct"/>
                  <w:noWrap w:val="0"/>
                  <w:vAlign w:val="center"/>
                </w:tcPr>
                <w:p>
                  <w:pPr>
                    <w:pStyle w:val="36"/>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环境保护对象名称</w:t>
                  </w:r>
                </w:p>
              </w:tc>
              <w:tc>
                <w:tcPr>
                  <w:tcW w:w="591" w:type="pct"/>
                  <w:gridSpan w:val="2"/>
                  <w:noWrap w:val="0"/>
                  <w:vAlign w:val="center"/>
                </w:tcPr>
                <w:p>
                  <w:pPr>
                    <w:pStyle w:val="36"/>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方位</w:t>
                  </w:r>
                </w:p>
              </w:tc>
              <w:tc>
                <w:tcPr>
                  <w:tcW w:w="670" w:type="pct"/>
                  <w:noWrap w:val="0"/>
                  <w:vAlign w:val="center"/>
                </w:tcPr>
                <w:p>
                  <w:pPr>
                    <w:pStyle w:val="36"/>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距离（m）</w:t>
                  </w:r>
                </w:p>
              </w:tc>
              <w:tc>
                <w:tcPr>
                  <w:tcW w:w="1486" w:type="pct"/>
                  <w:noWrap w:val="0"/>
                  <w:vAlign w:val="center"/>
                </w:tcPr>
                <w:p>
                  <w:pPr>
                    <w:pStyle w:val="36"/>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保护目标及保护等级</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noWrap w:val="0"/>
                  <w:vAlign w:val="center"/>
                </w:tcPr>
                <w:p>
                  <w:pPr>
                    <w:pStyle w:val="36"/>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环境空气</w:t>
                  </w:r>
                </w:p>
              </w:tc>
              <w:tc>
                <w:tcPr>
                  <w:tcW w:w="1500" w:type="pct"/>
                  <w:gridSpan w:val="2"/>
                  <w:noWrap w:val="0"/>
                  <w:vAlign w:val="center"/>
                </w:tcPr>
                <w:p>
                  <w:pPr>
                    <w:pStyle w:val="36"/>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新乡市凤泉区人民法院</w:t>
                  </w:r>
                </w:p>
              </w:tc>
              <w:tc>
                <w:tcPr>
                  <w:tcW w:w="589" w:type="pct"/>
                  <w:noWrap w:val="0"/>
                  <w:vAlign w:val="center"/>
                </w:tcPr>
                <w:p>
                  <w:pPr>
                    <w:pStyle w:val="36"/>
                    <w:keepNext w:val="0"/>
                    <w:pageBreakBefore w:val="0"/>
                    <w:kinsoku/>
                    <w:wordWrap/>
                    <w:overflowPunct/>
                    <w:topLinePunct w:val="0"/>
                    <w:autoSpaceDE/>
                    <w:autoSpaceDN/>
                    <w:bidi w:val="0"/>
                    <w:adjustRightInd/>
                    <w:snapToGrid/>
                    <w:spacing w:line="320" w:lineRule="exact"/>
                    <w:ind w:left="0" w:leftChars="0" w:right="0" w:rightChars="0" w:firstLine="0" w:firstLineChars="0"/>
                    <w:textAlignment w:val="auto"/>
                    <w:rPr>
                      <w:rFonts w:hint="default" w:ascii="Times New Roman" w:hAnsi="Times New Roman" w:eastAsia="宋体" w:cs="Times New Roman"/>
                      <w:b w:val="0"/>
                      <w:bCs w:val="0"/>
                      <w:color w:val="auto"/>
                      <w:sz w:val="18"/>
                      <w:szCs w:val="18"/>
                      <w:highlight w:val="none"/>
                      <w:u w:val="none"/>
                      <w:lang w:val="en-US" w:eastAsia="zh-CN"/>
                    </w:rPr>
                  </w:pPr>
                  <w:r>
                    <w:rPr>
                      <w:rFonts w:hint="eastAsia" w:cs="Times New Roman"/>
                      <w:b w:val="0"/>
                      <w:bCs w:val="0"/>
                      <w:color w:val="auto"/>
                      <w:sz w:val="18"/>
                      <w:szCs w:val="18"/>
                      <w:highlight w:val="none"/>
                      <w:u w:val="none"/>
                      <w:lang w:val="en-US" w:eastAsia="zh-CN"/>
                    </w:rPr>
                    <w:t>N</w:t>
                  </w:r>
                </w:p>
              </w:tc>
              <w:tc>
                <w:tcPr>
                  <w:tcW w:w="670" w:type="pct"/>
                  <w:noWrap w:val="0"/>
                  <w:vAlign w:val="center"/>
                </w:tcPr>
                <w:p>
                  <w:pPr>
                    <w:pStyle w:val="36"/>
                    <w:keepNext w:val="0"/>
                    <w:pageBreakBefore w:val="0"/>
                    <w:kinsoku/>
                    <w:wordWrap/>
                    <w:overflowPunct/>
                    <w:topLinePunct w:val="0"/>
                    <w:autoSpaceDE/>
                    <w:autoSpaceDN/>
                    <w:bidi w:val="0"/>
                    <w:adjustRightInd/>
                    <w:snapToGrid/>
                    <w:spacing w:line="320" w:lineRule="exact"/>
                    <w:ind w:left="0" w:leftChars="0" w:right="0" w:rightChars="0" w:firstLine="0" w:firstLineChars="0"/>
                    <w:textAlignment w:val="auto"/>
                    <w:rPr>
                      <w:rFonts w:hint="default" w:ascii="Times New Roman" w:hAnsi="Times New Roman" w:eastAsia="宋体" w:cs="Times New Roman"/>
                      <w:b w:val="0"/>
                      <w:bCs w:val="0"/>
                      <w:color w:val="auto"/>
                      <w:sz w:val="18"/>
                      <w:szCs w:val="18"/>
                      <w:highlight w:val="none"/>
                      <w:u w:val="none"/>
                      <w:lang w:val="en-US" w:eastAsia="zh-CN"/>
                    </w:rPr>
                  </w:pPr>
                  <w:r>
                    <w:rPr>
                      <w:rFonts w:hint="eastAsia" w:cs="Times New Roman"/>
                      <w:b w:val="0"/>
                      <w:bCs w:val="0"/>
                      <w:color w:val="auto"/>
                      <w:sz w:val="18"/>
                      <w:szCs w:val="18"/>
                      <w:highlight w:val="none"/>
                      <w:u w:val="none"/>
                      <w:lang w:val="en-US" w:eastAsia="zh-CN"/>
                    </w:rPr>
                    <w:t>55</w:t>
                  </w:r>
                </w:p>
              </w:tc>
              <w:tc>
                <w:tcPr>
                  <w:tcW w:w="1486" w:type="pct"/>
                  <w:noWrap w:val="0"/>
                  <w:vAlign w:val="center"/>
                </w:tcPr>
                <w:p>
                  <w:pPr>
                    <w:pStyle w:val="36"/>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rPr>
                    <w:t>《环境空气质量标准》（GB3095-2012） 二级</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noWrap w:val="0"/>
                  <w:vAlign w:val="center"/>
                </w:tcPr>
                <w:p>
                  <w:pPr>
                    <w:pStyle w:val="36"/>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声环境</w:t>
                  </w:r>
                </w:p>
              </w:tc>
              <w:tc>
                <w:tcPr>
                  <w:tcW w:w="2760" w:type="pct"/>
                  <w:gridSpan w:val="4"/>
                  <w:noWrap w:val="0"/>
                  <w:vAlign w:val="center"/>
                </w:tcPr>
                <w:p>
                  <w:pPr>
                    <w:pStyle w:val="36"/>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eastAsia="宋体" w:cs="Times New Roman"/>
                      <w:b w:val="0"/>
                      <w:bCs w:val="0"/>
                      <w:color w:val="auto"/>
                      <w:sz w:val="18"/>
                      <w:szCs w:val="18"/>
                      <w:highlight w:val="none"/>
                      <w:u w:val="none"/>
                      <w:lang w:val="en-US" w:eastAsia="zh-CN"/>
                    </w:rPr>
                  </w:pPr>
                  <w:r>
                    <w:rPr>
                      <w:rFonts w:hint="eastAsia" w:cs="Times New Roman"/>
                      <w:b w:val="0"/>
                      <w:bCs w:val="0"/>
                      <w:color w:val="auto"/>
                      <w:sz w:val="18"/>
                      <w:szCs w:val="18"/>
                      <w:highlight w:val="none"/>
                      <w:u w:val="none"/>
                      <w:lang w:val="en-US" w:eastAsia="zh-CN"/>
                    </w:rPr>
                    <w:t>50m范围内无环境敏感点</w:t>
                  </w:r>
                </w:p>
              </w:tc>
              <w:tc>
                <w:tcPr>
                  <w:tcW w:w="1486" w:type="pct"/>
                  <w:noWrap w:val="0"/>
                  <w:vAlign w:val="center"/>
                </w:tcPr>
                <w:p>
                  <w:pPr>
                    <w:pStyle w:val="36"/>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《声环境质量标准》（GB3096-2008）</w:t>
                  </w:r>
                  <w:r>
                    <w:rPr>
                      <w:rFonts w:hint="default" w:ascii="Times New Roman" w:hAnsi="Times New Roman" w:cs="Times New Roman"/>
                      <w:color w:val="auto"/>
                      <w:sz w:val="18"/>
                      <w:szCs w:val="18"/>
                      <w:highlight w:val="none"/>
                      <w:lang w:val="en-US" w:eastAsia="zh-CN"/>
                    </w:rPr>
                    <w:t>2</w:t>
                  </w:r>
                  <w:r>
                    <w:rPr>
                      <w:rFonts w:hint="default" w:ascii="Times New Roman" w:hAnsi="Times New Roman" w:cs="Times New Roman"/>
                      <w:color w:val="auto"/>
                      <w:sz w:val="18"/>
                      <w:szCs w:val="18"/>
                      <w:highlight w:val="none"/>
                    </w:rPr>
                    <w:t>类标准</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noWrap w:val="0"/>
                  <w:vAlign w:val="center"/>
                </w:tcPr>
                <w:p>
                  <w:pPr>
                    <w:pStyle w:val="36"/>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地表水</w:t>
                  </w:r>
                  <w:r>
                    <w:rPr>
                      <w:rFonts w:hint="default" w:ascii="Times New Roman" w:hAnsi="Times New Roman" w:cs="Times New Roman"/>
                      <w:color w:val="auto"/>
                      <w:sz w:val="18"/>
                      <w:szCs w:val="18"/>
                      <w:highlight w:val="none"/>
                      <w:lang w:eastAsia="zh-CN"/>
                    </w:rPr>
                    <w:t>环境</w:t>
                  </w:r>
                </w:p>
              </w:tc>
              <w:tc>
                <w:tcPr>
                  <w:tcW w:w="149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民生渠</w:t>
                  </w:r>
                </w:p>
              </w:tc>
              <w:tc>
                <w:tcPr>
                  <w:tcW w:w="59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SW</w:t>
                  </w:r>
                </w:p>
              </w:tc>
              <w:tc>
                <w:tcPr>
                  <w:tcW w:w="67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1640</w:t>
                  </w:r>
                </w:p>
              </w:tc>
              <w:tc>
                <w:tcPr>
                  <w:tcW w:w="1486" w:type="pct"/>
                  <w:noWrap w:val="0"/>
                  <w:vAlign w:val="center"/>
                </w:tcPr>
                <w:p>
                  <w:pPr>
                    <w:pStyle w:val="36"/>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《地表水环境质量准》</w:t>
                  </w:r>
                </w:p>
                <w:p>
                  <w:pPr>
                    <w:pStyle w:val="36"/>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（GB3838-2002）</w:t>
                  </w:r>
                  <w:r>
                    <w:rPr>
                      <w:rFonts w:hint="default" w:ascii="Times New Roman" w:hAnsi="Times New Roman" w:cs="Times New Roman"/>
                      <w:b w:val="0"/>
                      <w:bCs w:val="0"/>
                      <w:color w:val="auto"/>
                      <w:sz w:val="18"/>
                      <w:szCs w:val="18"/>
                      <w:highlight w:val="none"/>
                      <w:u w:val="none"/>
                      <w:lang w:eastAsia="zh-CN"/>
                    </w:rPr>
                    <w:t>Ⅳ</w:t>
                  </w:r>
                  <w:r>
                    <w:rPr>
                      <w:rFonts w:hint="default" w:ascii="Times New Roman" w:hAnsi="Times New Roman" w:cs="Times New Roman"/>
                      <w:color w:val="auto"/>
                      <w:sz w:val="18"/>
                      <w:szCs w:val="18"/>
                      <w:highlight w:val="none"/>
                    </w:rPr>
                    <w:t>类</w:t>
                  </w:r>
                </w:p>
              </w:tc>
            </w:tr>
          </w:tbl>
          <w:p>
            <w:pPr>
              <w:autoSpaceDE w:val="0"/>
              <w:autoSpaceDN w:val="0"/>
              <w:adjustRightInd w:val="0"/>
              <w:snapToGrid w:val="0"/>
              <w:spacing w:line="400" w:lineRule="exact"/>
              <w:rPr>
                <w:rFonts w:hint="default" w:ascii="Times New Roman" w:hAnsi="Times New Roman" w:eastAsia="宋体" w:cs="Times New Roman"/>
                <w:color w:val="auto"/>
                <w:kern w:val="0"/>
                <w:szCs w:val="21"/>
                <w:highlight w:val="green"/>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污染</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物排</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放控</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制标</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准</w:t>
            </w:r>
          </w:p>
        </w:tc>
        <w:tc>
          <w:tcPr>
            <w:tcW w:w="8190" w:type="dxa"/>
            <w:noWrap w:val="0"/>
            <w:vAlign w:val="center"/>
          </w:tcPr>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2563"/>
              <w:gridCol w:w="1142"/>
              <w:gridCol w:w="1024"/>
              <w:gridCol w:w="240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jc w:val="center"/>
              </w:trPr>
              <w:tc>
                <w:tcPr>
                  <w:tcW w:w="526"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b w:val="0"/>
                      <w:bCs w:val="0"/>
                      <w:color w:val="auto"/>
                      <w:sz w:val="18"/>
                      <w:szCs w:val="18"/>
                      <w:highlight w:val="none"/>
                      <w:lang w:eastAsia="zh-CN"/>
                    </w:rPr>
                  </w:pPr>
                  <w:r>
                    <w:rPr>
                      <w:rFonts w:hint="eastAsia"/>
                      <w:b w:val="0"/>
                      <w:bCs w:val="0"/>
                      <w:color w:val="auto"/>
                      <w:sz w:val="18"/>
                      <w:szCs w:val="18"/>
                      <w:highlight w:val="none"/>
                      <w:lang w:eastAsia="zh-CN"/>
                    </w:rPr>
                    <w:t>类别</w:t>
                  </w:r>
                </w:p>
              </w:tc>
              <w:tc>
                <w:tcPr>
                  <w:tcW w:w="1607"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b w:val="0"/>
                      <w:bCs w:val="0"/>
                      <w:color w:val="auto"/>
                      <w:sz w:val="18"/>
                      <w:szCs w:val="18"/>
                      <w:highlight w:val="none"/>
                    </w:rPr>
                    <w:t>标准名称</w:t>
                  </w:r>
                </w:p>
              </w:tc>
              <w:tc>
                <w:tcPr>
                  <w:tcW w:w="1358"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b w:val="0"/>
                      <w:bCs w:val="0"/>
                      <w:color w:val="auto"/>
                      <w:sz w:val="18"/>
                      <w:szCs w:val="18"/>
                      <w:highlight w:val="none"/>
                    </w:rPr>
                    <w:t>污染因子</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b w:val="0"/>
                      <w:bCs w:val="0"/>
                      <w:color w:val="auto"/>
                      <w:sz w:val="18"/>
                      <w:szCs w:val="18"/>
                      <w:highlight w:val="none"/>
                    </w:rPr>
                    <w:t>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rFonts w:hint="eastAsia"/>
                      <w:b w:val="0"/>
                      <w:bCs w:val="0"/>
                      <w:color w:val="auto"/>
                      <w:sz w:val="18"/>
                      <w:szCs w:val="18"/>
                      <w:highlight w:val="none"/>
                    </w:rPr>
                    <w:t>废气</w:t>
                  </w:r>
                </w:p>
              </w:tc>
              <w:tc>
                <w:tcPr>
                  <w:tcW w:w="1607"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rFonts w:hint="eastAsia"/>
                      <w:b w:val="0"/>
                      <w:bCs w:val="0"/>
                      <w:color w:val="auto"/>
                      <w:sz w:val="18"/>
                      <w:szCs w:val="18"/>
                      <w:highlight w:val="none"/>
                    </w:rPr>
                    <w:t>《电池工业污染物排放标准》（</w:t>
                  </w:r>
                  <w:r>
                    <w:rPr>
                      <w:b w:val="0"/>
                      <w:bCs w:val="0"/>
                      <w:color w:val="auto"/>
                      <w:sz w:val="18"/>
                      <w:szCs w:val="18"/>
                      <w:highlight w:val="none"/>
                    </w:rPr>
                    <w:t>GB30484</w:t>
                  </w:r>
                  <w:r>
                    <w:rPr>
                      <w:rFonts w:hint="eastAsia"/>
                      <w:b w:val="0"/>
                      <w:bCs w:val="0"/>
                      <w:color w:val="auto"/>
                      <w:sz w:val="18"/>
                      <w:szCs w:val="18"/>
                      <w:highlight w:val="none"/>
                    </w:rPr>
                    <w:t>-</w:t>
                  </w:r>
                  <w:r>
                    <w:rPr>
                      <w:b w:val="0"/>
                      <w:bCs w:val="0"/>
                      <w:color w:val="auto"/>
                      <w:sz w:val="18"/>
                      <w:szCs w:val="18"/>
                      <w:highlight w:val="none"/>
                    </w:rPr>
                    <w:t>2013</w:t>
                  </w:r>
                  <w:r>
                    <w:rPr>
                      <w:rFonts w:hint="eastAsia"/>
                      <w:b w:val="0"/>
                      <w:bCs w:val="0"/>
                      <w:color w:val="auto"/>
                      <w:sz w:val="18"/>
                      <w:szCs w:val="18"/>
                      <w:highlight w:val="none"/>
                    </w:rPr>
                    <w:t>）</w:t>
                  </w:r>
                </w:p>
              </w:tc>
              <w:tc>
                <w:tcPr>
                  <w:tcW w:w="716"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rFonts w:hint="eastAsia"/>
                      <w:b w:val="0"/>
                      <w:bCs w:val="0"/>
                      <w:color w:val="auto"/>
                      <w:sz w:val="18"/>
                      <w:szCs w:val="18"/>
                      <w:highlight w:val="none"/>
                    </w:rPr>
                    <w:t>非甲烷总烃</w:t>
                  </w:r>
                </w:p>
              </w:tc>
              <w:tc>
                <w:tcPr>
                  <w:tcW w:w="642"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rFonts w:hint="eastAsia"/>
                      <w:b w:val="0"/>
                      <w:bCs w:val="0"/>
                      <w:color w:val="auto"/>
                      <w:sz w:val="18"/>
                      <w:szCs w:val="18"/>
                      <w:highlight w:val="none"/>
                    </w:rPr>
                    <w:t>有组织</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b w:val="0"/>
                      <w:bCs w:val="0"/>
                      <w:color w:val="auto"/>
                      <w:sz w:val="18"/>
                      <w:szCs w:val="18"/>
                      <w:highlight w:val="none"/>
                    </w:rPr>
                    <w:t>50mg/m</w:t>
                  </w:r>
                  <w:r>
                    <w:rPr>
                      <w:b w:val="0"/>
                      <w:bCs w:val="0"/>
                      <w:color w:val="auto"/>
                      <w:sz w:val="18"/>
                      <w:szCs w:val="18"/>
                      <w:highlight w:val="none"/>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60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71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642"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rFonts w:hint="eastAsia"/>
                      <w:b w:val="0"/>
                      <w:bCs w:val="0"/>
                      <w:color w:val="auto"/>
                      <w:sz w:val="18"/>
                      <w:szCs w:val="18"/>
                      <w:highlight w:val="none"/>
                    </w:rPr>
                    <w:t>无组织</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b w:val="0"/>
                      <w:bCs w:val="0"/>
                      <w:color w:val="auto"/>
                      <w:sz w:val="18"/>
                      <w:szCs w:val="18"/>
                      <w:highlight w:val="none"/>
                    </w:rPr>
                    <w:t>2</w:t>
                  </w:r>
                  <w:r>
                    <w:rPr>
                      <w:rFonts w:hint="eastAsia"/>
                      <w:b w:val="0"/>
                      <w:bCs w:val="0"/>
                      <w:color w:val="auto"/>
                      <w:sz w:val="18"/>
                      <w:szCs w:val="18"/>
                      <w:highlight w:val="none"/>
                    </w:rPr>
                    <w:t>.</w:t>
                  </w:r>
                  <w:r>
                    <w:rPr>
                      <w:b w:val="0"/>
                      <w:bCs w:val="0"/>
                      <w:color w:val="auto"/>
                      <w:sz w:val="18"/>
                      <w:szCs w:val="18"/>
                      <w:highlight w:val="none"/>
                    </w:rPr>
                    <w:t>0mg/m</w:t>
                  </w:r>
                  <w:r>
                    <w:rPr>
                      <w:b w:val="0"/>
                      <w:bCs w:val="0"/>
                      <w:color w:val="auto"/>
                      <w:sz w:val="18"/>
                      <w:szCs w:val="18"/>
                      <w:highlight w:val="none"/>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607"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rFonts w:hint="eastAsia"/>
                      <w:b w:val="0"/>
                      <w:bCs w:val="0"/>
                      <w:color w:val="auto"/>
                      <w:sz w:val="18"/>
                      <w:szCs w:val="18"/>
                      <w:highlight w:val="none"/>
                    </w:rPr>
                    <w:t>《关于全省开展工业企业挥发性有机物专项治理工作中排放建议值的通知》（豫环攻坚办[2017]162号）</w:t>
                  </w:r>
                </w:p>
              </w:tc>
              <w:tc>
                <w:tcPr>
                  <w:tcW w:w="716"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rFonts w:hint="eastAsia"/>
                      <w:b w:val="0"/>
                      <w:bCs w:val="0"/>
                      <w:color w:val="auto"/>
                      <w:sz w:val="18"/>
                      <w:szCs w:val="18"/>
                      <w:highlight w:val="none"/>
                    </w:rPr>
                    <w:t>非甲烷总烃</w:t>
                  </w:r>
                </w:p>
              </w:tc>
              <w:tc>
                <w:tcPr>
                  <w:tcW w:w="642"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b w:val="0"/>
                      <w:bCs w:val="0"/>
                      <w:color w:val="auto"/>
                      <w:sz w:val="18"/>
                      <w:szCs w:val="18"/>
                      <w:highlight w:val="none"/>
                    </w:rPr>
                  </w:pPr>
                  <w:r>
                    <w:rPr>
                      <w:rFonts w:hint="default" w:ascii="Times New Roman" w:hAnsi="Times New Roman" w:eastAsia="宋体" w:cs="Times New Roman"/>
                      <w:color w:val="auto"/>
                      <w:sz w:val="18"/>
                      <w:szCs w:val="18"/>
                      <w:highlight w:val="none"/>
                      <w:lang w:eastAsia="zh-CN"/>
                    </w:rPr>
                    <w:t>有组织</w:t>
                  </w:r>
                </w:p>
              </w:tc>
              <w:tc>
                <w:tcPr>
                  <w:tcW w:w="1508" w:type="pct"/>
                  <w:vAlign w:val="center"/>
                </w:tcPr>
                <w:p>
                  <w:pPr>
                    <w:pStyle w:val="20"/>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b w:val="0"/>
                      <w:bCs w:val="0"/>
                      <w:color w:val="auto"/>
                      <w:sz w:val="18"/>
                      <w:szCs w:val="18"/>
                      <w:highlight w:val="none"/>
                    </w:rPr>
                  </w:pPr>
                  <w:r>
                    <w:rPr>
                      <w:rFonts w:hint="eastAsia" w:cs="Times New Roman"/>
                      <w:color w:val="auto"/>
                      <w:sz w:val="18"/>
                      <w:szCs w:val="18"/>
                      <w:highlight w:val="none"/>
                      <w:vertAlign w:val="baseline"/>
                      <w:lang w:val="en-US" w:eastAsia="zh-CN"/>
                    </w:rPr>
                    <w:t>其他行业有机废气排放口8</w:t>
                  </w:r>
                  <w:r>
                    <w:rPr>
                      <w:rFonts w:hint="default" w:ascii="Times New Roman" w:hAnsi="Times New Roman" w:eastAsia="宋体" w:cs="Times New Roman"/>
                      <w:color w:val="auto"/>
                      <w:sz w:val="18"/>
                      <w:szCs w:val="18"/>
                      <w:highlight w:val="none"/>
                      <w:vertAlign w:val="baseline"/>
                      <w:lang w:val="en-US" w:eastAsia="zh-CN"/>
                    </w:rPr>
                    <w:t>0mg/m</w:t>
                  </w:r>
                  <w:r>
                    <w:rPr>
                      <w:rFonts w:hint="default"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vertAlign w:val="baseline"/>
                      <w:lang w:val="en-US" w:eastAsia="zh-CN"/>
                    </w:rPr>
                    <w:t>，去除效率≥70%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60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 w:val="0"/>
                      <w:bCs w:val="0"/>
                      <w:color w:val="auto"/>
                      <w:sz w:val="18"/>
                      <w:szCs w:val="18"/>
                      <w:highlight w:val="none"/>
                    </w:rPr>
                  </w:pPr>
                </w:p>
              </w:tc>
              <w:tc>
                <w:tcPr>
                  <w:tcW w:w="71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 w:val="0"/>
                      <w:bCs w:val="0"/>
                      <w:color w:val="auto"/>
                      <w:sz w:val="18"/>
                      <w:szCs w:val="18"/>
                      <w:highlight w:val="none"/>
                    </w:rPr>
                  </w:pPr>
                </w:p>
              </w:tc>
              <w:tc>
                <w:tcPr>
                  <w:tcW w:w="642"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b w:val="0"/>
                      <w:bCs w:val="0"/>
                      <w:color w:val="auto"/>
                      <w:sz w:val="18"/>
                      <w:szCs w:val="18"/>
                      <w:highlight w:val="none"/>
                    </w:rPr>
                  </w:pPr>
                  <w:r>
                    <w:rPr>
                      <w:rFonts w:hint="default" w:ascii="Times New Roman" w:hAnsi="Times New Roman" w:eastAsia="宋体" w:cs="Times New Roman"/>
                      <w:color w:val="auto"/>
                      <w:sz w:val="18"/>
                      <w:szCs w:val="18"/>
                      <w:highlight w:val="none"/>
                      <w:lang w:eastAsia="zh-CN"/>
                    </w:rPr>
                    <w:t>无组织</w:t>
                  </w:r>
                </w:p>
              </w:tc>
              <w:tc>
                <w:tcPr>
                  <w:tcW w:w="1508" w:type="pct"/>
                  <w:vAlign w:val="center"/>
                </w:tcPr>
                <w:p>
                  <w:pPr>
                    <w:pStyle w:val="20"/>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b w:val="0"/>
                      <w:bCs w:val="0"/>
                      <w:color w:val="auto"/>
                      <w:sz w:val="18"/>
                      <w:szCs w:val="18"/>
                      <w:highlight w:val="none"/>
                    </w:rPr>
                  </w:pPr>
                  <w:r>
                    <w:rPr>
                      <w:rFonts w:hint="default" w:ascii="Times New Roman" w:hAnsi="Times New Roman" w:eastAsia="宋体" w:cs="Times New Roman"/>
                      <w:color w:val="auto"/>
                      <w:sz w:val="18"/>
                      <w:szCs w:val="18"/>
                      <w:highlight w:val="none"/>
                      <w:vertAlign w:val="baseline"/>
                      <w:lang w:val="en-US" w:eastAsia="zh-CN"/>
                    </w:rPr>
                    <w:t>工业企业边界挥发性有机物排放建议值</w:t>
                  </w:r>
                  <w:r>
                    <w:rPr>
                      <w:rFonts w:hint="default" w:ascii="Times New Roman" w:hAnsi="Times New Roman" w:eastAsia="宋体" w:cs="Times New Roman"/>
                      <w:color w:val="auto"/>
                      <w:sz w:val="18"/>
                      <w:szCs w:val="18"/>
                      <w:highlight w:val="none"/>
                    </w:rPr>
                    <w:t>2.0mg/m</w:t>
                  </w:r>
                  <w:r>
                    <w:rPr>
                      <w:rFonts w:hint="default" w:ascii="Times New Roman" w:hAnsi="Times New Roman" w:eastAsia="宋体" w:cs="Times New Roman"/>
                      <w:color w:val="auto"/>
                      <w:sz w:val="18"/>
                      <w:szCs w:val="18"/>
                      <w:highlight w:val="none"/>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60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 w:val="0"/>
                      <w:bCs w:val="0"/>
                      <w:color w:val="auto"/>
                      <w:sz w:val="18"/>
                      <w:szCs w:val="18"/>
                      <w:highlight w:val="none"/>
                    </w:rPr>
                  </w:pPr>
                </w:p>
              </w:tc>
              <w:tc>
                <w:tcPr>
                  <w:tcW w:w="71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 w:val="0"/>
                      <w:bCs w:val="0"/>
                      <w:color w:val="auto"/>
                      <w:sz w:val="18"/>
                      <w:szCs w:val="18"/>
                      <w:highlight w:val="none"/>
                    </w:rPr>
                  </w:pPr>
                </w:p>
              </w:tc>
              <w:tc>
                <w:tcPr>
                  <w:tcW w:w="642"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b w:val="0"/>
                      <w:bCs w:val="0"/>
                      <w:color w:val="auto"/>
                      <w:sz w:val="18"/>
                      <w:szCs w:val="18"/>
                      <w:highlight w:val="none"/>
                    </w:rPr>
                  </w:pPr>
                </w:p>
              </w:tc>
              <w:tc>
                <w:tcPr>
                  <w:tcW w:w="1508" w:type="pct"/>
                  <w:vAlign w:val="center"/>
                </w:tcPr>
                <w:p>
                  <w:pPr>
                    <w:pStyle w:val="20"/>
                    <w:keepNext w:val="0"/>
                    <w:keepLines w:val="0"/>
                    <w:pageBreakBefore w:val="0"/>
                    <w:widowControl w:val="0"/>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b w:val="0"/>
                      <w:bCs w:val="0"/>
                      <w:color w:val="auto"/>
                      <w:sz w:val="18"/>
                      <w:szCs w:val="18"/>
                      <w:highlight w:val="none"/>
                    </w:rPr>
                  </w:pPr>
                  <w:r>
                    <w:rPr>
                      <w:rFonts w:hint="default" w:ascii="Times New Roman" w:hAnsi="Times New Roman" w:eastAsia="宋体" w:cs="Times New Roman"/>
                      <w:color w:val="auto"/>
                      <w:sz w:val="18"/>
                      <w:szCs w:val="18"/>
                      <w:highlight w:val="none"/>
                      <w:vertAlign w:val="baseline"/>
                      <w:lang w:val="en-US" w:eastAsia="zh-CN"/>
                    </w:rPr>
                    <w:t>生产车间或生产设备边界排放建议值4.0</w:t>
                  </w:r>
                  <w:r>
                    <w:rPr>
                      <w:rFonts w:hint="default" w:ascii="Times New Roman" w:hAnsi="Times New Roman" w:eastAsia="宋体" w:cs="Times New Roman"/>
                      <w:color w:val="auto"/>
                      <w:sz w:val="18"/>
                      <w:szCs w:val="18"/>
                      <w:highlight w:val="none"/>
                    </w:rPr>
                    <w:t>mg/m</w:t>
                  </w:r>
                  <w:r>
                    <w:rPr>
                      <w:rFonts w:hint="default" w:ascii="Times New Roman" w:hAnsi="Times New Roman" w:eastAsia="宋体" w:cs="Times New Roman"/>
                      <w:color w:val="auto"/>
                      <w:sz w:val="18"/>
                      <w:szCs w:val="18"/>
                      <w:highlight w:val="none"/>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607" w:type="pct"/>
                  <w:vMerge w:val="restart"/>
                  <w:vAlign w:val="center"/>
                </w:tcPr>
                <w:p>
                  <w:pPr>
                    <w:spacing w:line="320" w:lineRule="exact"/>
                    <w:ind w:firstLine="0" w:firstLineChars="0"/>
                    <w:jc w:val="center"/>
                    <w:rPr>
                      <w:rFonts w:hint="eastAsia"/>
                      <w:b w:val="0"/>
                      <w:bCs w:val="0"/>
                      <w:color w:val="auto"/>
                      <w:sz w:val="18"/>
                      <w:szCs w:val="18"/>
                      <w:highlight w:val="none"/>
                    </w:rPr>
                  </w:pPr>
                  <w:r>
                    <w:rPr>
                      <w:color w:val="auto"/>
                      <w:sz w:val="18"/>
                      <w:szCs w:val="18"/>
                    </w:rPr>
                    <w:t>《挥发性有机物无组织排放控制标准（GB37822—2019）》</w:t>
                  </w:r>
                </w:p>
              </w:tc>
              <w:tc>
                <w:tcPr>
                  <w:tcW w:w="716" w:type="pct"/>
                  <w:vMerge w:val="restart"/>
                  <w:vAlign w:val="center"/>
                </w:tcPr>
                <w:p>
                  <w:pPr>
                    <w:spacing w:line="320" w:lineRule="exact"/>
                    <w:ind w:firstLine="0" w:firstLineChars="0"/>
                    <w:jc w:val="center"/>
                    <w:rPr>
                      <w:rFonts w:hint="eastAsia"/>
                      <w:b w:val="0"/>
                      <w:bCs w:val="0"/>
                      <w:color w:val="auto"/>
                      <w:sz w:val="18"/>
                      <w:szCs w:val="18"/>
                      <w:highlight w:val="none"/>
                    </w:rPr>
                  </w:pPr>
                  <w:r>
                    <w:rPr>
                      <w:rFonts w:hint="eastAsia"/>
                      <w:color w:val="auto"/>
                      <w:sz w:val="18"/>
                      <w:szCs w:val="18"/>
                    </w:rPr>
                    <w:t>非甲烷总烃</w:t>
                  </w:r>
                </w:p>
              </w:tc>
              <w:tc>
                <w:tcPr>
                  <w:tcW w:w="642" w:type="pct"/>
                  <w:vMerge w:val="restart"/>
                  <w:vAlign w:val="center"/>
                </w:tcPr>
                <w:p>
                  <w:pPr>
                    <w:spacing w:line="320" w:lineRule="exact"/>
                    <w:ind w:firstLine="0" w:firstLineChars="0"/>
                    <w:jc w:val="center"/>
                    <w:rPr>
                      <w:rFonts w:hint="eastAsia"/>
                      <w:b w:val="0"/>
                      <w:bCs w:val="0"/>
                      <w:color w:val="auto"/>
                      <w:sz w:val="18"/>
                      <w:szCs w:val="18"/>
                      <w:highlight w:val="none"/>
                    </w:rPr>
                  </w:pPr>
                  <w:r>
                    <w:rPr>
                      <w:rFonts w:hint="eastAsia"/>
                      <w:color w:val="auto"/>
                      <w:sz w:val="18"/>
                      <w:szCs w:val="18"/>
                    </w:rPr>
                    <w:t>无组织</w:t>
                  </w:r>
                </w:p>
              </w:tc>
              <w:tc>
                <w:tcPr>
                  <w:tcW w:w="1508" w:type="pct"/>
                  <w:vAlign w:val="center"/>
                </w:tcPr>
                <w:p>
                  <w:pPr>
                    <w:spacing w:line="320" w:lineRule="exact"/>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color w:val="auto"/>
                      <w:sz w:val="18"/>
                      <w:szCs w:val="18"/>
                    </w:rPr>
                    <w:t>监控点处1小时平均浓度值6mg/m</w:t>
                  </w:r>
                  <w:r>
                    <w:rPr>
                      <w:rFonts w:hint="eastAsia"/>
                      <w:color w:val="auto"/>
                      <w:sz w:val="18"/>
                      <w:szCs w:val="18"/>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607" w:type="pct"/>
                  <w:vMerge w:val="continue"/>
                  <w:vAlign w:val="center"/>
                </w:tcPr>
                <w:p>
                  <w:pPr>
                    <w:spacing w:line="320" w:lineRule="exact"/>
                    <w:ind w:firstLine="0" w:firstLineChars="0"/>
                    <w:jc w:val="center"/>
                    <w:rPr>
                      <w:rFonts w:hint="eastAsia"/>
                      <w:b w:val="0"/>
                      <w:bCs w:val="0"/>
                      <w:color w:val="auto"/>
                      <w:sz w:val="18"/>
                      <w:szCs w:val="18"/>
                      <w:highlight w:val="none"/>
                    </w:rPr>
                  </w:pPr>
                </w:p>
              </w:tc>
              <w:tc>
                <w:tcPr>
                  <w:tcW w:w="716" w:type="pct"/>
                  <w:vMerge w:val="continue"/>
                  <w:vAlign w:val="center"/>
                </w:tcPr>
                <w:p>
                  <w:pPr>
                    <w:spacing w:line="320" w:lineRule="exact"/>
                    <w:ind w:firstLine="0" w:firstLineChars="0"/>
                    <w:jc w:val="center"/>
                    <w:rPr>
                      <w:rFonts w:hint="eastAsia"/>
                      <w:b w:val="0"/>
                      <w:bCs w:val="0"/>
                      <w:color w:val="auto"/>
                      <w:sz w:val="18"/>
                      <w:szCs w:val="18"/>
                      <w:highlight w:val="none"/>
                    </w:rPr>
                  </w:pPr>
                </w:p>
              </w:tc>
              <w:tc>
                <w:tcPr>
                  <w:tcW w:w="642" w:type="pct"/>
                  <w:vMerge w:val="continue"/>
                  <w:vAlign w:val="center"/>
                </w:tcPr>
                <w:p>
                  <w:pPr>
                    <w:spacing w:line="320" w:lineRule="exact"/>
                    <w:ind w:firstLine="0" w:firstLineChars="0"/>
                    <w:jc w:val="center"/>
                    <w:rPr>
                      <w:rFonts w:hint="eastAsia"/>
                      <w:b w:val="0"/>
                      <w:bCs w:val="0"/>
                      <w:color w:val="auto"/>
                      <w:sz w:val="18"/>
                      <w:szCs w:val="18"/>
                      <w:highlight w:val="none"/>
                    </w:rPr>
                  </w:pPr>
                </w:p>
              </w:tc>
              <w:tc>
                <w:tcPr>
                  <w:tcW w:w="1508" w:type="pct"/>
                  <w:vAlign w:val="center"/>
                </w:tcPr>
                <w:p>
                  <w:pPr>
                    <w:spacing w:line="320" w:lineRule="exact"/>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color w:val="auto"/>
                      <w:sz w:val="18"/>
                      <w:szCs w:val="18"/>
                    </w:rPr>
                    <w:t>监控点处任意一次浓度值：20mg/m</w:t>
                  </w:r>
                  <w:r>
                    <w:rPr>
                      <w:rFonts w:hint="eastAsia"/>
                      <w:color w:val="auto"/>
                      <w:sz w:val="18"/>
                      <w:szCs w:val="18"/>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607"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b w:val="0"/>
                      <w:bCs w:val="0"/>
                      <w:color w:val="auto"/>
                      <w:sz w:val="18"/>
                      <w:szCs w:val="18"/>
                      <w:highlight w:val="none"/>
                    </w:rPr>
                  </w:pPr>
                  <w:r>
                    <w:rPr>
                      <w:rFonts w:hint="eastAsia" w:ascii="Times New Roman" w:hAnsi="Times New Roman" w:cs="Times New Roman"/>
                      <w:b w:val="0"/>
                      <w:bCs w:val="0"/>
                      <w:color w:val="auto"/>
                      <w:sz w:val="18"/>
                      <w:szCs w:val="18"/>
                      <w:highlight w:val="none"/>
                      <w:lang w:eastAsia="zh-CN"/>
                    </w:rPr>
                    <w:t>《恶臭污染物排放标准》</w:t>
                  </w:r>
                  <w:r>
                    <w:rPr>
                      <w:rFonts w:hint="eastAsia" w:ascii="Times New Roman" w:hAnsi="Times New Roman" w:cs="Times New Roman"/>
                      <w:b w:val="0"/>
                      <w:bCs w:val="0"/>
                      <w:color w:val="auto"/>
                      <w:sz w:val="18"/>
                      <w:szCs w:val="18"/>
                      <w:highlight w:val="none"/>
                      <w:lang w:val="en-US" w:eastAsia="zh-CN"/>
                    </w:rPr>
                    <w:t>GB14554-93</w:t>
                  </w:r>
                </w:p>
              </w:tc>
              <w:tc>
                <w:tcPr>
                  <w:tcW w:w="716"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b w:val="0"/>
                      <w:bCs w:val="0"/>
                      <w:color w:val="auto"/>
                      <w:sz w:val="18"/>
                      <w:szCs w:val="18"/>
                      <w:highlight w:val="none"/>
                    </w:rPr>
                  </w:pPr>
                  <w:r>
                    <w:rPr>
                      <w:rFonts w:hint="eastAsia" w:ascii="Times New Roman" w:hAnsi="Times New Roman" w:cs="Times New Roman"/>
                      <w:b w:val="0"/>
                      <w:bCs w:val="0"/>
                      <w:color w:val="auto"/>
                      <w:sz w:val="18"/>
                      <w:szCs w:val="18"/>
                      <w:highlight w:val="none"/>
                      <w:lang w:val="en-US" w:eastAsia="zh-CN"/>
                    </w:rPr>
                    <w:t>NH</w:t>
                  </w:r>
                  <w:r>
                    <w:rPr>
                      <w:rFonts w:hint="eastAsia" w:ascii="Times New Roman" w:hAnsi="Times New Roman" w:cs="Times New Roman"/>
                      <w:b w:val="0"/>
                      <w:bCs w:val="0"/>
                      <w:color w:val="auto"/>
                      <w:sz w:val="18"/>
                      <w:szCs w:val="18"/>
                      <w:highlight w:val="none"/>
                      <w:vertAlign w:val="subscript"/>
                      <w:lang w:val="en-US" w:eastAsia="zh-CN"/>
                    </w:rPr>
                    <w:t>3</w:t>
                  </w:r>
                </w:p>
              </w:tc>
              <w:tc>
                <w:tcPr>
                  <w:tcW w:w="642"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lang w:val="zh-CN"/>
                    </w:rPr>
                    <w:t>无组织</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b w:val="0"/>
                      <w:bCs w:val="0"/>
                      <w:color w:val="auto"/>
                      <w:sz w:val="18"/>
                      <w:szCs w:val="18"/>
                      <w:highlight w:val="none"/>
                    </w:rPr>
                  </w:pPr>
                  <w:r>
                    <w:rPr>
                      <w:rFonts w:hint="eastAsia" w:ascii="Times New Roman" w:hAnsi="Times New Roman" w:cs="Times New Roman"/>
                      <w:b w:val="0"/>
                      <w:bCs w:val="0"/>
                      <w:color w:val="auto"/>
                      <w:sz w:val="18"/>
                      <w:szCs w:val="18"/>
                      <w:highlight w:val="none"/>
                      <w:lang w:val="en-US" w:eastAsia="zh-CN"/>
                    </w:rPr>
                    <w:t>1.5</w:t>
                  </w:r>
                  <w:r>
                    <w:rPr>
                      <w:rFonts w:hint="default" w:ascii="Times New Roman" w:hAnsi="Times New Roman" w:cs="Times New Roman"/>
                      <w:b w:val="0"/>
                      <w:bCs w:val="0"/>
                      <w:color w:val="auto"/>
                      <w:sz w:val="18"/>
                      <w:szCs w:val="18"/>
                      <w:highlight w:val="none"/>
                    </w:rPr>
                    <w:t>mg/</w:t>
                  </w:r>
                  <w:r>
                    <w:rPr>
                      <w:rFonts w:hint="default" w:ascii="Times New Roman" w:hAnsi="Times New Roman" w:cs="Times New Roman"/>
                      <w:b w:val="0"/>
                      <w:bCs w:val="0"/>
                      <w:color w:val="auto"/>
                      <w:sz w:val="18"/>
                      <w:szCs w:val="18"/>
                      <w:highlight w:val="none"/>
                      <w:lang w:val="en-US" w:eastAsia="zh-CN"/>
                    </w:rPr>
                    <w:t>m</w:t>
                  </w:r>
                  <w:r>
                    <w:rPr>
                      <w:rFonts w:hint="default" w:ascii="Times New Roman" w:hAnsi="Times New Roman" w:cs="Times New Roman"/>
                      <w:b w:val="0"/>
                      <w:bCs w:val="0"/>
                      <w:color w:val="auto"/>
                      <w:sz w:val="18"/>
                      <w:szCs w:val="18"/>
                      <w:highlight w:val="none"/>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60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b w:val="0"/>
                      <w:bCs w:val="0"/>
                      <w:color w:val="auto"/>
                      <w:sz w:val="18"/>
                      <w:szCs w:val="18"/>
                      <w:highlight w:val="none"/>
                    </w:rPr>
                  </w:pPr>
                </w:p>
              </w:tc>
              <w:tc>
                <w:tcPr>
                  <w:tcW w:w="716"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b w:val="0"/>
                      <w:bCs w:val="0"/>
                      <w:color w:val="auto"/>
                      <w:sz w:val="18"/>
                      <w:szCs w:val="18"/>
                      <w:highlight w:val="none"/>
                    </w:rPr>
                  </w:pPr>
                  <w:r>
                    <w:rPr>
                      <w:rFonts w:hint="eastAsia" w:ascii="Times New Roman" w:hAnsi="Times New Roman" w:cs="Times New Roman"/>
                      <w:b w:val="0"/>
                      <w:bCs w:val="0"/>
                      <w:color w:val="auto"/>
                      <w:sz w:val="18"/>
                      <w:szCs w:val="18"/>
                      <w:highlight w:val="none"/>
                      <w:lang w:val="en-US" w:eastAsia="zh-CN"/>
                    </w:rPr>
                    <w:t>H</w:t>
                  </w:r>
                  <w:r>
                    <w:rPr>
                      <w:rFonts w:hint="eastAsia" w:ascii="Times New Roman" w:hAnsi="Times New Roman" w:cs="Times New Roman"/>
                      <w:b w:val="0"/>
                      <w:bCs w:val="0"/>
                      <w:color w:val="auto"/>
                      <w:sz w:val="18"/>
                      <w:szCs w:val="18"/>
                      <w:highlight w:val="none"/>
                      <w:vertAlign w:val="subscript"/>
                      <w:lang w:val="en-US" w:eastAsia="zh-CN"/>
                    </w:rPr>
                    <w:t>2</w:t>
                  </w:r>
                  <w:r>
                    <w:rPr>
                      <w:rFonts w:hint="eastAsia" w:ascii="Times New Roman" w:hAnsi="Times New Roman" w:cs="Times New Roman"/>
                      <w:b w:val="0"/>
                      <w:bCs w:val="0"/>
                      <w:color w:val="auto"/>
                      <w:sz w:val="18"/>
                      <w:szCs w:val="18"/>
                      <w:highlight w:val="none"/>
                      <w:lang w:val="en-US" w:eastAsia="zh-CN"/>
                    </w:rPr>
                    <w:t>S</w:t>
                  </w:r>
                </w:p>
              </w:tc>
              <w:tc>
                <w:tcPr>
                  <w:tcW w:w="642"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lang w:val="zh-CN"/>
                    </w:rPr>
                    <w:t>无组织</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b w:val="0"/>
                      <w:bCs w:val="0"/>
                      <w:color w:val="auto"/>
                      <w:sz w:val="18"/>
                      <w:szCs w:val="18"/>
                      <w:highlight w:val="none"/>
                    </w:rPr>
                  </w:pPr>
                  <w:r>
                    <w:rPr>
                      <w:rFonts w:hint="eastAsia" w:ascii="Times New Roman" w:hAnsi="Times New Roman" w:cs="Times New Roman"/>
                      <w:b w:val="0"/>
                      <w:bCs w:val="0"/>
                      <w:color w:val="auto"/>
                      <w:sz w:val="18"/>
                      <w:szCs w:val="18"/>
                      <w:highlight w:val="none"/>
                      <w:lang w:val="en-US" w:eastAsia="zh-CN"/>
                    </w:rPr>
                    <w:t>0.06</w:t>
                  </w:r>
                  <w:r>
                    <w:rPr>
                      <w:rFonts w:hint="default" w:ascii="Times New Roman" w:hAnsi="Times New Roman" w:cs="Times New Roman"/>
                      <w:b w:val="0"/>
                      <w:bCs w:val="0"/>
                      <w:color w:val="auto"/>
                      <w:sz w:val="18"/>
                      <w:szCs w:val="18"/>
                      <w:highlight w:val="none"/>
                    </w:rPr>
                    <w:t>mg/</w:t>
                  </w:r>
                  <w:r>
                    <w:rPr>
                      <w:rFonts w:hint="default" w:ascii="Times New Roman" w:hAnsi="Times New Roman" w:cs="Times New Roman"/>
                      <w:b w:val="0"/>
                      <w:bCs w:val="0"/>
                      <w:color w:val="auto"/>
                      <w:sz w:val="18"/>
                      <w:szCs w:val="18"/>
                      <w:highlight w:val="none"/>
                      <w:lang w:val="en-US" w:eastAsia="zh-CN"/>
                    </w:rPr>
                    <w:t>m</w:t>
                  </w:r>
                  <w:r>
                    <w:rPr>
                      <w:rFonts w:hint="default" w:ascii="Times New Roman" w:hAnsi="Times New Roman" w:cs="Times New Roman"/>
                      <w:b w:val="0"/>
                      <w:bCs w:val="0"/>
                      <w:color w:val="auto"/>
                      <w:sz w:val="18"/>
                      <w:szCs w:val="18"/>
                      <w:highlight w:val="none"/>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60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b w:val="0"/>
                      <w:bCs w:val="0"/>
                      <w:color w:val="auto"/>
                      <w:sz w:val="18"/>
                      <w:szCs w:val="18"/>
                      <w:highlight w:val="none"/>
                    </w:rPr>
                  </w:pPr>
                </w:p>
              </w:tc>
              <w:tc>
                <w:tcPr>
                  <w:tcW w:w="716"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b w:val="0"/>
                      <w:bCs w:val="0"/>
                      <w:color w:val="auto"/>
                      <w:sz w:val="18"/>
                      <w:szCs w:val="18"/>
                      <w:highlight w:val="none"/>
                    </w:rPr>
                  </w:pPr>
                  <w:r>
                    <w:rPr>
                      <w:rFonts w:hint="eastAsia" w:ascii="Times New Roman" w:hAnsi="Times New Roman" w:cs="Times New Roman"/>
                      <w:b w:val="0"/>
                      <w:bCs w:val="0"/>
                      <w:color w:val="auto"/>
                      <w:sz w:val="18"/>
                      <w:szCs w:val="18"/>
                      <w:highlight w:val="none"/>
                      <w:lang w:val="en-US" w:eastAsia="zh-CN"/>
                    </w:rPr>
                    <w:t>臭气浓度</w:t>
                  </w:r>
                </w:p>
              </w:tc>
              <w:tc>
                <w:tcPr>
                  <w:tcW w:w="642"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lang w:val="zh-CN"/>
                    </w:rPr>
                    <w:t>无组织</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b w:val="0"/>
                      <w:bCs w:val="0"/>
                      <w:color w:val="auto"/>
                      <w:sz w:val="18"/>
                      <w:szCs w:val="18"/>
                      <w:highlight w:val="none"/>
                    </w:rPr>
                  </w:pPr>
                  <w:r>
                    <w:rPr>
                      <w:rFonts w:hint="eastAsia" w:ascii="Times New Roman" w:hAnsi="Times New Roman" w:cs="Times New Roman"/>
                      <w:b w:val="0"/>
                      <w:bCs w:val="0"/>
                      <w:color w:val="auto"/>
                      <w:sz w:val="18"/>
                      <w:szCs w:val="18"/>
                      <w:highlight w:val="none"/>
                      <w:lang w:val="en-US" w:eastAsia="zh-CN"/>
                    </w:rPr>
                    <w:t>20（无量纲）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rFonts w:hint="eastAsia"/>
                      <w:b w:val="0"/>
                      <w:bCs w:val="0"/>
                      <w:color w:val="auto"/>
                      <w:sz w:val="18"/>
                      <w:szCs w:val="18"/>
                      <w:highlight w:val="none"/>
                    </w:rPr>
                    <w:t>废水</w:t>
                  </w:r>
                </w:p>
              </w:tc>
              <w:tc>
                <w:tcPr>
                  <w:tcW w:w="1607"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b w:val="0"/>
                      <w:bCs w:val="0"/>
                      <w:color w:val="auto"/>
                      <w:sz w:val="18"/>
                      <w:szCs w:val="18"/>
                      <w:highlight w:val="none"/>
                      <w:lang w:eastAsia="zh-CN"/>
                    </w:rPr>
                  </w:pPr>
                  <w:r>
                    <w:rPr>
                      <w:rFonts w:hint="eastAsia"/>
                      <w:b w:val="0"/>
                      <w:bCs w:val="0"/>
                      <w:color w:val="auto"/>
                      <w:sz w:val="18"/>
                      <w:szCs w:val="18"/>
                      <w:highlight w:val="none"/>
                      <w:lang w:eastAsia="zh-CN"/>
                    </w:rPr>
                    <w:t>新乡市凤泉区</w:t>
                  </w:r>
                  <w:r>
                    <w:rPr>
                      <w:rFonts w:hint="eastAsia"/>
                      <w:b w:val="0"/>
                      <w:bCs w:val="0"/>
                      <w:color w:val="auto"/>
                      <w:sz w:val="18"/>
                      <w:szCs w:val="18"/>
                      <w:highlight w:val="none"/>
                    </w:rPr>
                    <w:t>污水处理厂收水标准</w:t>
                  </w:r>
                  <w:r>
                    <w:rPr>
                      <w:rFonts w:hint="eastAsia"/>
                      <w:b w:val="0"/>
                      <w:bCs w:val="0"/>
                      <w:color w:val="auto"/>
                      <w:sz w:val="18"/>
                      <w:szCs w:val="18"/>
                      <w:highlight w:val="none"/>
                      <w:lang w:eastAsia="zh-CN"/>
                    </w:rPr>
                    <w:t>（远期排水要求）</w:t>
                  </w:r>
                </w:p>
              </w:tc>
              <w:tc>
                <w:tcPr>
                  <w:tcW w:w="1358"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cs="Times New Roman"/>
                      <w:b w:val="0"/>
                      <w:bCs w:val="0"/>
                      <w:color w:val="auto"/>
                      <w:kern w:val="2"/>
                      <w:sz w:val="18"/>
                      <w:szCs w:val="18"/>
                      <w:highlight w:val="none"/>
                      <w:lang w:val="en-US" w:eastAsia="zh-CN" w:bidi="ar-SA"/>
                    </w:rPr>
                  </w:pPr>
                  <w:r>
                    <w:rPr>
                      <w:b w:val="0"/>
                      <w:bCs w:val="0"/>
                      <w:color w:val="auto"/>
                      <w:sz w:val="18"/>
                      <w:szCs w:val="18"/>
                      <w:highlight w:val="none"/>
                    </w:rPr>
                    <w:t>COD</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ascii="Times New Roman" w:hAnsi="Times New Roman" w:eastAsia="宋体" w:cs="Times New Roman"/>
                      <w:b w:val="0"/>
                      <w:bCs w:val="0"/>
                      <w:color w:val="auto"/>
                      <w:kern w:val="2"/>
                      <w:sz w:val="18"/>
                      <w:szCs w:val="18"/>
                      <w:highlight w:val="none"/>
                      <w:lang w:val="en-US" w:eastAsia="zh-CN" w:bidi="ar-SA"/>
                    </w:rPr>
                  </w:pPr>
                  <w:r>
                    <w:rPr>
                      <w:b w:val="0"/>
                      <w:bCs w:val="0"/>
                      <w:color w:val="auto"/>
                      <w:sz w:val="18"/>
                      <w:szCs w:val="18"/>
                      <w:highlight w:val="none"/>
                    </w:rPr>
                    <w:t>350mg</w:t>
                  </w:r>
                  <w:r>
                    <w:rPr>
                      <w:rFonts w:hint="eastAsia"/>
                      <w:b w:val="0"/>
                      <w:bCs w:val="0"/>
                      <w:color w:val="auto"/>
                      <w:sz w:val="18"/>
                      <w:szCs w:val="18"/>
                      <w:highlight w:val="none"/>
                    </w:rPr>
                    <w:t>/</w:t>
                  </w:r>
                  <w:r>
                    <w:rPr>
                      <w:b w:val="0"/>
                      <w:bCs w:val="0"/>
                      <w:color w:val="auto"/>
                      <w:sz w:val="18"/>
                      <w:szCs w:val="18"/>
                      <w:highlight w:val="none"/>
                    </w:rPr>
                    <w:t>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60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358"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b w:val="0"/>
                      <w:bCs w:val="0"/>
                      <w:color w:val="auto"/>
                      <w:sz w:val="18"/>
                      <w:szCs w:val="18"/>
                      <w:highlight w:val="none"/>
                    </w:rPr>
                    <w:t>SS</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rFonts w:hint="eastAsia"/>
                      <w:b w:val="0"/>
                      <w:bCs w:val="0"/>
                      <w:color w:val="auto"/>
                      <w:sz w:val="18"/>
                      <w:szCs w:val="18"/>
                      <w:highlight w:val="none"/>
                      <w:lang w:val="en-US" w:eastAsia="zh-CN"/>
                    </w:rPr>
                    <w:t>240</w:t>
                  </w:r>
                  <w:r>
                    <w:rPr>
                      <w:b w:val="0"/>
                      <w:bCs w:val="0"/>
                      <w:color w:val="auto"/>
                      <w:sz w:val="18"/>
                      <w:szCs w:val="18"/>
                      <w:highlight w:val="none"/>
                    </w:rPr>
                    <w:t>mg</w:t>
                  </w:r>
                  <w:r>
                    <w:rPr>
                      <w:rFonts w:hint="eastAsia"/>
                      <w:b w:val="0"/>
                      <w:bCs w:val="0"/>
                      <w:color w:val="auto"/>
                      <w:sz w:val="18"/>
                      <w:szCs w:val="18"/>
                      <w:highlight w:val="none"/>
                    </w:rPr>
                    <w:t>/</w:t>
                  </w:r>
                  <w:r>
                    <w:rPr>
                      <w:b w:val="0"/>
                      <w:bCs w:val="0"/>
                      <w:color w:val="auto"/>
                      <w:sz w:val="18"/>
                      <w:szCs w:val="18"/>
                      <w:highlight w:val="none"/>
                    </w:rPr>
                    <w:t>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60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358"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b w:val="0"/>
                      <w:bCs w:val="0"/>
                      <w:color w:val="auto"/>
                      <w:sz w:val="18"/>
                      <w:szCs w:val="18"/>
                      <w:highlight w:val="none"/>
                    </w:rPr>
                    <w:t>NH</w:t>
                  </w:r>
                  <w:r>
                    <w:rPr>
                      <w:b w:val="0"/>
                      <w:bCs w:val="0"/>
                      <w:color w:val="auto"/>
                      <w:sz w:val="18"/>
                      <w:szCs w:val="18"/>
                      <w:highlight w:val="none"/>
                      <w:vertAlign w:val="subscript"/>
                    </w:rPr>
                    <w:t>3</w:t>
                  </w:r>
                  <w:r>
                    <w:rPr>
                      <w:rFonts w:hint="eastAsia"/>
                      <w:b w:val="0"/>
                      <w:bCs w:val="0"/>
                      <w:color w:val="auto"/>
                      <w:sz w:val="18"/>
                      <w:szCs w:val="18"/>
                      <w:highlight w:val="none"/>
                    </w:rPr>
                    <w:t>-</w:t>
                  </w:r>
                  <w:r>
                    <w:rPr>
                      <w:b w:val="0"/>
                      <w:bCs w:val="0"/>
                      <w:color w:val="auto"/>
                      <w:sz w:val="18"/>
                      <w:szCs w:val="18"/>
                      <w:highlight w:val="none"/>
                    </w:rPr>
                    <w:t>N</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b w:val="0"/>
                      <w:bCs w:val="0"/>
                      <w:color w:val="auto"/>
                      <w:sz w:val="18"/>
                      <w:szCs w:val="18"/>
                      <w:highlight w:val="none"/>
                    </w:rPr>
                    <w:t>35mg</w:t>
                  </w:r>
                  <w:r>
                    <w:rPr>
                      <w:rFonts w:hint="eastAsia"/>
                      <w:b w:val="0"/>
                      <w:bCs w:val="0"/>
                      <w:color w:val="auto"/>
                      <w:sz w:val="18"/>
                      <w:szCs w:val="18"/>
                      <w:highlight w:val="none"/>
                    </w:rPr>
                    <w:t>/</w:t>
                  </w:r>
                  <w:r>
                    <w:rPr>
                      <w:b w:val="0"/>
                      <w:bCs w:val="0"/>
                      <w:color w:val="auto"/>
                      <w:sz w:val="18"/>
                      <w:szCs w:val="18"/>
                      <w:highlight w:val="none"/>
                    </w:rPr>
                    <w:t>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60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358"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b w:val="0"/>
                      <w:bCs w:val="0"/>
                      <w:color w:val="auto"/>
                      <w:sz w:val="18"/>
                      <w:szCs w:val="18"/>
                      <w:highlight w:val="none"/>
                    </w:rPr>
                    <w:t>TP</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b w:val="0"/>
                      <w:bCs w:val="0"/>
                      <w:color w:val="auto"/>
                      <w:sz w:val="18"/>
                      <w:szCs w:val="18"/>
                      <w:highlight w:val="none"/>
                    </w:rPr>
                    <w:t>4mg</w:t>
                  </w:r>
                  <w:r>
                    <w:rPr>
                      <w:rFonts w:hint="eastAsia"/>
                      <w:b w:val="0"/>
                      <w:bCs w:val="0"/>
                      <w:color w:val="auto"/>
                      <w:sz w:val="18"/>
                      <w:szCs w:val="18"/>
                      <w:highlight w:val="none"/>
                    </w:rPr>
                    <w:t>/</w:t>
                  </w:r>
                  <w:r>
                    <w:rPr>
                      <w:b w:val="0"/>
                      <w:bCs w:val="0"/>
                      <w:color w:val="auto"/>
                      <w:sz w:val="18"/>
                      <w:szCs w:val="18"/>
                      <w:highlight w:val="none"/>
                    </w:rPr>
                    <w:t>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60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358"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b w:val="0"/>
                      <w:bCs w:val="0"/>
                      <w:color w:val="auto"/>
                      <w:sz w:val="18"/>
                      <w:szCs w:val="18"/>
                      <w:highlight w:val="none"/>
                    </w:rPr>
                    <w:t>TN</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rFonts w:hint="eastAsia"/>
                      <w:b w:val="0"/>
                      <w:bCs w:val="0"/>
                      <w:color w:val="auto"/>
                      <w:sz w:val="18"/>
                      <w:szCs w:val="18"/>
                      <w:highlight w:val="none"/>
                      <w:lang w:val="en-US" w:eastAsia="zh-CN"/>
                    </w:rPr>
                    <w:t>55</w:t>
                  </w:r>
                  <w:r>
                    <w:rPr>
                      <w:b w:val="0"/>
                      <w:bCs w:val="0"/>
                      <w:color w:val="auto"/>
                      <w:sz w:val="18"/>
                      <w:szCs w:val="18"/>
                      <w:highlight w:val="none"/>
                    </w:rPr>
                    <w:t>mg</w:t>
                  </w:r>
                  <w:r>
                    <w:rPr>
                      <w:rFonts w:hint="eastAsia"/>
                      <w:b w:val="0"/>
                      <w:bCs w:val="0"/>
                      <w:color w:val="auto"/>
                      <w:sz w:val="18"/>
                      <w:szCs w:val="18"/>
                      <w:highlight w:val="none"/>
                    </w:rPr>
                    <w:t>/</w:t>
                  </w:r>
                  <w:r>
                    <w:rPr>
                      <w:b w:val="0"/>
                      <w:bCs w:val="0"/>
                      <w:color w:val="auto"/>
                      <w:sz w:val="18"/>
                      <w:szCs w:val="18"/>
                      <w:highlight w:val="none"/>
                    </w:rPr>
                    <w:t>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607"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rFonts w:hint="eastAsia"/>
                      <w:b w:val="0"/>
                      <w:bCs w:val="0"/>
                      <w:color w:val="auto"/>
                      <w:sz w:val="18"/>
                      <w:szCs w:val="18"/>
                      <w:highlight w:val="none"/>
                    </w:rPr>
                    <w:t>新乡市小尚庄污水处理厂收水要求（近期排水要求）</w:t>
                  </w:r>
                </w:p>
              </w:tc>
              <w:tc>
                <w:tcPr>
                  <w:tcW w:w="1358"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lang w:val="en-US" w:eastAsia="zh-CN"/>
                    </w:rPr>
                  </w:pPr>
                  <w:r>
                    <w:rPr>
                      <w:b w:val="0"/>
                      <w:bCs w:val="0"/>
                      <w:color w:val="auto"/>
                      <w:sz w:val="18"/>
                      <w:szCs w:val="18"/>
                      <w:highlight w:val="none"/>
                    </w:rPr>
                    <w:t>COD</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 w:val="0"/>
                      <w:bCs w:val="0"/>
                      <w:color w:val="auto"/>
                      <w:sz w:val="18"/>
                      <w:szCs w:val="18"/>
                      <w:highlight w:val="none"/>
                      <w:lang w:val="en-US" w:eastAsia="zh-CN"/>
                    </w:rPr>
                  </w:pPr>
                  <w:r>
                    <w:rPr>
                      <w:b w:val="0"/>
                      <w:bCs w:val="0"/>
                      <w:color w:val="auto"/>
                      <w:sz w:val="18"/>
                      <w:szCs w:val="18"/>
                      <w:highlight w:val="none"/>
                    </w:rPr>
                    <w:t>350mg/L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60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2166"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b w:val="0"/>
                      <w:bCs w:val="0"/>
                      <w:color w:val="auto"/>
                      <w:sz w:val="18"/>
                      <w:szCs w:val="18"/>
                      <w:highlight w:val="none"/>
                    </w:rPr>
                    <w:t>SS</w:t>
                  </w:r>
                </w:p>
              </w:tc>
              <w:tc>
                <w:tcPr>
                  <w:tcW w:w="24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 w:val="0"/>
                      <w:bCs w:val="0"/>
                      <w:color w:val="auto"/>
                      <w:sz w:val="18"/>
                      <w:szCs w:val="18"/>
                      <w:highlight w:val="none"/>
                      <w:lang w:val="en-US" w:eastAsia="zh-CN"/>
                    </w:rPr>
                  </w:pPr>
                  <w:r>
                    <w:rPr>
                      <w:rFonts w:hint="eastAsia"/>
                      <w:b w:val="0"/>
                      <w:bCs w:val="0"/>
                      <w:color w:val="auto"/>
                      <w:sz w:val="18"/>
                      <w:szCs w:val="18"/>
                      <w:highlight w:val="none"/>
                      <w:lang w:val="en-US" w:eastAsia="zh-CN"/>
                    </w:rPr>
                    <w:t>250</w:t>
                  </w:r>
                  <w:r>
                    <w:rPr>
                      <w:b w:val="0"/>
                      <w:bCs w:val="0"/>
                      <w:color w:val="auto"/>
                      <w:sz w:val="18"/>
                      <w:szCs w:val="18"/>
                      <w:highlight w:val="none"/>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60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2166"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b w:val="0"/>
                      <w:bCs w:val="0"/>
                      <w:color w:val="auto"/>
                      <w:sz w:val="18"/>
                      <w:szCs w:val="18"/>
                      <w:highlight w:val="none"/>
                    </w:rPr>
                    <w:t>NH</w:t>
                  </w:r>
                  <w:r>
                    <w:rPr>
                      <w:b w:val="0"/>
                      <w:bCs w:val="0"/>
                      <w:color w:val="auto"/>
                      <w:sz w:val="18"/>
                      <w:szCs w:val="18"/>
                      <w:highlight w:val="none"/>
                      <w:vertAlign w:val="subscript"/>
                    </w:rPr>
                    <w:t>3</w:t>
                  </w:r>
                  <w:r>
                    <w:rPr>
                      <w:rFonts w:hint="eastAsia"/>
                      <w:b w:val="0"/>
                      <w:bCs w:val="0"/>
                      <w:color w:val="auto"/>
                      <w:sz w:val="18"/>
                      <w:szCs w:val="18"/>
                      <w:highlight w:val="none"/>
                    </w:rPr>
                    <w:t>-</w:t>
                  </w:r>
                  <w:r>
                    <w:rPr>
                      <w:b w:val="0"/>
                      <w:bCs w:val="0"/>
                      <w:color w:val="auto"/>
                      <w:sz w:val="18"/>
                      <w:szCs w:val="18"/>
                      <w:highlight w:val="none"/>
                    </w:rPr>
                    <w:t>N</w:t>
                  </w:r>
                </w:p>
              </w:tc>
              <w:tc>
                <w:tcPr>
                  <w:tcW w:w="24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 w:val="0"/>
                      <w:bCs w:val="0"/>
                      <w:color w:val="auto"/>
                      <w:sz w:val="18"/>
                      <w:szCs w:val="18"/>
                      <w:highlight w:val="none"/>
                      <w:lang w:val="en-US" w:eastAsia="zh-CN"/>
                    </w:rPr>
                  </w:pPr>
                  <w:r>
                    <w:rPr>
                      <w:rFonts w:hint="eastAsia"/>
                      <w:b w:val="0"/>
                      <w:bCs w:val="0"/>
                      <w:color w:val="auto"/>
                      <w:sz w:val="18"/>
                      <w:szCs w:val="18"/>
                      <w:highlight w:val="none"/>
                      <w:lang w:val="en-US" w:eastAsia="zh-CN"/>
                    </w:rPr>
                    <w:t>30</w:t>
                  </w:r>
                  <w:r>
                    <w:rPr>
                      <w:b w:val="0"/>
                      <w:bCs w:val="0"/>
                      <w:color w:val="auto"/>
                      <w:sz w:val="18"/>
                      <w:szCs w:val="18"/>
                      <w:highlight w:val="none"/>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60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2166"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eastAsia="宋体"/>
                      <w:b w:val="0"/>
                      <w:bCs w:val="0"/>
                      <w:color w:val="auto"/>
                      <w:sz w:val="18"/>
                      <w:szCs w:val="18"/>
                      <w:highlight w:val="none"/>
                      <w:lang w:val="en-US" w:eastAsia="zh-CN"/>
                    </w:rPr>
                  </w:pPr>
                  <w:r>
                    <w:rPr>
                      <w:rFonts w:hint="eastAsia"/>
                      <w:b w:val="0"/>
                      <w:bCs w:val="0"/>
                      <w:color w:val="auto"/>
                      <w:sz w:val="18"/>
                      <w:szCs w:val="18"/>
                      <w:highlight w:val="none"/>
                      <w:lang w:val="en-US" w:eastAsia="zh-CN"/>
                    </w:rPr>
                    <w:t>TN</w:t>
                  </w:r>
                </w:p>
              </w:tc>
              <w:tc>
                <w:tcPr>
                  <w:tcW w:w="24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 w:val="0"/>
                      <w:bCs w:val="0"/>
                      <w:color w:val="auto"/>
                      <w:sz w:val="18"/>
                      <w:szCs w:val="18"/>
                      <w:highlight w:val="none"/>
                      <w:lang w:val="en-US" w:eastAsia="zh-CN"/>
                    </w:rPr>
                  </w:pPr>
                  <w:r>
                    <w:rPr>
                      <w:rFonts w:hint="eastAsia"/>
                      <w:b w:val="0"/>
                      <w:bCs w:val="0"/>
                      <w:color w:val="auto"/>
                      <w:sz w:val="18"/>
                      <w:szCs w:val="18"/>
                      <w:highlight w:val="none"/>
                      <w:lang w:val="en-US" w:eastAsia="zh-CN"/>
                    </w:rPr>
                    <w:t>40</w:t>
                  </w:r>
                  <w:r>
                    <w:rPr>
                      <w:b w:val="0"/>
                      <w:bCs w:val="0"/>
                      <w:color w:val="auto"/>
                      <w:sz w:val="18"/>
                      <w:szCs w:val="18"/>
                      <w:highlight w:val="none"/>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60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2166"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eastAsia="宋体"/>
                      <w:b w:val="0"/>
                      <w:bCs w:val="0"/>
                      <w:color w:val="auto"/>
                      <w:sz w:val="18"/>
                      <w:szCs w:val="18"/>
                      <w:highlight w:val="none"/>
                      <w:lang w:val="en-US" w:eastAsia="zh-CN"/>
                    </w:rPr>
                  </w:pPr>
                  <w:r>
                    <w:rPr>
                      <w:rFonts w:hint="eastAsia"/>
                      <w:b w:val="0"/>
                      <w:bCs w:val="0"/>
                      <w:color w:val="auto"/>
                      <w:sz w:val="18"/>
                      <w:szCs w:val="18"/>
                      <w:highlight w:val="none"/>
                      <w:lang w:val="en-US" w:eastAsia="zh-CN"/>
                    </w:rPr>
                    <w:t>TP</w:t>
                  </w:r>
                </w:p>
              </w:tc>
              <w:tc>
                <w:tcPr>
                  <w:tcW w:w="2406"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 w:val="0"/>
                      <w:bCs w:val="0"/>
                      <w:color w:val="auto"/>
                      <w:sz w:val="18"/>
                      <w:szCs w:val="18"/>
                      <w:highlight w:val="none"/>
                      <w:lang w:val="en-US" w:eastAsia="zh-CN"/>
                    </w:rPr>
                  </w:pPr>
                  <w:r>
                    <w:rPr>
                      <w:rFonts w:hint="eastAsia"/>
                      <w:b w:val="0"/>
                      <w:bCs w:val="0"/>
                      <w:color w:val="auto"/>
                      <w:sz w:val="18"/>
                      <w:szCs w:val="18"/>
                      <w:highlight w:val="none"/>
                      <w:lang w:val="en-US" w:eastAsia="zh-CN"/>
                    </w:rPr>
                    <w:t>3</w:t>
                  </w:r>
                  <w:r>
                    <w:rPr>
                      <w:b w:val="0"/>
                      <w:bCs w:val="0"/>
                      <w:color w:val="auto"/>
                      <w:sz w:val="18"/>
                      <w:szCs w:val="18"/>
                      <w:highlight w:val="none"/>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607"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rFonts w:hint="eastAsia"/>
                      <w:b w:val="0"/>
                      <w:bCs w:val="0"/>
                      <w:color w:val="auto"/>
                      <w:sz w:val="18"/>
                      <w:szCs w:val="18"/>
                      <w:highlight w:val="none"/>
                    </w:rPr>
                    <w:t>《电池工业污染物排放标准》（GB30848-2013）表2间接排放标准</w:t>
                  </w:r>
                </w:p>
              </w:tc>
              <w:tc>
                <w:tcPr>
                  <w:tcW w:w="1358"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rPr>
                    <w:t>COD</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rPr>
                    <w:t>150</w:t>
                  </w:r>
                  <w:r>
                    <w:rPr>
                      <w:b w:val="0"/>
                      <w:bCs w:val="0"/>
                      <w:color w:val="auto"/>
                      <w:sz w:val="18"/>
                      <w:szCs w:val="18"/>
                      <w:highlight w:val="none"/>
                    </w:rPr>
                    <w:t>mg</w:t>
                  </w:r>
                  <w:r>
                    <w:rPr>
                      <w:rFonts w:hint="eastAsia"/>
                      <w:b w:val="0"/>
                      <w:bCs w:val="0"/>
                      <w:color w:val="auto"/>
                      <w:sz w:val="18"/>
                      <w:szCs w:val="18"/>
                      <w:highlight w:val="none"/>
                    </w:rPr>
                    <w:t>/</w:t>
                  </w:r>
                  <w:r>
                    <w:rPr>
                      <w:b w:val="0"/>
                      <w:bCs w:val="0"/>
                      <w:color w:val="auto"/>
                      <w:sz w:val="18"/>
                      <w:szCs w:val="18"/>
                      <w:highlight w:val="none"/>
                    </w:rPr>
                    <w:t>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60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 w:val="0"/>
                      <w:bCs w:val="0"/>
                      <w:color w:val="auto"/>
                      <w:sz w:val="18"/>
                      <w:szCs w:val="18"/>
                      <w:highlight w:val="none"/>
                    </w:rPr>
                  </w:pPr>
                </w:p>
              </w:tc>
              <w:tc>
                <w:tcPr>
                  <w:tcW w:w="1358"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rPr>
                    <w:t>SS</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rPr>
                    <w:t>140</w:t>
                  </w:r>
                  <w:r>
                    <w:rPr>
                      <w:b w:val="0"/>
                      <w:bCs w:val="0"/>
                      <w:color w:val="auto"/>
                      <w:sz w:val="18"/>
                      <w:szCs w:val="18"/>
                      <w:highlight w:val="none"/>
                    </w:rPr>
                    <w:t>mg</w:t>
                  </w:r>
                  <w:r>
                    <w:rPr>
                      <w:rFonts w:hint="eastAsia"/>
                      <w:b w:val="0"/>
                      <w:bCs w:val="0"/>
                      <w:color w:val="auto"/>
                      <w:sz w:val="18"/>
                      <w:szCs w:val="18"/>
                      <w:highlight w:val="none"/>
                    </w:rPr>
                    <w:t>/</w:t>
                  </w:r>
                  <w:r>
                    <w:rPr>
                      <w:b w:val="0"/>
                      <w:bCs w:val="0"/>
                      <w:color w:val="auto"/>
                      <w:sz w:val="18"/>
                      <w:szCs w:val="18"/>
                      <w:highlight w:val="none"/>
                    </w:rPr>
                    <w:t>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60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 w:val="0"/>
                      <w:bCs w:val="0"/>
                      <w:color w:val="auto"/>
                      <w:sz w:val="18"/>
                      <w:szCs w:val="18"/>
                      <w:highlight w:val="none"/>
                    </w:rPr>
                  </w:pPr>
                </w:p>
              </w:tc>
              <w:tc>
                <w:tcPr>
                  <w:tcW w:w="1358"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rPr>
                    <w:t>氨氮</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rPr>
                    <w:t>30</w:t>
                  </w:r>
                  <w:r>
                    <w:rPr>
                      <w:b w:val="0"/>
                      <w:bCs w:val="0"/>
                      <w:color w:val="auto"/>
                      <w:sz w:val="18"/>
                      <w:szCs w:val="18"/>
                      <w:highlight w:val="none"/>
                    </w:rPr>
                    <w:t>mg</w:t>
                  </w:r>
                  <w:r>
                    <w:rPr>
                      <w:rFonts w:hint="eastAsia"/>
                      <w:b w:val="0"/>
                      <w:bCs w:val="0"/>
                      <w:color w:val="auto"/>
                      <w:sz w:val="18"/>
                      <w:szCs w:val="18"/>
                      <w:highlight w:val="none"/>
                    </w:rPr>
                    <w:t>/</w:t>
                  </w:r>
                  <w:r>
                    <w:rPr>
                      <w:b w:val="0"/>
                      <w:bCs w:val="0"/>
                      <w:color w:val="auto"/>
                      <w:sz w:val="18"/>
                      <w:szCs w:val="18"/>
                      <w:highlight w:val="none"/>
                    </w:rPr>
                    <w:t>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60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 w:val="0"/>
                      <w:bCs w:val="0"/>
                      <w:color w:val="auto"/>
                      <w:sz w:val="18"/>
                      <w:szCs w:val="18"/>
                      <w:highlight w:val="none"/>
                    </w:rPr>
                  </w:pPr>
                </w:p>
              </w:tc>
              <w:tc>
                <w:tcPr>
                  <w:tcW w:w="1358"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rPr>
                    <w:t>总磷</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rPr>
                    <w:t>2</w:t>
                  </w:r>
                  <w:r>
                    <w:rPr>
                      <w:b w:val="0"/>
                      <w:bCs w:val="0"/>
                      <w:color w:val="auto"/>
                      <w:sz w:val="18"/>
                      <w:szCs w:val="18"/>
                      <w:highlight w:val="none"/>
                    </w:rPr>
                    <w:t>mg</w:t>
                  </w:r>
                  <w:r>
                    <w:rPr>
                      <w:rFonts w:hint="eastAsia"/>
                      <w:b w:val="0"/>
                      <w:bCs w:val="0"/>
                      <w:color w:val="auto"/>
                      <w:sz w:val="18"/>
                      <w:szCs w:val="18"/>
                      <w:highlight w:val="none"/>
                    </w:rPr>
                    <w:t>/</w:t>
                  </w:r>
                  <w:r>
                    <w:rPr>
                      <w:b w:val="0"/>
                      <w:bCs w:val="0"/>
                      <w:color w:val="auto"/>
                      <w:sz w:val="18"/>
                      <w:szCs w:val="18"/>
                      <w:highlight w:val="none"/>
                    </w:rPr>
                    <w:t>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60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green"/>
                    </w:rPr>
                  </w:pPr>
                </w:p>
              </w:tc>
              <w:tc>
                <w:tcPr>
                  <w:tcW w:w="1358"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rPr>
                    <w:t>单位产品基准排水量</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rPr>
                    <w:t>0.8m</w:t>
                  </w:r>
                  <w:r>
                    <w:rPr>
                      <w:rFonts w:hint="default" w:ascii="Times New Roman" w:hAnsi="Times New Roman" w:cs="Times New Roman"/>
                      <w:b w:val="0"/>
                      <w:bCs w:val="0"/>
                      <w:color w:val="auto"/>
                      <w:sz w:val="18"/>
                      <w:szCs w:val="18"/>
                      <w:highlight w:val="none"/>
                      <w:vertAlign w:val="superscript"/>
                    </w:rPr>
                    <w:t>3</w:t>
                  </w:r>
                  <w:r>
                    <w:rPr>
                      <w:rFonts w:hint="default" w:ascii="Times New Roman" w:hAnsi="Times New Roman" w:cs="Times New Roman"/>
                      <w:b w:val="0"/>
                      <w:bCs w:val="0"/>
                      <w:color w:val="auto"/>
                      <w:sz w:val="18"/>
                      <w:szCs w:val="18"/>
                      <w:highlight w:val="none"/>
                    </w:rPr>
                    <w:t>/万只</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b w:val="0"/>
                      <w:bCs w:val="0"/>
                      <w:color w:val="auto"/>
                      <w:sz w:val="18"/>
                      <w:szCs w:val="18"/>
                      <w:highlight w:val="none"/>
                    </w:rPr>
                    <w:t>噪声</w:t>
                  </w:r>
                </w:p>
              </w:tc>
              <w:tc>
                <w:tcPr>
                  <w:tcW w:w="1607"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b w:val="0"/>
                      <w:bCs w:val="0"/>
                      <w:color w:val="auto"/>
                      <w:sz w:val="18"/>
                      <w:szCs w:val="18"/>
                      <w:highlight w:val="none"/>
                    </w:rPr>
                    <w:t>《工业企业厂界环境噪声排放标准》（GB12348-2008）</w:t>
                  </w:r>
                  <w:r>
                    <w:rPr>
                      <w:rFonts w:hint="eastAsia"/>
                      <w:b w:val="0"/>
                      <w:bCs w:val="0"/>
                      <w:color w:val="auto"/>
                      <w:sz w:val="18"/>
                      <w:szCs w:val="18"/>
                      <w:highlight w:val="none"/>
                      <w:lang w:val="en-US" w:eastAsia="zh-CN"/>
                    </w:rPr>
                    <w:t>3</w:t>
                  </w:r>
                  <w:r>
                    <w:rPr>
                      <w:b w:val="0"/>
                      <w:bCs w:val="0"/>
                      <w:color w:val="auto"/>
                      <w:sz w:val="18"/>
                      <w:szCs w:val="18"/>
                      <w:highlight w:val="none"/>
                    </w:rPr>
                    <w:t>类</w:t>
                  </w:r>
                </w:p>
              </w:tc>
              <w:tc>
                <w:tcPr>
                  <w:tcW w:w="716"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Leq</w:t>
                  </w:r>
                </w:p>
              </w:tc>
              <w:tc>
                <w:tcPr>
                  <w:tcW w:w="642"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昼间</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eastAsia="宋体"/>
                      <w:b w:val="0"/>
                      <w:bCs w:val="0"/>
                      <w:color w:val="auto"/>
                      <w:sz w:val="18"/>
                      <w:szCs w:val="18"/>
                      <w:highlight w:val="none"/>
                      <w:lang w:val="en-US" w:eastAsia="zh-CN"/>
                    </w:rPr>
                  </w:pPr>
                  <w:r>
                    <w:rPr>
                      <w:rFonts w:hint="eastAsia"/>
                      <w:b w:val="0"/>
                      <w:bCs w:val="0"/>
                      <w:color w:val="auto"/>
                      <w:sz w:val="18"/>
                      <w:szCs w:val="18"/>
                      <w:highlight w:val="none"/>
                      <w:lang w:val="en-US" w:eastAsia="zh-CN"/>
                    </w:rPr>
                    <w:t>65dB（A）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160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71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p>
              </w:tc>
              <w:tc>
                <w:tcPr>
                  <w:tcW w:w="642"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夜间</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rFonts w:hint="eastAsia"/>
                      <w:b w:val="0"/>
                      <w:bCs w:val="0"/>
                      <w:color w:val="auto"/>
                      <w:sz w:val="18"/>
                      <w:szCs w:val="18"/>
                      <w:highlight w:val="none"/>
                      <w:lang w:val="en-US" w:eastAsia="zh-CN"/>
                    </w:rPr>
                    <w:t>55dB（A）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r>
                    <w:rPr>
                      <w:b w:val="0"/>
                      <w:bCs w:val="0"/>
                      <w:color w:val="auto"/>
                      <w:sz w:val="18"/>
                      <w:szCs w:val="18"/>
                      <w:highlight w:val="none"/>
                    </w:rPr>
                    <w:t>固废</w:t>
                  </w:r>
                </w:p>
              </w:tc>
              <w:tc>
                <w:tcPr>
                  <w:tcW w:w="4473" w:type="pct"/>
                  <w:gridSpan w:val="4"/>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360" w:firstLineChars="200"/>
                    <w:jc w:val="center"/>
                    <w:textAlignment w:val="auto"/>
                    <w:rPr>
                      <w:b w:val="0"/>
                      <w:bCs w:val="0"/>
                      <w:color w:val="auto"/>
                      <w:sz w:val="18"/>
                      <w:szCs w:val="18"/>
                      <w:highlight w:val="none"/>
                    </w:rPr>
                  </w:pPr>
                  <w:r>
                    <w:rPr>
                      <w:rFonts w:hint="default" w:ascii="Times New Roman" w:hAnsi="Times New Roman" w:cs="Times New Roman"/>
                      <w:color w:val="auto"/>
                      <w:sz w:val="18"/>
                      <w:szCs w:val="18"/>
                      <w:highlight w:val="none"/>
                    </w:rPr>
                    <w:t>《中华人民共和国固体废物污染环境防治法》（2020年修订）</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《一般工业固体废物贮存和填埋污染控制标准》（GB18599-2020）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b w:val="0"/>
                      <w:bCs w:val="0"/>
                      <w:color w:val="auto"/>
                      <w:sz w:val="18"/>
                      <w:szCs w:val="18"/>
                      <w:highlight w:val="none"/>
                    </w:rPr>
                  </w:pPr>
                </w:p>
              </w:tc>
              <w:tc>
                <w:tcPr>
                  <w:tcW w:w="4473" w:type="pct"/>
                  <w:gridSpan w:val="4"/>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360" w:firstLineChars="200"/>
                    <w:jc w:val="center"/>
                    <w:textAlignment w:val="auto"/>
                    <w:rPr>
                      <w:b w:val="0"/>
                      <w:bCs w:val="0"/>
                      <w:color w:val="auto"/>
                      <w:sz w:val="18"/>
                      <w:szCs w:val="18"/>
                      <w:highlight w:val="none"/>
                    </w:rPr>
                  </w:pPr>
                  <w:r>
                    <w:rPr>
                      <w:rFonts w:hint="default" w:ascii="Times New Roman" w:hAnsi="Times New Roman" w:cs="Times New Roman"/>
                      <w:color w:val="auto"/>
                      <w:sz w:val="18"/>
                      <w:szCs w:val="18"/>
                      <w:highlight w:val="none"/>
                    </w:rPr>
                    <w:t>《危险废物贮存污染控制标准》（GB18597-20</w:t>
                  </w:r>
                  <w:r>
                    <w:rPr>
                      <w:rFonts w:hint="eastAsia" w:cs="Times New Roman"/>
                      <w:color w:val="auto"/>
                      <w:sz w:val="18"/>
                      <w:szCs w:val="18"/>
                      <w:highlight w:val="none"/>
                      <w:lang w:val="en-US" w:eastAsia="zh-CN"/>
                    </w:rPr>
                    <w:t>23</w:t>
                  </w:r>
                  <w:r>
                    <w:rPr>
                      <w:rFonts w:hint="default" w:ascii="Times New Roman" w:hAnsi="Times New Roman" w:cs="Times New Roman"/>
                      <w:color w:val="auto"/>
                      <w:sz w:val="18"/>
                      <w:szCs w:val="18"/>
                      <w:highlight w:val="none"/>
                    </w:rPr>
                    <w:t>）</w:t>
                  </w:r>
                </w:p>
              </w:tc>
            </w:tr>
          </w:tbl>
          <w:p>
            <w:pPr>
              <w:autoSpaceDE w:val="0"/>
              <w:autoSpaceDN w:val="0"/>
              <w:adjustRightInd w:val="0"/>
              <w:snapToGrid w:val="0"/>
              <w:spacing w:line="400" w:lineRule="exact"/>
              <w:rPr>
                <w:rFonts w:hint="default" w:ascii="Times New Roman" w:hAnsi="Times New Roman" w:cs="Times New Roman"/>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2" w:hRule="atLeast"/>
          <w:jc w:val="center"/>
        </w:trPr>
        <w:tc>
          <w:tcPr>
            <w:tcW w:w="80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总量</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控制</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green"/>
              </w:rPr>
            </w:pPr>
            <w:r>
              <w:rPr>
                <w:rFonts w:hint="default" w:ascii="Times New Roman" w:hAnsi="Times New Roman" w:cs="Times New Roman"/>
                <w:color w:val="auto"/>
                <w:kern w:val="0"/>
                <w:szCs w:val="21"/>
                <w:highlight w:val="none"/>
              </w:rPr>
              <w:t>指标</w:t>
            </w:r>
          </w:p>
        </w:tc>
        <w:tc>
          <w:tcPr>
            <w:tcW w:w="8190"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新乡市生态环境局关于转发《河南省生态环境厅关于印发建设项目主要污染物排放总量指标管理工作内部规程的通知》和《新乡市建设项目新增总量指标替代管理指导意见（试行）》的要求，对新增重点污染物（化学需氧量、氨氮、二氧化硫、氮氧化物、挥发性有机物，重金属铅、铬、镉、汞、砷10类）排放量的项目，需要进行总量审核。</w:t>
            </w:r>
          </w:p>
          <w:p>
            <w:pPr>
              <w:pStyle w:val="2"/>
              <w:numPr>
                <w:ilvl w:val="0"/>
                <w:numId w:val="9"/>
              </w:numPr>
              <w:rPr>
                <w:rFonts w:hint="default" w:ascii="Times New Roman" w:hAnsi="Times New Roman" w:cs="Times New Roman"/>
                <w:b w:val="0"/>
                <w:bCs w:val="0"/>
                <w:color w:val="auto"/>
                <w:highlight w:val="none"/>
                <w:lang w:eastAsia="zh-CN"/>
              </w:rPr>
            </w:pPr>
            <w:r>
              <w:rPr>
                <w:rFonts w:hint="default" w:ascii="Times New Roman" w:hAnsi="Times New Roman" w:cs="Times New Roman"/>
                <w:b w:val="0"/>
                <w:bCs w:val="0"/>
                <w:color w:val="auto"/>
                <w:highlight w:val="none"/>
                <w:lang w:eastAsia="zh-CN"/>
              </w:rPr>
              <w:t>废气：项目生产过程废气主要</w:t>
            </w:r>
            <w:r>
              <w:rPr>
                <w:rFonts w:hint="eastAsia" w:cs="Times New Roman"/>
                <w:b w:val="0"/>
                <w:bCs w:val="0"/>
                <w:color w:val="auto"/>
                <w:highlight w:val="none"/>
                <w:lang w:eastAsia="zh-CN"/>
              </w:rPr>
              <w:t>为注液工序抽真空过程尾气</w:t>
            </w:r>
            <w:r>
              <w:rPr>
                <w:rFonts w:hint="default" w:ascii="Times New Roman" w:hAnsi="Times New Roman" w:cs="Times New Roman"/>
                <w:b w:val="0"/>
                <w:bCs w:val="0"/>
                <w:color w:val="auto"/>
                <w:highlight w:val="none"/>
                <w:lang w:eastAsia="zh-CN"/>
              </w:rPr>
              <w:t>，采用</w:t>
            </w:r>
            <w:r>
              <w:rPr>
                <w:rFonts w:hint="eastAsia" w:cs="Times New Roman"/>
                <w:b w:val="0"/>
                <w:bCs w:val="0"/>
                <w:color w:val="auto"/>
                <w:highlight w:val="none"/>
                <w:lang w:val="en-US" w:eastAsia="zh-CN"/>
              </w:rPr>
              <w:t>1套</w:t>
            </w:r>
            <w:r>
              <w:rPr>
                <w:rFonts w:hint="eastAsia" w:cs="Times New Roman"/>
                <w:b w:val="0"/>
                <w:bCs w:val="0"/>
                <w:color w:val="auto"/>
                <w:highlight w:val="none"/>
                <w:lang w:eastAsia="zh-CN"/>
              </w:rPr>
              <w:t>“</w:t>
            </w:r>
            <w:r>
              <w:rPr>
                <w:rFonts w:hint="eastAsia" w:cs="Times New Roman"/>
                <w:b w:val="0"/>
                <w:bCs w:val="0"/>
                <w:color w:val="auto"/>
                <w:highlight w:val="none"/>
                <w:lang w:val="en-US" w:eastAsia="zh-CN"/>
              </w:rPr>
              <w:t>UV光催化氧化+活性炭吸附</w:t>
            </w:r>
            <w:r>
              <w:rPr>
                <w:rFonts w:hint="eastAsia" w:cs="Times New Roman"/>
                <w:b w:val="0"/>
                <w:bCs w:val="0"/>
                <w:color w:val="auto"/>
                <w:highlight w:val="none"/>
                <w:lang w:eastAsia="zh-CN"/>
              </w:rPr>
              <w:t>”装置</w:t>
            </w:r>
            <w:r>
              <w:rPr>
                <w:rFonts w:hint="default" w:ascii="Times New Roman" w:hAnsi="Times New Roman" w:cs="Times New Roman"/>
                <w:b w:val="0"/>
                <w:bCs w:val="0"/>
                <w:color w:val="auto"/>
                <w:highlight w:val="none"/>
                <w:lang w:eastAsia="zh-CN"/>
              </w:rPr>
              <w:t>处理后，经15m高排气筒排放</w:t>
            </w:r>
            <w:r>
              <w:rPr>
                <w:rFonts w:hint="eastAsia" w:cs="Times New Roman"/>
                <w:b w:val="0"/>
                <w:bCs w:val="0"/>
                <w:color w:val="auto"/>
                <w:highlight w:val="none"/>
                <w:lang w:eastAsia="zh-CN"/>
              </w:rPr>
              <w:t>。</w:t>
            </w:r>
          </w:p>
          <w:p>
            <w:pPr>
              <w:keepNext w:val="0"/>
              <w:keepLines w:val="0"/>
              <w:pageBreakBefore w:val="0"/>
              <w:widowControl w:val="0"/>
              <w:numPr>
                <w:ilvl w:val="0"/>
                <w:numId w:val="9"/>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废水：本项目无生产废水，外排废水主要为生活污水，生活污水经</w:t>
            </w:r>
            <w:r>
              <w:rPr>
                <w:rFonts w:hint="eastAsia" w:ascii="Times New Roman" w:hAnsi="Times New Roman" w:cs="Times New Roman"/>
                <w:color w:val="auto"/>
                <w:highlight w:val="none"/>
                <w:lang w:val="en-US" w:eastAsia="zh-CN"/>
              </w:rPr>
              <w:t>自建一体化污水处理设施</w:t>
            </w:r>
            <w:r>
              <w:rPr>
                <w:rFonts w:hint="default" w:ascii="Times New Roman" w:hAnsi="Times New Roman" w:cs="Times New Roman"/>
                <w:color w:val="auto"/>
                <w:highlight w:val="none"/>
                <w:lang w:eastAsia="zh-CN"/>
              </w:rPr>
              <w:t>处理后定期清运，待</w:t>
            </w:r>
            <w:r>
              <w:rPr>
                <w:rFonts w:hint="eastAsia" w:ascii="Times New Roman" w:hAnsi="Times New Roman" w:cs="Times New Roman"/>
                <w:color w:val="auto"/>
                <w:highlight w:val="none"/>
                <w:lang w:eastAsia="zh-CN"/>
              </w:rPr>
              <w:t>区域污水管网铺设完成并通入新乡市凤</w:t>
            </w:r>
            <w:r>
              <w:rPr>
                <w:rFonts w:hint="eastAsia" w:cs="Times New Roman"/>
                <w:color w:val="auto"/>
                <w:highlight w:val="none"/>
                <w:lang w:eastAsia="zh-CN"/>
              </w:rPr>
              <w:t>泉区</w:t>
            </w:r>
            <w:r>
              <w:rPr>
                <w:rFonts w:hint="default" w:ascii="Times New Roman" w:hAnsi="Times New Roman" w:cs="Times New Roman"/>
                <w:color w:val="auto"/>
                <w:highlight w:val="none"/>
                <w:lang w:eastAsia="zh-CN"/>
              </w:rPr>
              <w:t>污水处理厂后</w:t>
            </w:r>
            <w:r>
              <w:rPr>
                <w:rFonts w:hint="eastAsia" w:cs="Times New Roman"/>
                <w:color w:val="auto"/>
                <w:highlight w:val="none"/>
                <w:lang w:eastAsia="zh-CN"/>
              </w:rPr>
              <w:t>，</w:t>
            </w:r>
            <w:r>
              <w:rPr>
                <w:rFonts w:hint="default" w:ascii="Times New Roman" w:hAnsi="Times New Roman" w:cs="Times New Roman"/>
                <w:color w:val="auto"/>
                <w:highlight w:val="none"/>
                <w:lang w:eastAsia="zh-CN"/>
              </w:rPr>
              <w:t>排入污水处理厂进一步处理，最终经民生渠排入共产主义渠。</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eastAsia="宋体" w:cs="Times New Roman"/>
                <w:color w:val="auto"/>
                <w:kern w:val="0"/>
                <w:szCs w:val="21"/>
                <w:highlight w:val="green"/>
                <w:lang w:val="en-US" w:eastAsia="zh-CN"/>
              </w:rPr>
            </w:pPr>
            <w:r>
              <w:rPr>
                <w:rFonts w:hint="default" w:ascii="Times New Roman" w:hAnsi="Times New Roman" w:cs="Times New Roman"/>
                <w:color w:val="auto"/>
                <w:highlight w:val="none"/>
                <w:lang w:eastAsia="zh-CN"/>
              </w:rPr>
              <w:t>本项目属于新建项目，</w:t>
            </w:r>
            <w:r>
              <w:rPr>
                <w:rFonts w:hint="default" w:ascii="Times New Roman" w:hAnsi="Times New Roman" w:cs="Times New Roman"/>
                <w:color w:val="auto"/>
                <w:highlight w:val="none"/>
              </w:rPr>
              <w:t>建成后总量控制因子及指标为：</w:t>
            </w:r>
            <w:r>
              <w:rPr>
                <w:rFonts w:hint="default" w:ascii="Times New Roman" w:hAnsi="Times New Roman" w:cs="Times New Roman"/>
                <w:b w:val="0"/>
                <w:bCs w:val="0"/>
                <w:color w:val="auto"/>
                <w:highlight w:val="none"/>
                <w:u w:val="none"/>
                <w:lang w:val="en-US" w:eastAsia="zh-CN"/>
              </w:rPr>
              <w:t>非甲烷总烃</w:t>
            </w:r>
            <w:r>
              <w:rPr>
                <w:rFonts w:hint="eastAsia" w:cs="Times New Roman"/>
                <w:b w:val="0"/>
                <w:bCs w:val="0"/>
                <w:color w:val="auto"/>
                <w:highlight w:val="none"/>
                <w:u w:val="none"/>
                <w:lang w:val="en-US" w:eastAsia="zh-CN"/>
              </w:rPr>
              <w:t>0.075</w:t>
            </w:r>
            <w:r>
              <w:rPr>
                <w:rFonts w:hint="default" w:ascii="Times New Roman" w:hAnsi="Times New Roman" w:cs="Times New Roman"/>
                <w:b w:val="0"/>
                <w:bCs w:val="0"/>
                <w:color w:val="auto"/>
                <w:highlight w:val="none"/>
                <w:u w:val="none"/>
                <w:lang w:val="en-US" w:eastAsia="zh-CN"/>
              </w:rPr>
              <w:t>t/a、</w:t>
            </w:r>
            <w:r>
              <w:rPr>
                <w:rFonts w:hint="default" w:ascii="Times New Roman" w:hAnsi="Times New Roman" w:cs="Times New Roman"/>
                <w:b w:val="0"/>
                <w:bCs w:val="0"/>
                <w:color w:val="auto"/>
                <w:kern w:val="0"/>
                <w:sz w:val="21"/>
                <w:szCs w:val="21"/>
                <w:highlight w:val="none"/>
                <w:u w:val="none"/>
                <w:lang w:val="en-US" w:eastAsia="zh-CN"/>
              </w:rPr>
              <w:t>COD</w:t>
            </w:r>
            <w:r>
              <w:rPr>
                <w:rFonts w:hint="eastAsia" w:cs="Times New Roman"/>
                <w:b w:val="0"/>
                <w:bCs w:val="0"/>
                <w:color w:val="auto"/>
                <w:kern w:val="0"/>
                <w:sz w:val="21"/>
                <w:szCs w:val="21"/>
                <w:highlight w:val="none"/>
                <w:u w:val="none"/>
                <w:lang w:val="en-US" w:eastAsia="zh-CN"/>
              </w:rPr>
              <w:t>0.0115</w:t>
            </w:r>
            <w:r>
              <w:rPr>
                <w:rFonts w:hint="default" w:ascii="Times New Roman" w:hAnsi="Times New Roman" w:cs="Times New Roman"/>
                <w:b w:val="0"/>
                <w:bCs w:val="0"/>
                <w:color w:val="auto"/>
                <w:kern w:val="0"/>
                <w:sz w:val="21"/>
                <w:szCs w:val="21"/>
                <w:highlight w:val="none"/>
                <w:u w:val="none"/>
                <w:lang w:val="en-US" w:eastAsia="zh-CN"/>
              </w:rPr>
              <w:t>t/a</w:t>
            </w:r>
            <w:r>
              <w:rPr>
                <w:rFonts w:hint="eastAsia" w:cs="Times New Roman"/>
                <w:b w:val="0"/>
                <w:bCs w:val="0"/>
                <w:color w:val="auto"/>
                <w:kern w:val="0"/>
                <w:sz w:val="21"/>
                <w:szCs w:val="21"/>
                <w:highlight w:val="none"/>
                <w:u w:val="none"/>
                <w:lang w:val="en-US" w:eastAsia="zh-CN"/>
              </w:rPr>
              <w:t>、</w:t>
            </w:r>
            <w:r>
              <w:rPr>
                <w:rFonts w:hint="default" w:ascii="Times New Roman" w:hAnsi="Times New Roman" w:cs="Times New Roman"/>
                <w:b w:val="0"/>
                <w:bCs w:val="0"/>
                <w:color w:val="auto"/>
                <w:kern w:val="0"/>
                <w:sz w:val="21"/>
                <w:szCs w:val="21"/>
                <w:highlight w:val="none"/>
                <w:u w:val="none"/>
                <w:lang w:val="en-US" w:eastAsia="zh-CN"/>
              </w:rPr>
              <w:t>NH</w:t>
            </w:r>
            <w:r>
              <w:rPr>
                <w:rFonts w:hint="default" w:ascii="Times New Roman" w:hAnsi="Times New Roman" w:cs="Times New Roman"/>
                <w:b w:val="0"/>
                <w:bCs w:val="0"/>
                <w:color w:val="auto"/>
                <w:kern w:val="0"/>
                <w:sz w:val="21"/>
                <w:szCs w:val="21"/>
                <w:highlight w:val="none"/>
                <w:u w:val="none"/>
                <w:vertAlign w:val="subscript"/>
                <w:lang w:val="en-US" w:eastAsia="zh-CN"/>
              </w:rPr>
              <w:t>3</w:t>
            </w:r>
            <w:r>
              <w:rPr>
                <w:rFonts w:hint="default" w:ascii="Times New Roman" w:hAnsi="Times New Roman" w:cs="Times New Roman"/>
                <w:b w:val="0"/>
                <w:bCs w:val="0"/>
                <w:color w:val="auto"/>
                <w:kern w:val="0"/>
                <w:sz w:val="21"/>
                <w:szCs w:val="21"/>
                <w:highlight w:val="none"/>
                <w:u w:val="none"/>
                <w:lang w:val="en-US" w:eastAsia="zh-CN"/>
              </w:rPr>
              <w:t>-N</w:t>
            </w:r>
            <w:r>
              <w:rPr>
                <w:rFonts w:hint="eastAsia" w:cs="Times New Roman"/>
                <w:b w:val="0"/>
                <w:bCs w:val="0"/>
                <w:color w:val="auto"/>
                <w:kern w:val="0"/>
                <w:sz w:val="21"/>
                <w:szCs w:val="21"/>
                <w:highlight w:val="none"/>
                <w:u w:val="none"/>
                <w:lang w:val="en-US" w:eastAsia="zh-CN"/>
              </w:rPr>
              <w:t>0.0006</w:t>
            </w:r>
            <w:r>
              <w:rPr>
                <w:rFonts w:hint="default" w:ascii="Times New Roman" w:hAnsi="Times New Roman" w:cs="Times New Roman"/>
                <w:b w:val="0"/>
                <w:bCs w:val="0"/>
                <w:color w:val="auto"/>
                <w:kern w:val="0"/>
                <w:sz w:val="21"/>
                <w:szCs w:val="21"/>
                <w:highlight w:val="none"/>
                <w:u w:val="none"/>
                <w:lang w:val="en-US" w:eastAsia="zh-CN"/>
              </w:rPr>
              <w:t>t/a</w:t>
            </w:r>
            <w:r>
              <w:rPr>
                <w:rFonts w:hint="default" w:ascii="Times New Roman" w:hAnsi="Times New Roman" w:cs="Times New Roman"/>
                <w:b w:val="0"/>
                <w:bCs w:val="0"/>
                <w:color w:val="auto"/>
                <w:highlight w:val="none"/>
                <w:u w:val="none"/>
                <w:lang w:val="en-US" w:eastAsia="zh-CN"/>
              </w:rPr>
              <w:t>。</w:t>
            </w:r>
          </w:p>
        </w:tc>
      </w:tr>
    </w:tbl>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6"/>
          <w:szCs w:val="36"/>
          <w:highlight w:val="green"/>
        </w:rPr>
        <w:br w:type="page"/>
      </w:r>
      <w:r>
        <w:rPr>
          <w:rFonts w:hint="default" w:ascii="Times New Roman" w:hAnsi="Times New Roman" w:eastAsia="黑体" w:cs="Times New Roman"/>
          <w:snapToGrid w:val="0"/>
          <w:color w:val="auto"/>
          <w:sz w:val="30"/>
          <w:szCs w:val="30"/>
          <w:highlight w:val="none"/>
        </w:rPr>
        <w:t>四、主要环境影响和保护措施</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746" w:type="dxa"/>
            <w:noWrap w:val="0"/>
            <w:tcMar>
              <w:left w:w="28" w:type="dxa"/>
              <w:right w:w="28" w:type="dxa"/>
            </w:tcMar>
            <w:vAlign w:val="center"/>
          </w:tcPr>
          <w:p>
            <w:pPr>
              <w:pStyle w:val="16"/>
              <w:keepNext w:val="0"/>
              <w:keepLines w:val="0"/>
              <w:pageBreakBefore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施工</w:t>
            </w:r>
          </w:p>
          <w:p>
            <w:pPr>
              <w:pStyle w:val="16"/>
              <w:keepNext w:val="0"/>
              <w:keepLines w:val="0"/>
              <w:pageBreakBefore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期环</w:t>
            </w:r>
          </w:p>
          <w:p>
            <w:pPr>
              <w:pStyle w:val="16"/>
              <w:keepNext w:val="0"/>
              <w:keepLines w:val="0"/>
              <w:pageBreakBefore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境保</w:t>
            </w:r>
          </w:p>
          <w:p>
            <w:pPr>
              <w:pStyle w:val="16"/>
              <w:keepNext w:val="0"/>
              <w:keepLines w:val="0"/>
              <w:pageBreakBefore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护措</w:t>
            </w:r>
          </w:p>
          <w:p>
            <w:pPr>
              <w:pStyle w:val="16"/>
              <w:keepNext w:val="0"/>
              <w:keepLines w:val="0"/>
              <w:pageBreakBefore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cs="Times New Roman"/>
                <w:bCs/>
                <w:color w:val="auto"/>
                <w:kern w:val="2"/>
                <w:sz w:val="21"/>
                <w:szCs w:val="21"/>
                <w:highlight w:val="none"/>
              </w:rPr>
            </w:pPr>
            <w:r>
              <w:rPr>
                <w:rFonts w:hint="default" w:ascii="Times New Roman" w:hAnsi="Times New Roman" w:cs="Times New Roman"/>
                <w:color w:val="auto"/>
                <w:kern w:val="2"/>
                <w:sz w:val="21"/>
                <w:szCs w:val="21"/>
                <w:highlight w:val="none"/>
              </w:rPr>
              <w:t>施</w:t>
            </w:r>
          </w:p>
        </w:tc>
        <w:tc>
          <w:tcPr>
            <w:tcW w:w="816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工程施工期预计</w:t>
            </w:r>
            <w:r>
              <w:rPr>
                <w:rFonts w:hint="eastAsia" w:cs="Times New Roman"/>
                <w:color w:val="auto"/>
                <w:sz w:val="21"/>
                <w:szCs w:val="21"/>
                <w:lang w:val="en-US" w:eastAsia="zh-CN"/>
              </w:rPr>
              <w:t>2</w:t>
            </w:r>
            <w:r>
              <w:rPr>
                <w:rFonts w:hint="default" w:ascii="Times New Roman" w:hAnsi="Times New Roman" w:cs="Times New Roman"/>
                <w:color w:val="auto"/>
                <w:sz w:val="21"/>
                <w:szCs w:val="21"/>
                <w:lang w:val="en-US" w:eastAsia="zh-CN"/>
              </w:rPr>
              <w:t>个月，</w:t>
            </w:r>
            <w:r>
              <w:rPr>
                <w:rFonts w:hint="eastAsia" w:cs="Times New Roman"/>
                <w:color w:val="auto"/>
                <w:sz w:val="21"/>
                <w:szCs w:val="21"/>
                <w:lang w:val="en-US" w:eastAsia="zh-CN"/>
              </w:rPr>
              <w:t>租赁现有生产车间</w:t>
            </w:r>
            <w:r>
              <w:rPr>
                <w:rFonts w:hint="default" w:ascii="Times New Roman" w:hAnsi="Times New Roman" w:cs="Times New Roman"/>
                <w:color w:val="auto"/>
                <w:sz w:val="21"/>
                <w:szCs w:val="21"/>
                <w:lang w:val="en-US" w:eastAsia="zh-CN"/>
              </w:rPr>
              <w:t>进行</w:t>
            </w:r>
            <w:r>
              <w:rPr>
                <w:rFonts w:hint="eastAsia" w:cs="Times New Roman"/>
                <w:color w:val="auto"/>
                <w:sz w:val="21"/>
                <w:szCs w:val="21"/>
                <w:lang w:val="en-US" w:eastAsia="zh-CN"/>
              </w:rPr>
              <w:t>建设</w:t>
            </w:r>
            <w:r>
              <w:rPr>
                <w:rFonts w:hint="default" w:ascii="Times New Roman" w:hAnsi="Times New Roman" w:cs="Times New Roman"/>
                <w:color w:val="auto"/>
                <w:sz w:val="21"/>
                <w:szCs w:val="21"/>
                <w:lang w:val="en-US" w:eastAsia="zh-CN"/>
              </w:rPr>
              <w:t>，后续不进行</w:t>
            </w:r>
            <w:r>
              <w:rPr>
                <w:rFonts w:hint="eastAsia" w:cs="Times New Roman"/>
                <w:color w:val="auto"/>
                <w:sz w:val="21"/>
                <w:szCs w:val="21"/>
                <w:lang w:val="en-US" w:eastAsia="zh-CN"/>
              </w:rPr>
              <w:t>大规模</w:t>
            </w:r>
            <w:r>
              <w:rPr>
                <w:rFonts w:hint="default" w:ascii="Times New Roman" w:hAnsi="Times New Roman" w:cs="Times New Roman"/>
                <w:color w:val="auto"/>
                <w:sz w:val="21"/>
                <w:szCs w:val="21"/>
                <w:lang w:val="en-US" w:eastAsia="zh-CN"/>
              </w:rPr>
              <w:t>土建等施工工程，施工期主要为</w:t>
            </w:r>
            <w:r>
              <w:rPr>
                <w:rFonts w:hint="eastAsia" w:cs="Times New Roman"/>
                <w:color w:val="auto"/>
                <w:sz w:val="21"/>
                <w:szCs w:val="21"/>
                <w:lang w:val="en-US" w:eastAsia="zh-CN"/>
              </w:rPr>
              <w:t>生产</w:t>
            </w:r>
            <w:r>
              <w:rPr>
                <w:rFonts w:hint="default" w:ascii="Times New Roman" w:hAnsi="Times New Roman" w:cs="Times New Roman"/>
                <w:color w:val="auto"/>
                <w:sz w:val="21"/>
                <w:szCs w:val="21"/>
                <w:lang w:val="en-US" w:eastAsia="zh-CN"/>
              </w:rPr>
              <w:t>设备的安装</w:t>
            </w:r>
            <w:r>
              <w:rPr>
                <w:rFonts w:hint="eastAsia" w:cs="Times New Roman"/>
                <w:color w:val="auto"/>
                <w:sz w:val="21"/>
                <w:szCs w:val="21"/>
                <w:lang w:val="en-US" w:eastAsia="zh-CN"/>
              </w:rPr>
              <w:t>以及车间装修等</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均</w:t>
            </w:r>
            <w:r>
              <w:rPr>
                <w:rFonts w:hint="default" w:ascii="Times New Roman" w:hAnsi="Times New Roman" w:cs="Times New Roman"/>
                <w:color w:val="auto"/>
                <w:sz w:val="21"/>
                <w:szCs w:val="21"/>
                <w:lang w:val="en-US" w:eastAsia="zh-CN"/>
              </w:rPr>
              <w:t>在车间内进行</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施工期对项目周围生态环境有轻度和短暂的影响。项目施工期的主要污染环节为施工</w:t>
            </w:r>
            <w:r>
              <w:rPr>
                <w:rFonts w:hint="eastAsia" w:cs="Times New Roman"/>
                <w:color w:val="auto"/>
                <w:sz w:val="21"/>
                <w:szCs w:val="21"/>
                <w:lang w:val="en-US" w:eastAsia="zh-CN"/>
              </w:rPr>
              <w:t>废气</w:t>
            </w:r>
            <w:r>
              <w:rPr>
                <w:rFonts w:hint="default" w:ascii="Times New Roman" w:hAnsi="Times New Roman" w:cs="Times New Roman"/>
                <w:color w:val="auto"/>
                <w:sz w:val="21"/>
                <w:szCs w:val="21"/>
                <w:lang w:val="en-US" w:eastAsia="zh-CN"/>
              </w:rPr>
              <w:t>、机械噪声、废水和固体废物。</w:t>
            </w:r>
          </w:p>
          <w:p>
            <w:pPr>
              <w:pStyle w:val="20"/>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1、</w:t>
            </w:r>
            <w:r>
              <w:rPr>
                <w:rFonts w:hint="default" w:ascii="Times New Roman" w:hAnsi="Times New Roman" w:cs="Times New Roman"/>
                <w:b/>
                <w:bCs/>
                <w:color w:val="auto"/>
                <w:sz w:val="21"/>
                <w:szCs w:val="21"/>
                <w:lang w:val="en-US" w:eastAsia="zh-CN"/>
              </w:rPr>
              <w:t>施工废气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施工期</w:t>
            </w:r>
            <w:r>
              <w:rPr>
                <w:rFonts w:hint="eastAsia" w:cs="Times New Roman"/>
                <w:color w:val="auto"/>
                <w:sz w:val="21"/>
                <w:szCs w:val="21"/>
                <w:lang w:val="en-US" w:eastAsia="zh-CN"/>
              </w:rPr>
              <w:t>废气</w:t>
            </w:r>
            <w:r>
              <w:rPr>
                <w:rFonts w:hint="default" w:ascii="Times New Roman" w:hAnsi="Times New Roman" w:cs="Times New Roman"/>
                <w:color w:val="auto"/>
                <w:sz w:val="21"/>
                <w:szCs w:val="21"/>
                <w:lang w:val="en-US" w:eastAsia="zh-CN"/>
              </w:rPr>
              <w:t>主要包括厂房装修废气和施工运输车辆尾气。</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厂房装修废气</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房装修废气主要为装修用的墙纸、涂料油漆等会在室内长期释放出大量的甲醛、挥发性有机物等有害污染。装修阶段的废气排放周期短，且作业点分散，评价要求建设单位施工过程优先使用环保材料进行装修，并勤开窗通风。建设单位在施工装修期间采取了上述措施后，其产生的废气能够得到有效控制，不会对周围的大气环境造成明显的影响。</w:t>
            </w:r>
          </w:p>
          <w:p>
            <w:pPr>
              <w:pStyle w:val="20"/>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施工运输车辆尾气</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施工阶段生产设备、施工原材料等运输车辆运行将产生车辆尾气，考虑其排放量不大，对周边环境空气质量影响范围及程度较小，只要建设单位做好施工现场的交通组织，避免因施工造成的交通阻塞，也可减少运输车辆怠速产生的废气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2、废水</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施工期间废水主要为施工人员生活污水，根据工程施工实际情况，项目施工期间无需设置施工营地，且施工范围较小，施工人员较少，因此产生的施工生活污水量较少，经化粪池进行处理后，</w:t>
            </w:r>
            <w:r>
              <w:rPr>
                <w:rFonts w:hint="eastAsia" w:ascii="Times New Roman" w:hAnsi="Times New Roman" w:cs="Times New Roman"/>
                <w:color w:val="auto"/>
                <w:sz w:val="21"/>
                <w:szCs w:val="21"/>
                <w:lang w:val="en-US" w:eastAsia="zh-CN"/>
              </w:rPr>
              <w:t>定期清运</w:t>
            </w:r>
            <w:r>
              <w:rPr>
                <w:rFonts w:hint="default" w:ascii="Times New Roman" w:hAnsi="Times New Roman" w:cs="Times New Roman"/>
                <w:color w:val="auto"/>
                <w:sz w:val="21"/>
                <w:szCs w:val="21"/>
                <w:lang w:val="en-US" w:eastAsia="zh-CN"/>
              </w:rPr>
              <w:t>。</w:t>
            </w:r>
          </w:p>
          <w:p>
            <w:pPr>
              <w:pStyle w:val="20"/>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3、噪声</w:t>
            </w:r>
          </w:p>
          <w:p>
            <w:pPr>
              <w:keepNext w:val="0"/>
              <w:keepLines w:val="0"/>
              <w:pageBreakBefore w:val="0"/>
              <w:widowControl w:val="0"/>
              <w:numPr>
                <w:ilvl w:val="0"/>
                <w:numId w:val="0"/>
              </w:numPr>
              <w:kinsoku/>
              <w:wordWrap/>
              <w:overflowPunct/>
              <w:topLinePunct w:val="0"/>
              <w:bidi w:val="0"/>
              <w:adjustRightInd/>
              <w:snapToGrid/>
              <w:spacing w:line="360" w:lineRule="auto"/>
              <w:ind w:left="0" w:leftChars="0"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工程在施工时拟采取以下措施：尽量采用低噪声设备，合理安排施工时间，避免夜间施工，对运输车辆加强管理，压缩施工期的汽车数量及行车密度，控制汽车鸣笛等方式。</w:t>
            </w:r>
          </w:p>
          <w:p>
            <w:pPr>
              <w:keepNext w:val="0"/>
              <w:keepLines w:val="0"/>
              <w:pageBreakBefore w:val="0"/>
              <w:widowControl w:val="0"/>
              <w:numPr>
                <w:ilvl w:val="0"/>
                <w:numId w:val="0"/>
              </w:numPr>
              <w:kinsoku/>
              <w:wordWrap/>
              <w:overflowPunct/>
              <w:topLinePunct w:val="0"/>
              <w:bidi w:val="0"/>
              <w:adjustRightInd/>
              <w:snapToGrid/>
              <w:spacing w:line="360" w:lineRule="auto"/>
              <w:ind w:left="0" w:leftChars="0"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另外，项目所在地50m范围内没有声环境敏感点，因此项目的施工对声环境不会造成很大影响。在确保采取有效措施对场址施工噪声进行控制后，本项目昼间和夜间的施工噪声对周围环境影响不明显。</w:t>
            </w:r>
          </w:p>
          <w:p>
            <w:pPr>
              <w:keepNext w:val="0"/>
              <w:keepLines w:val="0"/>
              <w:pageBreakBefore w:val="0"/>
              <w:widowControl w:val="0"/>
              <w:numPr>
                <w:ilvl w:val="0"/>
                <w:numId w:val="0"/>
              </w:numPr>
              <w:kinsoku/>
              <w:wordWrap/>
              <w:overflowPunct/>
              <w:topLinePunct w:val="0"/>
              <w:bidi w:val="0"/>
              <w:adjustRightInd/>
              <w:snapToGrid/>
              <w:spacing w:line="360" w:lineRule="auto"/>
              <w:ind w:left="0" w:leftChars="0"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项目施工期噪声影响是暂时的，在采取相应的管理措施后可减至最低，并将随着施工期的结束而消失。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4、固废</w:t>
            </w:r>
          </w:p>
          <w:p>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hint="default" w:ascii="Times New Roman" w:hAnsi="Times New Roman" w:eastAsia="宋体" w:cs="Times New Roman"/>
                <w:bCs/>
                <w:color w:val="auto"/>
                <w:spacing w:val="-10"/>
                <w:szCs w:val="21"/>
                <w:highlight w:val="none"/>
                <w:lang w:val="en-US" w:eastAsia="zh-CN"/>
              </w:rPr>
            </w:pPr>
            <w:r>
              <w:rPr>
                <w:rFonts w:hint="default" w:ascii="Times New Roman" w:hAnsi="Times New Roman" w:cs="Times New Roman"/>
                <w:color w:val="auto"/>
                <w:sz w:val="21"/>
                <w:szCs w:val="21"/>
                <w:highlight w:val="none"/>
                <w:lang w:val="en-US" w:eastAsia="zh-CN"/>
              </w:rPr>
              <w:t>施工期间固废主要废包装材料、废装修材料和生活垃圾，其中废包装材料以塑料薄膜、纸板等为主，废装修材料</w:t>
            </w:r>
            <w:r>
              <w:rPr>
                <w:rFonts w:hint="eastAsia" w:cs="Times New Roman"/>
                <w:color w:val="auto"/>
                <w:sz w:val="21"/>
                <w:szCs w:val="21"/>
                <w:highlight w:val="none"/>
                <w:lang w:val="en-US" w:eastAsia="zh-CN"/>
              </w:rPr>
              <w:t>以</w:t>
            </w:r>
            <w:r>
              <w:rPr>
                <w:rFonts w:hint="default" w:ascii="Times New Roman" w:hAnsi="Times New Roman" w:cs="Times New Roman"/>
                <w:color w:val="auto"/>
                <w:sz w:val="21"/>
                <w:szCs w:val="21"/>
                <w:highlight w:val="none"/>
                <w:lang w:val="en-US" w:eastAsia="zh-CN"/>
              </w:rPr>
              <w:t>彩钢板、亚克力板为主，经收集后直接外售至废品回收站，实现资源化利用；生活垃圾经袋装收集后暂存于垃圾收集站，统一交由环卫部门清运处理。采取上述治理措施后，各项固体废物可实现无害化处置或资源化利用，不会对环境造成二次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noWrap w:val="0"/>
            <w:tcMar>
              <w:left w:w="28" w:type="dxa"/>
              <w:right w:w="28" w:type="dxa"/>
            </w:tcMar>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w:t>
            </w:r>
          </w:p>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期环</w:t>
            </w:r>
          </w:p>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境影</w:t>
            </w:r>
          </w:p>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响和</w:t>
            </w:r>
          </w:p>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保护</w:t>
            </w:r>
          </w:p>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措施</w:t>
            </w:r>
          </w:p>
        </w:tc>
        <w:tc>
          <w:tcPr>
            <w:tcW w:w="8162" w:type="dxa"/>
            <w:noWrap w:val="0"/>
            <w:vAlign w:val="center"/>
          </w:tcPr>
          <w:p>
            <w:pPr>
              <w:keepLines w:val="0"/>
              <w:pageBreakBefore w:val="0"/>
              <w:widowControl w:val="0"/>
              <w:numPr>
                <w:ilvl w:val="0"/>
                <w:numId w:val="0"/>
              </w:numPr>
              <w:kinsoku/>
              <w:wordWrap/>
              <w:topLinePunct w:val="0"/>
              <w:autoSpaceDE w:val="0"/>
              <w:autoSpaceDN w:val="0"/>
              <w:bidi w:val="0"/>
              <w:adjustRightInd/>
              <w:snapToGrid/>
              <w:spacing w:line="360" w:lineRule="auto"/>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1、</w:t>
            </w:r>
            <w:r>
              <w:rPr>
                <w:rFonts w:hint="default" w:ascii="Times New Roman" w:hAnsi="Times New Roman" w:cs="Times New Roman"/>
                <w:b/>
                <w:color w:val="auto"/>
                <w:kern w:val="0"/>
                <w:szCs w:val="21"/>
                <w:highlight w:val="none"/>
              </w:rPr>
              <w:t>废气</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cs="Times New Roman"/>
                <w:bCs/>
                <w:color w:val="auto"/>
                <w:kern w:val="0"/>
                <w:sz w:val="21"/>
                <w:szCs w:val="21"/>
                <w:highlight w:val="cyan"/>
                <w:lang w:val="en-US" w:eastAsia="zh-CN"/>
              </w:rPr>
            </w:pPr>
            <w:r>
              <w:rPr>
                <w:rFonts w:hint="eastAsia" w:cs="Times New Roman"/>
                <w:bCs/>
                <w:color w:val="auto"/>
                <w:kern w:val="0"/>
                <w:sz w:val="21"/>
                <w:szCs w:val="21"/>
                <w:highlight w:val="none"/>
                <w:lang w:eastAsia="zh-CN"/>
              </w:rPr>
              <w:t>本项目</w:t>
            </w:r>
            <w:r>
              <w:rPr>
                <w:rFonts w:hint="default" w:ascii="Times New Roman" w:hAnsi="Times New Roman" w:cs="Times New Roman"/>
                <w:bCs/>
                <w:color w:val="auto"/>
                <w:kern w:val="0"/>
                <w:sz w:val="21"/>
                <w:szCs w:val="21"/>
                <w:highlight w:val="none"/>
                <w:lang w:eastAsia="zh-CN"/>
              </w:rPr>
              <w:t>废气主要为</w:t>
            </w:r>
            <w:r>
              <w:rPr>
                <w:rFonts w:hint="eastAsia" w:cs="Times New Roman"/>
                <w:bCs/>
                <w:color w:val="auto"/>
                <w:kern w:val="0"/>
                <w:sz w:val="21"/>
                <w:szCs w:val="21"/>
                <w:highlight w:val="none"/>
                <w:lang w:eastAsia="zh-CN"/>
              </w:rPr>
              <w:t>注液过程电解液挥发产生的有机废气和一体化污水设施运行产生的恶臭</w:t>
            </w:r>
            <w:r>
              <w:rPr>
                <w:rFonts w:hint="default" w:ascii="Times New Roman" w:hAnsi="Times New Roman" w:cs="Times New Roman"/>
                <w:bCs/>
                <w:color w:val="auto"/>
                <w:kern w:val="0"/>
                <w:sz w:val="21"/>
                <w:szCs w:val="21"/>
                <w:highlight w:val="none"/>
                <w:lang w:eastAsia="zh-CN"/>
              </w:rPr>
              <w:t>，</w:t>
            </w:r>
            <w:r>
              <w:rPr>
                <w:rFonts w:hint="default" w:ascii="Times New Roman" w:hAnsi="Times New Roman" w:cs="Times New Roman"/>
                <w:bCs/>
                <w:color w:val="auto"/>
                <w:kern w:val="0"/>
                <w:sz w:val="21"/>
                <w:szCs w:val="21"/>
                <w:highlight w:val="none"/>
              </w:rPr>
              <w:t>本次评价废气污染物源强的确定方法主</w:t>
            </w:r>
            <w:r>
              <w:rPr>
                <w:rFonts w:hint="default" w:ascii="Times New Roman" w:hAnsi="Times New Roman" w:cs="Times New Roman"/>
                <w:bCs/>
                <w:color w:val="auto"/>
                <w:kern w:val="0"/>
                <w:sz w:val="21"/>
                <w:szCs w:val="21"/>
                <w:highlight w:val="none"/>
                <w:lang w:eastAsia="zh-CN"/>
              </w:rPr>
              <w:t>要根据</w:t>
            </w:r>
            <w:r>
              <w:rPr>
                <w:rFonts w:hint="eastAsia" w:cs="Times New Roman"/>
                <w:bCs/>
                <w:color w:val="auto"/>
                <w:kern w:val="0"/>
                <w:sz w:val="21"/>
                <w:szCs w:val="21"/>
                <w:highlight w:val="none"/>
                <w:lang w:eastAsia="zh-CN"/>
              </w:rPr>
              <w:t>《污染源源强强核算技术指南—准则》（</w:t>
            </w:r>
            <w:r>
              <w:rPr>
                <w:rFonts w:hint="eastAsia" w:cs="Times New Roman"/>
                <w:bCs/>
                <w:color w:val="auto"/>
                <w:kern w:val="0"/>
                <w:sz w:val="21"/>
                <w:szCs w:val="21"/>
                <w:highlight w:val="none"/>
                <w:lang w:val="en-US" w:eastAsia="zh-CN"/>
              </w:rPr>
              <w:t>HJ884-2018</w:t>
            </w:r>
            <w:r>
              <w:rPr>
                <w:rFonts w:hint="eastAsia" w:cs="Times New Roman"/>
                <w:bCs/>
                <w:color w:val="auto"/>
                <w:kern w:val="0"/>
                <w:sz w:val="21"/>
                <w:szCs w:val="21"/>
                <w:highlight w:val="none"/>
                <w:lang w:eastAsia="zh-CN"/>
              </w:rPr>
              <w:t>），同时结合建设单位提供资料并类比同类型项目进行确定。</w:t>
            </w:r>
          </w:p>
          <w:p>
            <w:pPr>
              <w:keepLines w:val="0"/>
              <w:pageBreakBefore w:val="0"/>
              <w:widowControl w:val="0"/>
              <w:numPr>
                <w:ilvl w:val="0"/>
                <w:numId w:val="0"/>
              </w:numPr>
              <w:kinsoku/>
              <w:wordWrap/>
              <w:topLinePunct w:val="0"/>
              <w:autoSpaceDE w:val="0"/>
              <w:autoSpaceDN w:val="0"/>
              <w:bidi w:val="0"/>
              <w:adjustRightInd/>
              <w:snapToGrid/>
              <w:spacing w:line="360" w:lineRule="auto"/>
              <w:textAlignment w:val="auto"/>
              <w:rPr>
                <w:rFonts w:hint="default" w:ascii="Times New Roman" w:hAnsi="Times New Roman" w:cs="Times New Roman"/>
                <w:b/>
                <w:bCs/>
                <w:color w:val="auto"/>
                <w:kern w:val="0"/>
                <w:sz w:val="21"/>
                <w:szCs w:val="21"/>
                <w:highlight w:val="none"/>
              </w:rPr>
            </w:pPr>
            <w:r>
              <w:rPr>
                <w:rFonts w:hint="eastAsia" w:cs="Times New Roman"/>
                <w:b/>
                <w:bCs/>
                <w:color w:val="auto"/>
                <w:kern w:val="0"/>
                <w:sz w:val="21"/>
                <w:szCs w:val="21"/>
                <w:highlight w:val="none"/>
                <w:lang w:val="en-US" w:eastAsia="zh-CN"/>
              </w:rPr>
              <w:t>1.1</w:t>
            </w:r>
            <w:r>
              <w:rPr>
                <w:rFonts w:hint="default" w:ascii="Times New Roman" w:hAnsi="Times New Roman" w:cs="Times New Roman"/>
                <w:b/>
                <w:bCs/>
                <w:color w:val="auto"/>
                <w:kern w:val="0"/>
                <w:sz w:val="21"/>
                <w:szCs w:val="21"/>
                <w:highlight w:val="none"/>
              </w:rPr>
              <w:t>工艺废气污染源强</w:t>
            </w:r>
            <w:r>
              <w:rPr>
                <w:rFonts w:hint="default" w:ascii="Times New Roman" w:hAnsi="Times New Roman" w:cs="Times New Roman"/>
                <w:b/>
                <w:bCs/>
                <w:color w:val="auto"/>
                <w:kern w:val="0"/>
                <w:sz w:val="21"/>
                <w:szCs w:val="21"/>
                <w:highlight w:val="none"/>
                <w:lang w:eastAsia="zh-CN"/>
              </w:rPr>
              <w:t>核算</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bidi="ar-SA"/>
              </w:rPr>
              <w:t>（1）</w:t>
            </w:r>
            <w:r>
              <w:rPr>
                <w:rFonts w:hint="eastAsia" w:cs="Times New Roman"/>
                <w:bCs/>
                <w:color w:val="auto"/>
                <w:kern w:val="0"/>
                <w:sz w:val="21"/>
                <w:szCs w:val="21"/>
                <w:highlight w:val="none"/>
                <w:lang w:eastAsia="zh-CN"/>
              </w:rPr>
              <w:t>注液过程废气</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bidi="ar-SA"/>
              </w:rPr>
              <w:t>根据企业提供资料，</w:t>
            </w:r>
            <w:r>
              <w:rPr>
                <w:rFonts w:hint="default" w:ascii="Times New Roman" w:hAnsi="Times New Roman" w:cs="Times New Roman"/>
                <w:b w:val="0"/>
                <w:bCs/>
                <w:color w:val="auto"/>
                <w:kern w:val="0"/>
                <w:sz w:val="21"/>
                <w:szCs w:val="21"/>
                <w:highlight w:val="none"/>
                <w:lang w:val="en-US" w:eastAsia="zh-CN" w:bidi="ar-SA"/>
              </w:rPr>
              <w:t>本项目使用的电解液</w:t>
            </w:r>
            <w:r>
              <w:rPr>
                <w:rFonts w:hint="eastAsia" w:cs="Times New Roman"/>
                <w:b w:val="0"/>
                <w:bCs/>
                <w:color w:val="auto"/>
                <w:kern w:val="0"/>
                <w:sz w:val="21"/>
                <w:szCs w:val="21"/>
                <w:highlight w:val="none"/>
                <w:lang w:val="en-US" w:eastAsia="zh-CN" w:bidi="ar-SA"/>
              </w:rPr>
              <w:t>主要成分包括六氟磷酸锂、碳酸二甲酯、碳酸乙烯酯、碳酸甲乙酯、碳酸二乙酯</w:t>
            </w:r>
            <w:r>
              <w:rPr>
                <w:rFonts w:hint="default" w:ascii="Times New Roman" w:hAnsi="Times New Roman" w:cs="Times New Roman"/>
                <w:b w:val="0"/>
                <w:bCs/>
                <w:color w:val="auto"/>
                <w:kern w:val="0"/>
                <w:sz w:val="21"/>
                <w:szCs w:val="21"/>
                <w:highlight w:val="none"/>
                <w:lang w:val="en-US" w:eastAsia="zh-CN" w:bidi="ar-SA"/>
              </w:rPr>
              <w:t>，</w:t>
            </w:r>
            <w:r>
              <w:rPr>
                <w:rFonts w:hint="eastAsia" w:cs="Times New Roman"/>
                <w:b w:val="0"/>
                <w:bCs/>
                <w:color w:val="auto"/>
                <w:kern w:val="0"/>
                <w:sz w:val="21"/>
                <w:szCs w:val="21"/>
                <w:highlight w:val="none"/>
                <w:lang w:val="en-US" w:eastAsia="zh-CN" w:bidi="ar-SA"/>
              </w:rPr>
              <w:t>因此在</w:t>
            </w:r>
            <w:r>
              <w:rPr>
                <w:rFonts w:hint="default" w:ascii="Times New Roman" w:hAnsi="Times New Roman" w:cs="Times New Roman"/>
                <w:b w:val="0"/>
                <w:bCs/>
                <w:color w:val="auto"/>
                <w:kern w:val="0"/>
                <w:sz w:val="21"/>
                <w:szCs w:val="21"/>
                <w:highlight w:val="none"/>
                <w:lang w:val="en-US" w:eastAsia="zh-CN" w:bidi="ar-SA"/>
              </w:rPr>
              <w:t>注液过程中会有少量的溶剂挥发，</w:t>
            </w:r>
            <w:r>
              <w:rPr>
                <w:rFonts w:hint="eastAsia" w:cs="Times New Roman"/>
                <w:b w:val="0"/>
                <w:bCs/>
                <w:color w:val="auto"/>
                <w:kern w:val="0"/>
                <w:sz w:val="21"/>
                <w:szCs w:val="21"/>
                <w:highlight w:val="none"/>
                <w:lang w:val="en-US" w:eastAsia="zh-CN" w:bidi="ar-SA"/>
              </w:rPr>
              <w:t>参考</w:t>
            </w:r>
            <w:r>
              <w:rPr>
                <w:rFonts w:hint="eastAsia" w:cs="Times New Roman"/>
                <w:bCs/>
                <w:color w:val="auto"/>
                <w:kern w:val="0"/>
                <w:sz w:val="21"/>
                <w:szCs w:val="21"/>
                <w:highlight w:val="none"/>
                <w:lang w:eastAsia="zh-CN"/>
              </w:rPr>
              <w:t>《排污许可证申请与核发技术规范—电池工业》（</w:t>
            </w:r>
            <w:r>
              <w:rPr>
                <w:rFonts w:hint="eastAsia" w:cs="Times New Roman"/>
                <w:bCs/>
                <w:color w:val="auto"/>
                <w:kern w:val="0"/>
                <w:sz w:val="21"/>
                <w:szCs w:val="21"/>
                <w:highlight w:val="none"/>
                <w:lang w:val="en-US" w:eastAsia="zh-CN"/>
              </w:rPr>
              <w:t>HJ967-2018</w:t>
            </w:r>
            <w:r>
              <w:rPr>
                <w:rFonts w:hint="eastAsia" w:cs="Times New Roman"/>
                <w:bCs/>
                <w:color w:val="auto"/>
                <w:kern w:val="0"/>
                <w:sz w:val="21"/>
                <w:szCs w:val="21"/>
                <w:highlight w:val="none"/>
                <w:lang w:eastAsia="zh-CN"/>
              </w:rPr>
              <w:t>）</w:t>
            </w:r>
            <w:r>
              <w:rPr>
                <w:rFonts w:hint="eastAsia" w:cs="Times New Roman"/>
                <w:b w:val="0"/>
                <w:bCs/>
                <w:color w:val="auto"/>
                <w:kern w:val="0"/>
                <w:sz w:val="21"/>
                <w:szCs w:val="21"/>
                <w:highlight w:val="none"/>
                <w:lang w:val="en-US" w:eastAsia="zh-CN" w:bidi="ar-SA"/>
              </w:rPr>
              <w:t>，注液工序主要</w:t>
            </w:r>
            <w:r>
              <w:rPr>
                <w:rFonts w:hint="default" w:ascii="Times New Roman" w:hAnsi="Times New Roman" w:cs="Times New Roman"/>
                <w:b w:val="0"/>
                <w:bCs/>
                <w:color w:val="auto"/>
                <w:kern w:val="0"/>
                <w:sz w:val="21"/>
                <w:szCs w:val="21"/>
                <w:highlight w:val="none"/>
                <w:lang w:val="en-US" w:eastAsia="zh-CN" w:bidi="ar-SA"/>
              </w:rPr>
              <w:t>识别</w:t>
            </w:r>
            <w:r>
              <w:rPr>
                <w:rFonts w:hint="eastAsia" w:cs="Times New Roman"/>
                <w:b w:val="0"/>
                <w:bCs/>
                <w:color w:val="auto"/>
                <w:kern w:val="0"/>
                <w:sz w:val="21"/>
                <w:szCs w:val="21"/>
                <w:highlight w:val="none"/>
                <w:lang w:val="en-US" w:eastAsia="zh-CN" w:bidi="ar-SA"/>
              </w:rPr>
              <w:t>污染因子</w:t>
            </w:r>
            <w:r>
              <w:rPr>
                <w:rFonts w:hint="default" w:ascii="Times New Roman" w:hAnsi="Times New Roman" w:cs="Times New Roman"/>
                <w:b w:val="0"/>
                <w:bCs/>
                <w:color w:val="auto"/>
                <w:kern w:val="0"/>
                <w:sz w:val="21"/>
                <w:szCs w:val="21"/>
                <w:highlight w:val="none"/>
                <w:lang w:val="en-US" w:eastAsia="zh-CN" w:bidi="ar-SA"/>
              </w:rPr>
              <w:t>为非甲烷总烃。</w:t>
            </w:r>
            <w:r>
              <w:rPr>
                <w:rFonts w:hint="eastAsia" w:cs="Times New Roman"/>
                <w:b w:val="0"/>
                <w:bCs/>
                <w:color w:val="auto"/>
                <w:kern w:val="0"/>
                <w:sz w:val="21"/>
                <w:szCs w:val="21"/>
                <w:highlight w:val="none"/>
                <w:lang w:val="en-US" w:eastAsia="zh-CN" w:bidi="ar-SA"/>
              </w:rPr>
              <w:t>注液工序废气源强类比《新乡市英明新能源材料有限公司年加工5千万安时锂电池项目竣工环境保护验收监测报告》，具体类比对照表如下：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项目类比情况一览表</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76"/>
              <w:gridCol w:w="3375"/>
              <w:gridCol w:w="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454" w:hRule="atLeast"/>
                <w:jc w:val="center"/>
              </w:trPr>
              <w:tc>
                <w:tcPr>
                  <w:tcW w:w="87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Cs/>
                      <w:color w:val="auto"/>
                      <w:sz w:val="18"/>
                      <w:szCs w:val="18"/>
                      <w:highlight w:val="none"/>
                    </w:rPr>
                  </w:pPr>
                  <w:r>
                    <w:rPr>
                      <w:rFonts w:hint="eastAsia"/>
                      <w:bCs/>
                      <w:color w:val="auto"/>
                      <w:sz w:val="18"/>
                      <w:szCs w:val="18"/>
                      <w:highlight w:val="none"/>
                    </w:rPr>
                    <w:t>项目</w:t>
                  </w:r>
                </w:p>
              </w:tc>
              <w:tc>
                <w:tcPr>
                  <w:tcW w:w="199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bCs/>
                      <w:color w:val="auto"/>
                      <w:sz w:val="18"/>
                      <w:szCs w:val="18"/>
                      <w:highlight w:val="none"/>
                      <w:lang w:eastAsia="zh-CN"/>
                    </w:rPr>
                  </w:pPr>
                  <w:r>
                    <w:rPr>
                      <w:rFonts w:hint="eastAsia"/>
                      <w:bCs/>
                      <w:color w:val="auto"/>
                      <w:sz w:val="18"/>
                      <w:szCs w:val="18"/>
                      <w:highlight w:val="none"/>
                    </w:rPr>
                    <w:t>新乡市英明新能源材料有限公司年加工5千万安时锂电池项目竣工环境保护验收监测报告</w:t>
                  </w:r>
                  <w:r>
                    <w:rPr>
                      <w:rFonts w:hint="eastAsia"/>
                      <w:bCs/>
                      <w:color w:val="auto"/>
                      <w:sz w:val="18"/>
                      <w:szCs w:val="18"/>
                      <w:highlight w:val="none"/>
                      <w:lang w:eastAsia="zh-CN"/>
                    </w:rPr>
                    <w:t>内容</w:t>
                  </w:r>
                </w:p>
              </w:tc>
              <w:tc>
                <w:tcPr>
                  <w:tcW w:w="212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Cs/>
                      <w:color w:val="auto"/>
                      <w:sz w:val="18"/>
                      <w:szCs w:val="18"/>
                      <w:highlight w:val="none"/>
                    </w:rPr>
                  </w:pPr>
                  <w:r>
                    <w:rPr>
                      <w:rFonts w:hint="eastAsia"/>
                      <w:bCs/>
                      <w:color w:val="auto"/>
                      <w:sz w:val="18"/>
                      <w:szCs w:val="18"/>
                      <w:highlight w:val="none"/>
                    </w:rPr>
                    <w:t>本项目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454" w:hRule="atLeast"/>
                <w:jc w:val="center"/>
              </w:trPr>
              <w:tc>
                <w:tcPr>
                  <w:tcW w:w="87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bCs/>
                      <w:color w:val="auto"/>
                      <w:sz w:val="18"/>
                      <w:szCs w:val="18"/>
                      <w:highlight w:val="none"/>
                      <w:lang w:eastAsia="zh-CN"/>
                    </w:rPr>
                  </w:pPr>
                  <w:r>
                    <w:rPr>
                      <w:rFonts w:hint="eastAsia"/>
                      <w:bCs/>
                      <w:color w:val="auto"/>
                      <w:sz w:val="18"/>
                      <w:szCs w:val="18"/>
                      <w:highlight w:val="none"/>
                      <w:lang w:eastAsia="zh-CN"/>
                    </w:rPr>
                    <w:t>主要产品</w:t>
                  </w:r>
                </w:p>
              </w:tc>
              <w:tc>
                <w:tcPr>
                  <w:tcW w:w="199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bCs/>
                      <w:color w:val="auto"/>
                      <w:sz w:val="18"/>
                      <w:szCs w:val="18"/>
                      <w:highlight w:val="none"/>
                      <w:lang w:eastAsia="zh-CN"/>
                    </w:rPr>
                  </w:pPr>
                  <w:r>
                    <w:rPr>
                      <w:rFonts w:hint="eastAsia"/>
                      <w:bCs/>
                      <w:color w:val="auto"/>
                      <w:sz w:val="18"/>
                      <w:szCs w:val="18"/>
                      <w:highlight w:val="none"/>
                      <w:lang w:eastAsia="zh-CN"/>
                    </w:rPr>
                    <w:t>锂离子电池</w:t>
                  </w:r>
                </w:p>
              </w:tc>
              <w:tc>
                <w:tcPr>
                  <w:tcW w:w="212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Cs/>
                      <w:color w:val="auto"/>
                      <w:sz w:val="18"/>
                      <w:szCs w:val="18"/>
                      <w:highlight w:val="none"/>
                    </w:rPr>
                  </w:pPr>
                  <w:r>
                    <w:rPr>
                      <w:rFonts w:hint="eastAsia"/>
                      <w:bCs/>
                      <w:color w:val="auto"/>
                      <w:sz w:val="18"/>
                      <w:szCs w:val="18"/>
                      <w:highlight w:val="none"/>
                      <w:lang w:val="en-US" w:eastAsia="zh-CN"/>
                    </w:rPr>
                    <w:t>锂离子电池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bCs/>
                      <w:color w:val="auto"/>
                      <w:sz w:val="18"/>
                      <w:szCs w:val="18"/>
                      <w:highlight w:val="none"/>
                      <w:lang w:eastAsia="zh-CN"/>
                    </w:rPr>
                  </w:pPr>
                  <w:r>
                    <w:rPr>
                      <w:rFonts w:hint="eastAsia"/>
                      <w:bCs/>
                      <w:color w:val="auto"/>
                      <w:sz w:val="18"/>
                      <w:szCs w:val="18"/>
                      <w:highlight w:val="none"/>
                      <w:lang w:eastAsia="zh-CN"/>
                    </w:rPr>
                    <w:t>注液工艺</w:t>
                  </w:r>
                </w:p>
              </w:tc>
              <w:tc>
                <w:tcPr>
                  <w:tcW w:w="199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bCs/>
                      <w:color w:val="auto"/>
                      <w:sz w:val="18"/>
                      <w:szCs w:val="18"/>
                      <w:highlight w:val="none"/>
                      <w:lang w:eastAsia="zh-CN"/>
                    </w:rPr>
                  </w:pPr>
                  <w:r>
                    <w:rPr>
                      <w:rFonts w:hint="eastAsia" w:eastAsia="宋体"/>
                      <w:bCs/>
                      <w:color w:val="auto"/>
                      <w:sz w:val="18"/>
                      <w:szCs w:val="18"/>
                      <w:highlight w:val="none"/>
                      <w:lang w:eastAsia="zh-CN"/>
                    </w:rPr>
                    <w:t>注液是将电解液注入电芯并完全封住的过程，将电解液通过注液一体机加入到电芯中，注液材料为外购成品电解液，本项目不进行电解液配制。注电解液在手套箱内进行，在手套箱内将烘干好的电芯放入真空注液一体机内进行注液，注液工序电解液通过抽真空压力差自动注入电芯内。</w:t>
                  </w:r>
                </w:p>
              </w:tc>
              <w:tc>
                <w:tcPr>
                  <w:tcW w:w="213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bCs/>
                      <w:color w:val="auto"/>
                      <w:sz w:val="18"/>
                      <w:szCs w:val="18"/>
                      <w:highlight w:val="none"/>
                      <w:lang w:eastAsia="zh-CN"/>
                    </w:rPr>
                  </w:pPr>
                  <w:r>
                    <w:rPr>
                      <w:rFonts w:hint="eastAsia" w:eastAsia="宋体"/>
                      <w:bCs/>
                      <w:color w:val="auto"/>
                      <w:sz w:val="18"/>
                      <w:szCs w:val="18"/>
                      <w:highlight w:val="none"/>
                      <w:lang w:eastAsia="zh-CN"/>
                    </w:rPr>
                    <w:t>①手套箱供风装置为除湿机，通过除湿机处理新鲜空气后形成不含水分的空气鼓入手套箱，使手套箱内部形成微正压，进而形成封闭空间。②电池芯与注液机形成独立空间，连接处用密封阀密封，通过真空泵将电池芯内部抽真空，然后打开针阀阀芯，利用压力差将电解液注入电池芯，完成注液工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Cs/>
                      <w:color w:val="auto"/>
                      <w:sz w:val="18"/>
                      <w:szCs w:val="18"/>
                      <w:highlight w:val="none"/>
                      <w:lang w:eastAsia="zh-CN"/>
                    </w:rPr>
                  </w:pPr>
                  <w:r>
                    <w:rPr>
                      <w:rFonts w:hint="eastAsia"/>
                      <w:bCs/>
                      <w:color w:val="auto"/>
                      <w:sz w:val="18"/>
                      <w:szCs w:val="18"/>
                      <w:highlight w:val="none"/>
                      <w:lang w:eastAsia="zh-CN"/>
                    </w:rPr>
                    <w:t>注液工序电解液成分</w:t>
                  </w:r>
                </w:p>
              </w:tc>
              <w:tc>
                <w:tcPr>
                  <w:tcW w:w="199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bCs/>
                      <w:color w:val="auto"/>
                      <w:sz w:val="18"/>
                      <w:szCs w:val="18"/>
                      <w:highlight w:val="none"/>
                      <w:lang w:eastAsia="zh-CN"/>
                    </w:rPr>
                  </w:pPr>
                  <w:r>
                    <w:rPr>
                      <w:rFonts w:hint="eastAsia" w:eastAsia="宋体"/>
                      <w:bCs/>
                      <w:color w:val="auto"/>
                      <w:sz w:val="18"/>
                      <w:szCs w:val="18"/>
                      <w:highlight w:val="none"/>
                      <w:lang w:eastAsia="zh-CN"/>
                    </w:rPr>
                    <w:t>由碳酸酯类有机溶剂和六氟磷酸锂组成，溶剂包括碳酸丙烯酯</w:t>
                  </w:r>
                  <w:r>
                    <w:rPr>
                      <w:rFonts w:hint="eastAsia"/>
                      <w:bCs/>
                      <w:color w:val="auto"/>
                      <w:sz w:val="18"/>
                      <w:szCs w:val="18"/>
                      <w:highlight w:val="none"/>
                      <w:lang w:eastAsia="zh-CN"/>
                    </w:rPr>
                    <w:t>（</w:t>
                  </w:r>
                  <w:r>
                    <w:rPr>
                      <w:rFonts w:hint="eastAsia" w:eastAsia="宋体"/>
                      <w:bCs/>
                      <w:color w:val="auto"/>
                      <w:sz w:val="18"/>
                      <w:szCs w:val="18"/>
                      <w:highlight w:val="none"/>
                      <w:lang w:eastAsia="zh-CN"/>
                    </w:rPr>
                    <w:t>PC</w:t>
                  </w:r>
                  <w:r>
                    <w:rPr>
                      <w:rFonts w:hint="eastAsia"/>
                      <w:bCs/>
                      <w:color w:val="auto"/>
                      <w:sz w:val="18"/>
                      <w:szCs w:val="18"/>
                      <w:highlight w:val="none"/>
                      <w:lang w:eastAsia="zh-CN"/>
                    </w:rPr>
                    <w:t>）</w:t>
                  </w:r>
                  <w:r>
                    <w:rPr>
                      <w:rFonts w:hint="eastAsia" w:eastAsia="宋体"/>
                      <w:bCs/>
                      <w:color w:val="auto"/>
                      <w:sz w:val="18"/>
                      <w:szCs w:val="18"/>
                      <w:highlight w:val="none"/>
                      <w:lang w:eastAsia="zh-CN"/>
                    </w:rPr>
                    <w:t>、碳酸乙烯酯</w:t>
                  </w:r>
                  <w:r>
                    <w:rPr>
                      <w:rFonts w:hint="eastAsia"/>
                      <w:bCs/>
                      <w:color w:val="auto"/>
                      <w:sz w:val="18"/>
                      <w:szCs w:val="18"/>
                      <w:highlight w:val="none"/>
                      <w:lang w:eastAsia="zh-CN"/>
                    </w:rPr>
                    <w:t>（</w:t>
                  </w:r>
                  <w:r>
                    <w:rPr>
                      <w:rFonts w:hint="eastAsia" w:eastAsia="宋体"/>
                      <w:bCs/>
                      <w:color w:val="auto"/>
                      <w:sz w:val="18"/>
                      <w:szCs w:val="18"/>
                      <w:highlight w:val="none"/>
                      <w:lang w:eastAsia="zh-CN"/>
                    </w:rPr>
                    <w:t>EC</w:t>
                  </w:r>
                  <w:r>
                    <w:rPr>
                      <w:rFonts w:hint="eastAsia"/>
                      <w:bCs/>
                      <w:color w:val="auto"/>
                      <w:sz w:val="18"/>
                      <w:szCs w:val="18"/>
                      <w:highlight w:val="none"/>
                      <w:lang w:eastAsia="zh-CN"/>
                    </w:rPr>
                    <w:t>）</w:t>
                  </w:r>
                  <w:r>
                    <w:rPr>
                      <w:rFonts w:hint="eastAsia" w:eastAsia="宋体"/>
                      <w:bCs/>
                      <w:color w:val="auto"/>
                      <w:sz w:val="18"/>
                      <w:szCs w:val="18"/>
                      <w:highlight w:val="none"/>
                      <w:lang w:eastAsia="zh-CN"/>
                    </w:rPr>
                    <w:t>、碳酸二乙酯</w:t>
                  </w:r>
                  <w:r>
                    <w:rPr>
                      <w:rFonts w:hint="eastAsia"/>
                      <w:bCs/>
                      <w:color w:val="auto"/>
                      <w:sz w:val="18"/>
                      <w:szCs w:val="18"/>
                      <w:highlight w:val="none"/>
                      <w:lang w:eastAsia="zh-CN"/>
                    </w:rPr>
                    <w:t>（</w:t>
                  </w:r>
                  <w:r>
                    <w:rPr>
                      <w:rFonts w:hint="eastAsia" w:eastAsia="宋体"/>
                      <w:bCs/>
                      <w:color w:val="auto"/>
                      <w:sz w:val="18"/>
                      <w:szCs w:val="18"/>
                      <w:highlight w:val="none"/>
                      <w:lang w:eastAsia="zh-CN"/>
                    </w:rPr>
                    <w:t>DEC</w:t>
                  </w:r>
                  <w:r>
                    <w:rPr>
                      <w:rFonts w:hint="eastAsia"/>
                      <w:bCs/>
                      <w:color w:val="auto"/>
                      <w:sz w:val="18"/>
                      <w:szCs w:val="18"/>
                      <w:highlight w:val="none"/>
                      <w:lang w:eastAsia="zh-CN"/>
                    </w:rPr>
                    <w:t>）</w:t>
                  </w:r>
                  <w:r>
                    <w:rPr>
                      <w:rFonts w:hint="eastAsia" w:eastAsia="宋体"/>
                      <w:bCs/>
                      <w:color w:val="auto"/>
                      <w:sz w:val="18"/>
                      <w:szCs w:val="18"/>
                      <w:highlight w:val="none"/>
                      <w:lang w:eastAsia="zh-CN"/>
                    </w:rPr>
                    <w:t>、碳酸二甲酯</w:t>
                  </w:r>
                  <w:r>
                    <w:rPr>
                      <w:rFonts w:hint="eastAsia"/>
                      <w:bCs/>
                      <w:color w:val="auto"/>
                      <w:sz w:val="18"/>
                      <w:szCs w:val="18"/>
                      <w:highlight w:val="none"/>
                      <w:lang w:eastAsia="zh-CN"/>
                    </w:rPr>
                    <w:t>（</w:t>
                  </w:r>
                  <w:r>
                    <w:rPr>
                      <w:rFonts w:hint="eastAsia" w:eastAsia="宋体"/>
                      <w:bCs/>
                      <w:color w:val="auto"/>
                      <w:sz w:val="18"/>
                      <w:szCs w:val="18"/>
                      <w:highlight w:val="none"/>
                      <w:lang w:eastAsia="zh-CN"/>
                    </w:rPr>
                    <w:t>DMC</w:t>
                  </w:r>
                  <w:r>
                    <w:rPr>
                      <w:rFonts w:hint="eastAsia"/>
                      <w:bCs/>
                      <w:color w:val="auto"/>
                      <w:sz w:val="18"/>
                      <w:szCs w:val="18"/>
                      <w:highlight w:val="none"/>
                      <w:lang w:eastAsia="zh-CN"/>
                    </w:rPr>
                    <w:t>）</w:t>
                  </w:r>
                  <w:r>
                    <w:rPr>
                      <w:rFonts w:hint="eastAsia" w:eastAsia="宋体"/>
                      <w:bCs/>
                      <w:color w:val="auto"/>
                      <w:sz w:val="18"/>
                      <w:szCs w:val="18"/>
                      <w:highlight w:val="none"/>
                      <w:lang w:eastAsia="zh-CN"/>
                    </w:rPr>
                    <w:t>和碳酸甲基乙基酯</w:t>
                  </w:r>
                  <w:r>
                    <w:rPr>
                      <w:rFonts w:hint="eastAsia"/>
                      <w:bCs/>
                      <w:color w:val="auto"/>
                      <w:sz w:val="18"/>
                      <w:szCs w:val="18"/>
                      <w:highlight w:val="none"/>
                      <w:lang w:eastAsia="zh-CN"/>
                    </w:rPr>
                    <w:t>（</w:t>
                  </w:r>
                  <w:r>
                    <w:rPr>
                      <w:rFonts w:hint="eastAsia" w:eastAsia="宋体"/>
                      <w:bCs/>
                      <w:color w:val="auto"/>
                      <w:sz w:val="18"/>
                      <w:szCs w:val="18"/>
                      <w:highlight w:val="none"/>
                      <w:lang w:eastAsia="zh-CN"/>
                    </w:rPr>
                    <w:t>EMC</w:t>
                  </w:r>
                  <w:r>
                    <w:rPr>
                      <w:rFonts w:hint="eastAsia"/>
                      <w:bCs/>
                      <w:color w:val="auto"/>
                      <w:sz w:val="18"/>
                      <w:szCs w:val="18"/>
                      <w:highlight w:val="none"/>
                      <w:lang w:eastAsia="zh-CN"/>
                    </w:rPr>
                    <w:t>）</w:t>
                  </w:r>
                  <w:r>
                    <w:rPr>
                      <w:rFonts w:hint="eastAsia" w:eastAsia="宋体"/>
                      <w:bCs/>
                      <w:color w:val="auto"/>
                      <w:sz w:val="18"/>
                      <w:szCs w:val="18"/>
                      <w:highlight w:val="none"/>
                      <w:lang w:eastAsia="zh-CN"/>
                    </w:rPr>
                    <w:t>等。</w:t>
                  </w:r>
                </w:p>
              </w:tc>
              <w:tc>
                <w:tcPr>
                  <w:tcW w:w="213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bCs/>
                      <w:color w:val="auto"/>
                      <w:sz w:val="18"/>
                      <w:szCs w:val="18"/>
                      <w:highlight w:val="none"/>
                      <w:lang w:eastAsia="zh-CN"/>
                    </w:rPr>
                  </w:pPr>
                  <w:r>
                    <w:rPr>
                      <w:rFonts w:hint="eastAsia" w:eastAsia="宋体"/>
                      <w:bCs/>
                      <w:color w:val="auto"/>
                      <w:sz w:val="18"/>
                      <w:szCs w:val="18"/>
                      <w:highlight w:val="none"/>
                      <w:lang w:eastAsia="zh-CN"/>
                    </w:rPr>
                    <w:t>由碳酸酯类有机溶剂（本项目溶剂主要为DMC，约占质量分数的40%）、六氟磷酸锂（约占质量分数的20%）、添加剂（主要包括亚硫酸乙烯酯（ES）、亚硫酸丙烯酯（PS）、亚硫酸二甲酯（DMS）、亚硫酸二乙酯（DES）等，约占质量分数的40%）组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bCs/>
                      <w:color w:val="auto"/>
                      <w:sz w:val="18"/>
                      <w:szCs w:val="18"/>
                      <w:highlight w:val="none"/>
                      <w:lang w:eastAsia="zh-CN"/>
                    </w:rPr>
                  </w:pPr>
                  <w:r>
                    <w:rPr>
                      <w:rFonts w:hint="eastAsia"/>
                      <w:bCs/>
                      <w:color w:val="auto"/>
                      <w:sz w:val="18"/>
                      <w:szCs w:val="18"/>
                      <w:highlight w:val="none"/>
                      <w:lang w:eastAsia="zh-CN"/>
                    </w:rPr>
                    <w:t>注液工序电解液用量</w:t>
                  </w:r>
                </w:p>
              </w:tc>
              <w:tc>
                <w:tcPr>
                  <w:tcW w:w="199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eastAsia="宋体"/>
                      <w:bCs/>
                      <w:color w:val="auto"/>
                      <w:sz w:val="18"/>
                      <w:szCs w:val="18"/>
                      <w:highlight w:val="none"/>
                      <w:lang w:val="en-US" w:eastAsia="zh-CN"/>
                    </w:rPr>
                  </w:pPr>
                  <w:r>
                    <w:rPr>
                      <w:rFonts w:hint="eastAsia"/>
                      <w:bCs/>
                      <w:color w:val="auto"/>
                      <w:sz w:val="18"/>
                      <w:szCs w:val="18"/>
                      <w:highlight w:val="none"/>
                      <w:lang w:val="en-US" w:eastAsia="zh-CN"/>
                    </w:rPr>
                    <w:t>70t/a</w:t>
                  </w:r>
                </w:p>
              </w:tc>
              <w:tc>
                <w:tcPr>
                  <w:tcW w:w="213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eastAsia="宋体"/>
                      <w:bCs/>
                      <w:color w:val="auto"/>
                      <w:sz w:val="18"/>
                      <w:szCs w:val="18"/>
                      <w:highlight w:val="none"/>
                      <w:lang w:val="en-US" w:eastAsia="zh-CN"/>
                    </w:rPr>
                  </w:pPr>
                  <w:r>
                    <w:rPr>
                      <w:rFonts w:hint="eastAsia"/>
                      <w:bCs/>
                      <w:color w:val="auto"/>
                      <w:sz w:val="18"/>
                      <w:szCs w:val="18"/>
                      <w:highlight w:val="none"/>
                      <w:lang w:val="en-US" w:eastAsia="zh-CN"/>
                    </w:rPr>
                    <w:t>50t/a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eastAsia="宋体"/>
                      <w:bCs/>
                      <w:color w:val="auto"/>
                      <w:sz w:val="18"/>
                      <w:szCs w:val="18"/>
                      <w:highlight w:val="none"/>
                      <w:lang w:eastAsia="zh-CN"/>
                    </w:rPr>
                  </w:pPr>
                  <w:r>
                    <w:rPr>
                      <w:rFonts w:hint="eastAsia"/>
                      <w:bCs/>
                      <w:color w:val="auto"/>
                      <w:sz w:val="18"/>
                      <w:szCs w:val="18"/>
                      <w:highlight w:val="none"/>
                      <w:lang w:eastAsia="zh-CN"/>
                    </w:rPr>
                    <w:t>注液工序废气收集方式</w:t>
                  </w:r>
                </w:p>
              </w:tc>
              <w:tc>
                <w:tcPr>
                  <w:tcW w:w="199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Cs/>
                      <w:color w:val="auto"/>
                      <w:sz w:val="18"/>
                      <w:szCs w:val="18"/>
                      <w:highlight w:val="none"/>
                    </w:rPr>
                  </w:pPr>
                  <w:r>
                    <w:rPr>
                      <w:rFonts w:hint="eastAsia" w:eastAsia="宋体"/>
                      <w:bCs/>
                      <w:color w:val="auto"/>
                      <w:sz w:val="18"/>
                      <w:szCs w:val="18"/>
                      <w:highlight w:val="none"/>
                      <w:lang w:eastAsia="zh-CN"/>
                    </w:rPr>
                    <w:t>注液过程电解液中少量有机废气挥发，手套箱密闭，废气在抽真空过程随空气排出，废气经管道收集后经 1 套 UV 光氧催化+活性炭吸附装置处理。</w:t>
                  </w:r>
                </w:p>
              </w:tc>
              <w:tc>
                <w:tcPr>
                  <w:tcW w:w="213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Cs/>
                      <w:color w:val="auto"/>
                      <w:sz w:val="18"/>
                      <w:szCs w:val="18"/>
                      <w:highlight w:val="none"/>
                    </w:rPr>
                  </w:pPr>
                  <w:r>
                    <w:rPr>
                      <w:rFonts w:hint="eastAsia" w:eastAsia="宋体"/>
                      <w:bCs/>
                      <w:color w:val="auto"/>
                      <w:sz w:val="18"/>
                      <w:szCs w:val="18"/>
                      <w:highlight w:val="none"/>
                      <w:lang w:eastAsia="zh-CN"/>
                    </w:rPr>
                    <w:t>注液工序主要在抽真空系统排气会有极少的电解液废气（主要污染物为碳酸酯类等有机物）产生，以非甲烷总烃计，该部分废气在抽真空过程中随着真空尾气管道排放，通过在尾气管道直接连接管道通入设置的1套“UV光催化氧化+活性炭吸附”装置（TA001）处理后，经15m高排气筒（DW001）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Cs/>
                      <w:color w:val="auto"/>
                      <w:sz w:val="18"/>
                      <w:szCs w:val="18"/>
                    </w:rPr>
                  </w:pPr>
                  <w:r>
                    <w:rPr>
                      <w:rFonts w:hint="eastAsia"/>
                      <w:bCs/>
                      <w:color w:val="auto"/>
                      <w:sz w:val="18"/>
                      <w:szCs w:val="18"/>
                    </w:rPr>
                    <w:t>验收监测时间</w:t>
                  </w:r>
                </w:p>
              </w:tc>
              <w:tc>
                <w:tcPr>
                  <w:tcW w:w="199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Cs/>
                      <w:color w:val="auto"/>
                      <w:sz w:val="18"/>
                      <w:szCs w:val="18"/>
                      <w:highlight w:val="none"/>
                    </w:rPr>
                  </w:pPr>
                  <w:r>
                    <w:rPr>
                      <w:rFonts w:hint="eastAsia"/>
                      <w:bCs/>
                      <w:color w:val="auto"/>
                      <w:sz w:val="18"/>
                      <w:szCs w:val="18"/>
                      <w:highlight w:val="none"/>
                    </w:rPr>
                    <w:t>202</w:t>
                  </w:r>
                  <w:r>
                    <w:rPr>
                      <w:rFonts w:hint="eastAsia"/>
                      <w:bCs/>
                      <w:color w:val="auto"/>
                      <w:sz w:val="18"/>
                      <w:szCs w:val="18"/>
                      <w:highlight w:val="none"/>
                      <w:lang w:val="en-US" w:eastAsia="zh-CN"/>
                    </w:rPr>
                    <w:t>2</w:t>
                  </w:r>
                  <w:r>
                    <w:rPr>
                      <w:rFonts w:hint="eastAsia"/>
                      <w:bCs/>
                      <w:color w:val="auto"/>
                      <w:sz w:val="18"/>
                      <w:szCs w:val="18"/>
                      <w:highlight w:val="none"/>
                    </w:rPr>
                    <w:t>年</w:t>
                  </w:r>
                  <w:r>
                    <w:rPr>
                      <w:rFonts w:hint="eastAsia"/>
                      <w:bCs/>
                      <w:color w:val="auto"/>
                      <w:sz w:val="18"/>
                      <w:szCs w:val="18"/>
                      <w:highlight w:val="none"/>
                      <w:lang w:val="en-US" w:eastAsia="zh-CN"/>
                    </w:rPr>
                    <w:t>3</w:t>
                  </w:r>
                  <w:r>
                    <w:rPr>
                      <w:rFonts w:hint="eastAsia"/>
                      <w:bCs/>
                      <w:color w:val="auto"/>
                      <w:sz w:val="18"/>
                      <w:szCs w:val="18"/>
                      <w:highlight w:val="none"/>
                    </w:rPr>
                    <w:t>月</w:t>
                  </w:r>
                  <w:r>
                    <w:rPr>
                      <w:rFonts w:hint="eastAsia"/>
                      <w:bCs/>
                      <w:color w:val="auto"/>
                      <w:sz w:val="18"/>
                      <w:szCs w:val="18"/>
                      <w:highlight w:val="none"/>
                      <w:lang w:val="en-US" w:eastAsia="zh-CN"/>
                    </w:rPr>
                    <w:t>19</w:t>
                  </w:r>
                  <w:r>
                    <w:rPr>
                      <w:rFonts w:hint="eastAsia"/>
                      <w:bCs/>
                      <w:color w:val="auto"/>
                      <w:sz w:val="18"/>
                      <w:szCs w:val="18"/>
                      <w:highlight w:val="none"/>
                    </w:rPr>
                    <w:t>日~</w:t>
                  </w:r>
                  <w:r>
                    <w:rPr>
                      <w:rFonts w:hint="eastAsia"/>
                      <w:bCs/>
                      <w:color w:val="auto"/>
                      <w:sz w:val="18"/>
                      <w:szCs w:val="18"/>
                      <w:highlight w:val="none"/>
                      <w:lang w:val="en-US" w:eastAsia="zh-CN"/>
                    </w:rPr>
                    <w:t>20</w:t>
                  </w:r>
                  <w:r>
                    <w:rPr>
                      <w:rFonts w:hint="eastAsia"/>
                      <w:bCs/>
                      <w:color w:val="auto"/>
                      <w:sz w:val="18"/>
                      <w:szCs w:val="18"/>
                      <w:highlight w:val="none"/>
                    </w:rPr>
                    <w:t>日</w:t>
                  </w:r>
                </w:p>
              </w:tc>
              <w:tc>
                <w:tcPr>
                  <w:tcW w:w="213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Cs/>
                      <w:color w:val="auto"/>
                      <w:sz w:val="18"/>
                      <w:szCs w:val="18"/>
                      <w:highlight w:val="none"/>
                    </w:rPr>
                  </w:pPr>
                  <w:r>
                    <w:rPr>
                      <w:rFonts w:hint="eastAsia"/>
                      <w:bCs/>
                      <w:color w:val="auto"/>
                      <w:sz w:val="18"/>
                      <w:szCs w:val="18"/>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Cs/>
                      <w:color w:val="auto"/>
                      <w:sz w:val="18"/>
                      <w:szCs w:val="18"/>
                    </w:rPr>
                  </w:pPr>
                  <w:r>
                    <w:rPr>
                      <w:rFonts w:hint="eastAsia"/>
                      <w:bCs/>
                      <w:color w:val="auto"/>
                      <w:sz w:val="18"/>
                      <w:szCs w:val="18"/>
                    </w:rPr>
                    <w:t>验收工况负荷</w:t>
                  </w:r>
                </w:p>
              </w:tc>
              <w:tc>
                <w:tcPr>
                  <w:tcW w:w="199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Cs/>
                      <w:color w:val="auto"/>
                      <w:sz w:val="18"/>
                      <w:szCs w:val="18"/>
                      <w:highlight w:val="none"/>
                    </w:rPr>
                  </w:pPr>
                  <w:r>
                    <w:rPr>
                      <w:rFonts w:hint="eastAsia"/>
                      <w:bCs/>
                      <w:color w:val="auto"/>
                      <w:sz w:val="18"/>
                      <w:szCs w:val="18"/>
                      <w:highlight w:val="none"/>
                    </w:rPr>
                    <w:t>大于75%</w:t>
                  </w:r>
                </w:p>
              </w:tc>
              <w:tc>
                <w:tcPr>
                  <w:tcW w:w="213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Cs/>
                      <w:color w:val="auto"/>
                      <w:sz w:val="18"/>
                      <w:szCs w:val="18"/>
                      <w:highlight w:val="none"/>
                    </w:rPr>
                  </w:pPr>
                  <w:r>
                    <w:rPr>
                      <w:rFonts w:hint="eastAsia"/>
                      <w:bCs/>
                      <w:color w:val="auto"/>
                      <w:sz w:val="18"/>
                      <w:szCs w:val="18"/>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Cs/>
                      <w:color w:val="auto"/>
                      <w:sz w:val="18"/>
                      <w:szCs w:val="18"/>
                    </w:rPr>
                  </w:pPr>
                  <w:r>
                    <w:rPr>
                      <w:rFonts w:hint="eastAsia"/>
                      <w:bCs/>
                      <w:color w:val="auto"/>
                      <w:sz w:val="18"/>
                      <w:szCs w:val="18"/>
                      <w:lang w:eastAsia="zh-CN"/>
                    </w:rPr>
                    <w:t>治理设施进口非甲烷总烃最大</w:t>
                  </w:r>
                  <w:r>
                    <w:rPr>
                      <w:rFonts w:hint="eastAsia"/>
                      <w:bCs/>
                      <w:color w:val="auto"/>
                      <w:sz w:val="18"/>
                      <w:szCs w:val="18"/>
                    </w:rPr>
                    <w:t>监测值</w:t>
                  </w:r>
                </w:p>
              </w:tc>
              <w:tc>
                <w:tcPr>
                  <w:tcW w:w="199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eastAsia="宋体"/>
                      <w:bCs/>
                      <w:color w:val="auto"/>
                      <w:sz w:val="18"/>
                      <w:szCs w:val="18"/>
                      <w:highlight w:val="none"/>
                      <w:lang w:val="en-US" w:eastAsia="zh-CN"/>
                    </w:rPr>
                  </w:pPr>
                  <w:r>
                    <w:rPr>
                      <w:rFonts w:hint="eastAsia"/>
                      <w:bCs/>
                      <w:color w:val="auto"/>
                      <w:sz w:val="18"/>
                      <w:szCs w:val="18"/>
                      <w:highlight w:val="none"/>
                      <w:lang w:val="en-US" w:eastAsia="zh-CN"/>
                    </w:rPr>
                    <w:t>32.1mg/m</w:t>
                  </w:r>
                  <w:r>
                    <w:rPr>
                      <w:rFonts w:hint="eastAsia"/>
                      <w:bCs/>
                      <w:color w:val="auto"/>
                      <w:sz w:val="18"/>
                      <w:szCs w:val="18"/>
                      <w:highlight w:val="none"/>
                      <w:vertAlign w:val="superscript"/>
                      <w:lang w:val="en-US" w:eastAsia="zh-CN"/>
                    </w:rPr>
                    <w:t>3</w:t>
                  </w:r>
                  <w:r>
                    <w:rPr>
                      <w:rFonts w:hint="eastAsia"/>
                      <w:bCs/>
                      <w:color w:val="auto"/>
                      <w:sz w:val="18"/>
                      <w:szCs w:val="18"/>
                      <w:highlight w:val="none"/>
                      <w:lang w:val="en-US" w:eastAsia="zh-CN"/>
                    </w:rPr>
                    <w:t>，0.146kg/h</w:t>
                  </w:r>
                </w:p>
              </w:tc>
              <w:tc>
                <w:tcPr>
                  <w:tcW w:w="213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bCs/>
                      <w:color w:val="auto"/>
                      <w:sz w:val="18"/>
                      <w:szCs w:val="18"/>
                      <w:highlight w:val="none"/>
                    </w:rPr>
                  </w:pPr>
                  <w:r>
                    <w:rPr>
                      <w:rFonts w:hint="eastAsia"/>
                      <w:bCs/>
                      <w:color w:val="auto"/>
                      <w:sz w:val="18"/>
                      <w:szCs w:val="18"/>
                      <w:highlight w:val="none"/>
                    </w:rPr>
                    <w:t>/</w:t>
                  </w:r>
                </w:p>
              </w:tc>
            </w:tr>
          </w:tbl>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cs="Times New Roman"/>
                <w:color w:val="auto"/>
                <w:sz w:val="21"/>
                <w:szCs w:val="21"/>
                <w:highlight w:val="none"/>
                <w:lang w:val="en-US" w:eastAsia="zh-CN"/>
              </w:rPr>
            </w:pPr>
            <w:r>
              <w:rPr>
                <w:rFonts w:hint="eastAsia" w:cs="Times New Roman"/>
                <w:b w:val="0"/>
                <w:bCs/>
                <w:color w:val="auto"/>
                <w:kern w:val="0"/>
                <w:sz w:val="21"/>
                <w:szCs w:val="21"/>
                <w:highlight w:val="none"/>
                <w:lang w:val="en-US" w:eastAsia="zh-CN" w:bidi="ar-SA"/>
              </w:rPr>
              <w:t>由上表可知，该类比公司产品、注液工序所用原料（电解液）、注液工艺和注液工序废气收集方式均与本项目基本相同，根据其验收阶段委托河南鑫诚环境保护监测有限公司于2022年3月19日~20日对其注液工序废气治理设施进口监测结果</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该公司注液工序</w:t>
            </w:r>
            <w:r>
              <w:rPr>
                <w:rFonts w:hint="default" w:ascii="Times New Roman" w:hAnsi="Times New Roman" w:cs="Times New Roman"/>
                <w:color w:val="auto"/>
                <w:sz w:val="21"/>
                <w:szCs w:val="21"/>
                <w:highlight w:val="none"/>
                <w:lang w:val="en-US" w:eastAsia="zh-CN"/>
              </w:rPr>
              <w:t>废气产生情况如下：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新乡市英明新能源材料有限公司年加工5千万安时锂电池项目</w:t>
            </w:r>
            <w:r>
              <w:rPr>
                <w:rFonts w:hint="eastAsia" w:eastAsia="宋体" w:cs="Times New Roman"/>
                <w:b/>
                <w:bCs/>
                <w:color w:val="auto"/>
                <w:sz w:val="18"/>
                <w:szCs w:val="18"/>
                <w:highlight w:val="none"/>
                <w:lang w:val="en-US" w:eastAsia="zh-CN"/>
              </w:rPr>
              <w:t>注液工序</w:t>
            </w:r>
            <w:r>
              <w:rPr>
                <w:rFonts w:hint="default" w:ascii="Times New Roman" w:hAnsi="Times New Roman" w:eastAsia="宋体" w:cs="Times New Roman"/>
                <w:b/>
                <w:bCs/>
                <w:color w:val="auto"/>
                <w:sz w:val="18"/>
                <w:szCs w:val="18"/>
                <w:highlight w:val="none"/>
                <w:lang w:val="en-US" w:eastAsia="zh-CN"/>
              </w:rPr>
              <w:t>废气产生量情况表</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1146"/>
              <w:gridCol w:w="1104"/>
              <w:gridCol w:w="1023"/>
              <w:gridCol w:w="1050"/>
              <w:gridCol w:w="237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l2br w:val="nil"/>
                    <w:tr2bl w:val="nil"/>
                  </w:tcBorders>
                  <w:vAlign w:val="center"/>
                </w:tcPr>
                <w:p>
                  <w:pPr>
                    <w:pStyle w:val="4"/>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eastAsia" w:ascii="Times New Roman" w:hAnsi="Times New Roman" w:cs="Times New Roman"/>
                      <w:b w:val="0"/>
                      <w:bCs w:val="0"/>
                      <w:color w:val="auto"/>
                      <w:sz w:val="18"/>
                      <w:szCs w:val="18"/>
                      <w:vertAlign w:val="baseline"/>
                      <w:lang w:val="en-US" w:eastAsia="zh-CN"/>
                    </w:rPr>
                  </w:pPr>
                  <w:r>
                    <w:rPr>
                      <w:rFonts w:hint="eastAsia" w:ascii="Times New Roman" w:hAnsi="Times New Roman" w:cs="Times New Roman"/>
                      <w:b w:val="0"/>
                      <w:bCs w:val="0"/>
                      <w:color w:val="auto"/>
                      <w:sz w:val="18"/>
                      <w:szCs w:val="18"/>
                      <w:vertAlign w:val="baseline"/>
                      <w:lang w:val="en-US" w:eastAsia="zh-CN"/>
                    </w:rPr>
                    <w:t>电解液用量</w:t>
                  </w:r>
                </w:p>
                <w:p>
                  <w:pPr>
                    <w:pStyle w:val="4"/>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w:t>
                  </w:r>
                  <w:r>
                    <w:rPr>
                      <w:rFonts w:hint="eastAsia" w:ascii="Times New Roman" w:hAnsi="Times New Roman" w:cs="Times New Roman"/>
                      <w:b w:val="0"/>
                      <w:bCs w:val="0"/>
                      <w:color w:val="auto"/>
                      <w:sz w:val="18"/>
                      <w:szCs w:val="18"/>
                      <w:vertAlign w:val="baseline"/>
                      <w:lang w:val="en-US" w:eastAsia="zh-CN"/>
                    </w:rPr>
                    <w:t>吨</w:t>
                  </w:r>
                  <w:r>
                    <w:rPr>
                      <w:rFonts w:hint="default" w:ascii="Times New Roman" w:hAnsi="Times New Roman" w:cs="Times New Roman"/>
                      <w:b w:val="0"/>
                      <w:bCs w:val="0"/>
                      <w:color w:val="auto"/>
                      <w:sz w:val="18"/>
                      <w:szCs w:val="18"/>
                      <w:vertAlign w:val="baseline"/>
                      <w:lang w:val="en-US" w:eastAsia="zh-CN"/>
                    </w:rPr>
                    <w:t>/年）</w:t>
                  </w:r>
                </w:p>
              </w:tc>
              <w:tc>
                <w:tcPr>
                  <w:tcW w:w="721" w:type="pct"/>
                  <w:tcBorders>
                    <w:tl2br w:val="nil"/>
                    <w:tr2bl w:val="nil"/>
                  </w:tcBorders>
                  <w:vAlign w:val="center"/>
                </w:tcPr>
                <w:p>
                  <w:pPr>
                    <w:pStyle w:val="4"/>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污染物</w:t>
                  </w:r>
                </w:p>
              </w:tc>
              <w:tc>
                <w:tcPr>
                  <w:tcW w:w="694" w:type="pct"/>
                  <w:tcBorders>
                    <w:tl2br w:val="nil"/>
                    <w:tr2bl w:val="nil"/>
                  </w:tcBorders>
                  <w:vAlign w:val="center"/>
                </w:tcPr>
                <w:p>
                  <w:pPr>
                    <w:pStyle w:val="4"/>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最大产生速率kg/h</w:t>
                  </w:r>
                </w:p>
              </w:tc>
              <w:tc>
                <w:tcPr>
                  <w:tcW w:w="643" w:type="pct"/>
                  <w:tcBorders>
                    <w:tl2br w:val="nil"/>
                    <w:tr2bl w:val="nil"/>
                  </w:tcBorders>
                  <w:vAlign w:val="center"/>
                </w:tcPr>
                <w:p>
                  <w:pPr>
                    <w:pStyle w:val="4"/>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年工作时间h</w:t>
                  </w:r>
                </w:p>
              </w:tc>
              <w:tc>
                <w:tcPr>
                  <w:tcW w:w="660" w:type="pct"/>
                  <w:tcBorders>
                    <w:right w:val="single" w:color="000000" w:sz="4" w:space="0"/>
                    <w:tl2br w:val="nil"/>
                    <w:tr2bl w:val="nil"/>
                  </w:tcBorders>
                  <w:vAlign w:val="center"/>
                </w:tcPr>
                <w:p>
                  <w:pPr>
                    <w:pStyle w:val="4"/>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最大产生量t/a</w:t>
                  </w:r>
                </w:p>
              </w:tc>
              <w:tc>
                <w:tcPr>
                  <w:tcW w:w="1493" w:type="pct"/>
                  <w:tcBorders>
                    <w:left w:val="single" w:color="000000" w:sz="4" w:space="0"/>
                    <w:tl2br w:val="nil"/>
                    <w:tr2bl w:val="nil"/>
                  </w:tcBorders>
                  <w:vAlign w:val="center"/>
                </w:tcPr>
                <w:p>
                  <w:pPr>
                    <w:pStyle w:val="4"/>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折算后单位产品废气产生系数</w:t>
                  </w:r>
                  <w:r>
                    <w:rPr>
                      <w:rFonts w:hint="eastAsia" w:ascii="Times New Roman" w:hAnsi="Times New Roman" w:cs="Times New Roman"/>
                      <w:b w:val="0"/>
                      <w:bCs w:val="0"/>
                      <w:color w:val="auto"/>
                      <w:sz w:val="18"/>
                      <w:szCs w:val="18"/>
                      <w:vertAlign w:val="baseline"/>
                      <w:lang w:val="en-US" w:eastAsia="zh-CN"/>
                    </w:rPr>
                    <w:t>（</w:t>
                  </w:r>
                  <w:r>
                    <w:rPr>
                      <w:rFonts w:hint="eastAsia" w:ascii="Times New Roman" w:hAnsi="Times New Roman" w:cs="Times New Roman"/>
                      <w:b w:val="0"/>
                      <w:bCs w:val="0"/>
                      <w:color w:val="auto"/>
                      <w:sz w:val="18"/>
                      <w:szCs w:val="18"/>
                      <w:lang w:val="en-US" w:eastAsia="zh-CN"/>
                    </w:rPr>
                    <w:t>吨</w:t>
                  </w:r>
                  <w:r>
                    <w:rPr>
                      <w:rFonts w:hint="default" w:ascii="Times New Roman" w:hAnsi="Times New Roman" w:cs="Times New Roman"/>
                      <w:b w:val="0"/>
                      <w:bCs w:val="0"/>
                      <w:color w:val="auto"/>
                      <w:sz w:val="18"/>
                      <w:szCs w:val="18"/>
                      <w:lang w:val="en-US" w:eastAsia="zh-CN"/>
                    </w:rPr>
                    <w:t>/</w:t>
                  </w:r>
                  <w:r>
                    <w:rPr>
                      <w:rFonts w:hint="eastAsia" w:ascii="Times New Roman" w:hAnsi="Times New Roman" w:cs="Times New Roman"/>
                      <w:b w:val="0"/>
                      <w:bCs w:val="0"/>
                      <w:color w:val="auto"/>
                      <w:sz w:val="18"/>
                      <w:szCs w:val="18"/>
                      <w:lang w:val="en-US" w:eastAsia="zh-CN"/>
                    </w:rPr>
                    <w:t>吨-电解液</w:t>
                  </w:r>
                  <w:r>
                    <w:rPr>
                      <w:rFonts w:hint="eastAsia" w:ascii="Times New Roman" w:hAnsi="Times New Roman" w:cs="Times New Roman"/>
                      <w:b w:val="0"/>
                      <w:bCs w:val="0"/>
                      <w:color w:val="auto"/>
                      <w:sz w:val="18"/>
                      <w:szCs w:val="18"/>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4" w:type="pct"/>
                  <w:tcBorders>
                    <w:tl2br w:val="nil"/>
                    <w:tr2bl w:val="nil"/>
                  </w:tcBorders>
                  <w:vAlign w:val="center"/>
                </w:tcPr>
                <w:p>
                  <w:pPr>
                    <w:pStyle w:val="4"/>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eastAsia" w:ascii="Times New Roman" w:hAnsi="Times New Roman" w:cs="Times New Roman"/>
                      <w:b w:val="0"/>
                      <w:bCs w:val="0"/>
                      <w:color w:val="auto"/>
                      <w:sz w:val="18"/>
                      <w:szCs w:val="18"/>
                      <w:vertAlign w:val="baseline"/>
                      <w:lang w:val="en-US" w:eastAsia="zh-CN"/>
                    </w:rPr>
                    <w:t>70</w:t>
                  </w:r>
                </w:p>
              </w:tc>
              <w:tc>
                <w:tcPr>
                  <w:tcW w:w="721" w:type="pct"/>
                  <w:tcBorders>
                    <w:tl2br w:val="nil"/>
                    <w:tr2bl w:val="nil"/>
                  </w:tcBorders>
                  <w:vAlign w:val="center"/>
                </w:tcPr>
                <w:p>
                  <w:pPr>
                    <w:pStyle w:val="4"/>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非甲烷总烃</w:t>
                  </w:r>
                </w:p>
              </w:tc>
              <w:tc>
                <w:tcPr>
                  <w:tcW w:w="694" w:type="pct"/>
                  <w:tcBorders>
                    <w:tl2br w:val="nil"/>
                    <w:tr2bl w:val="nil"/>
                  </w:tcBorders>
                  <w:vAlign w:val="center"/>
                </w:tcPr>
                <w:p>
                  <w:pPr>
                    <w:pStyle w:val="4"/>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eastAsia" w:ascii="Times New Roman" w:hAnsi="Times New Roman" w:cs="Times New Roman"/>
                      <w:b w:val="0"/>
                      <w:bCs w:val="0"/>
                      <w:color w:val="auto"/>
                      <w:sz w:val="18"/>
                      <w:szCs w:val="18"/>
                      <w:vertAlign w:val="baseline"/>
                      <w:lang w:val="en-US" w:eastAsia="zh-CN"/>
                    </w:rPr>
                    <w:t>0.146</w:t>
                  </w:r>
                </w:p>
              </w:tc>
              <w:tc>
                <w:tcPr>
                  <w:tcW w:w="643" w:type="pct"/>
                  <w:tcBorders>
                    <w:tl2br w:val="nil"/>
                    <w:tr2bl w:val="nil"/>
                  </w:tcBorders>
                  <w:vAlign w:val="center"/>
                </w:tcPr>
                <w:p>
                  <w:pPr>
                    <w:pStyle w:val="4"/>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2400</w:t>
                  </w:r>
                </w:p>
              </w:tc>
              <w:tc>
                <w:tcPr>
                  <w:tcW w:w="660" w:type="pct"/>
                  <w:tcBorders>
                    <w:right w:val="single" w:color="000000" w:sz="4" w:space="0"/>
                    <w:tl2br w:val="nil"/>
                    <w:tr2bl w:val="nil"/>
                  </w:tcBorders>
                  <w:vAlign w:val="center"/>
                </w:tcPr>
                <w:p>
                  <w:pPr>
                    <w:pStyle w:val="4"/>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vertAlign w:val="baseline"/>
                      <w:lang w:val="en-US" w:eastAsia="zh-CN"/>
                    </w:rPr>
                  </w:pPr>
                  <w:r>
                    <w:rPr>
                      <w:rFonts w:hint="eastAsia" w:ascii="Times New Roman" w:hAnsi="Times New Roman" w:cs="Times New Roman"/>
                      <w:b w:val="0"/>
                      <w:bCs w:val="0"/>
                      <w:color w:val="auto"/>
                      <w:sz w:val="18"/>
                      <w:szCs w:val="18"/>
                      <w:vertAlign w:val="baseline"/>
                      <w:lang w:val="en-US" w:eastAsia="zh-CN"/>
                    </w:rPr>
                    <w:t>0.3504</w:t>
                  </w:r>
                </w:p>
              </w:tc>
              <w:tc>
                <w:tcPr>
                  <w:tcW w:w="1493" w:type="pct"/>
                  <w:tcBorders>
                    <w:left w:val="single" w:color="000000" w:sz="4" w:space="0"/>
                    <w:tl2br w:val="nil"/>
                    <w:tr2bl w:val="nil"/>
                  </w:tcBorders>
                  <w:vAlign w:val="center"/>
                </w:tcPr>
                <w:p>
                  <w:pPr>
                    <w:pStyle w:val="4"/>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cs="Times New Roman"/>
                      <w:b w:val="0"/>
                      <w:bCs w:val="0"/>
                      <w:color w:val="auto"/>
                      <w:sz w:val="18"/>
                      <w:szCs w:val="18"/>
                      <w:lang w:val="en-US" w:eastAsia="zh-CN"/>
                    </w:rPr>
                  </w:pPr>
                  <w:r>
                    <w:rPr>
                      <w:rFonts w:hint="eastAsia" w:ascii="Times New Roman" w:hAnsi="Times New Roman" w:cs="Times New Roman"/>
                      <w:b w:val="0"/>
                      <w:bCs w:val="0"/>
                      <w:color w:val="auto"/>
                      <w:sz w:val="18"/>
                      <w:szCs w:val="18"/>
                      <w:lang w:val="en-US" w:eastAsia="zh-CN"/>
                    </w:rPr>
                    <w:t>5.0</w:t>
                  </w:r>
                  <w:r>
                    <w:rPr>
                      <w:rFonts w:hint="default" w:ascii="Arial" w:hAnsi="Arial" w:cs="Arial"/>
                      <w:b w:val="0"/>
                      <w:bCs w:val="0"/>
                      <w:color w:val="auto"/>
                      <w:sz w:val="18"/>
                      <w:szCs w:val="18"/>
                      <w:lang w:val="en-US" w:eastAsia="zh-CN"/>
                    </w:rPr>
                    <w:t>×</w:t>
                  </w:r>
                  <w:r>
                    <w:rPr>
                      <w:rFonts w:hint="eastAsia" w:ascii="Times New Roman" w:hAnsi="Times New Roman" w:cs="Times New Roman"/>
                      <w:b w:val="0"/>
                      <w:bCs w:val="0"/>
                      <w:color w:val="auto"/>
                      <w:sz w:val="18"/>
                      <w:szCs w:val="18"/>
                      <w:lang w:val="en-US" w:eastAsia="zh-CN"/>
                    </w:rPr>
                    <w:t>10</w:t>
                  </w:r>
                  <w:r>
                    <w:rPr>
                      <w:rFonts w:hint="eastAsia" w:ascii="Times New Roman" w:hAnsi="Times New Roman" w:cs="Times New Roman"/>
                      <w:b w:val="0"/>
                      <w:bCs w:val="0"/>
                      <w:color w:val="auto"/>
                      <w:sz w:val="18"/>
                      <w:szCs w:val="18"/>
                      <w:vertAlign w:val="superscript"/>
                      <w:lang w:val="en-US" w:eastAsia="zh-CN"/>
                    </w:rPr>
                    <w:t>-3</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color w:val="auto"/>
                <w:kern w:val="0"/>
                <w:sz w:val="21"/>
                <w:szCs w:val="21"/>
                <w:highlight w:val="none"/>
                <w:lang w:val="en-US" w:eastAsia="zh-CN" w:bidi="ar-SA"/>
              </w:rPr>
            </w:pPr>
            <w:r>
              <w:rPr>
                <w:rFonts w:hint="default" w:ascii="Times New Roman" w:hAnsi="Times New Roman" w:cs="Times New Roman"/>
                <w:b w:val="0"/>
                <w:bCs/>
                <w:color w:val="auto"/>
                <w:kern w:val="0"/>
                <w:sz w:val="21"/>
                <w:szCs w:val="21"/>
                <w:highlight w:val="none"/>
                <w:lang w:val="en-US" w:eastAsia="zh-CN" w:bidi="ar-SA"/>
              </w:rPr>
              <w:t>本项目电解液用量</w:t>
            </w:r>
            <w:r>
              <w:rPr>
                <w:rFonts w:hint="eastAsia" w:cs="Times New Roman"/>
                <w:b w:val="0"/>
                <w:bCs/>
                <w:color w:val="auto"/>
                <w:kern w:val="0"/>
                <w:sz w:val="21"/>
                <w:szCs w:val="21"/>
                <w:highlight w:val="none"/>
                <w:lang w:val="en-US" w:eastAsia="zh-CN" w:bidi="ar-SA"/>
              </w:rPr>
              <w:t>50</w:t>
            </w:r>
            <w:r>
              <w:rPr>
                <w:rFonts w:hint="default" w:ascii="Times New Roman" w:hAnsi="Times New Roman" w:cs="Times New Roman"/>
                <w:b w:val="0"/>
                <w:bCs/>
                <w:color w:val="auto"/>
                <w:kern w:val="0"/>
                <w:sz w:val="21"/>
                <w:szCs w:val="21"/>
                <w:highlight w:val="none"/>
                <w:lang w:val="en-US" w:eastAsia="zh-CN" w:bidi="ar-SA"/>
              </w:rPr>
              <w:t>t/a，</w:t>
            </w:r>
            <w:r>
              <w:rPr>
                <w:rFonts w:hint="eastAsia" w:cs="Times New Roman"/>
                <w:b w:val="0"/>
                <w:bCs/>
                <w:color w:val="auto"/>
                <w:kern w:val="0"/>
                <w:sz w:val="21"/>
                <w:szCs w:val="21"/>
                <w:highlight w:val="none"/>
                <w:lang w:val="en-US" w:eastAsia="zh-CN" w:bidi="ar-SA"/>
              </w:rPr>
              <w:t>经计算项目注液工序废气产生量为0.25t/a。</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cs="Times New Roman"/>
                <w:b w:val="0"/>
                <w:bCs/>
                <w:color w:val="auto"/>
                <w:kern w:val="0"/>
                <w:sz w:val="21"/>
                <w:szCs w:val="21"/>
                <w:highlight w:val="none"/>
                <w:lang w:val="en-US" w:eastAsia="zh-CN" w:bidi="ar-SA"/>
              </w:rPr>
            </w:pPr>
            <w:r>
              <w:rPr>
                <w:rFonts w:hint="eastAsia" w:cs="Times New Roman"/>
                <w:b w:val="0"/>
                <w:bCs/>
                <w:color w:val="auto"/>
                <w:kern w:val="0"/>
                <w:sz w:val="21"/>
                <w:szCs w:val="21"/>
                <w:highlight w:val="none"/>
                <w:lang w:val="en-US" w:eastAsia="zh-CN" w:bidi="ar-SA"/>
              </w:rPr>
              <w:t>（2）一体化污水处理设施恶臭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项目设置的</w:t>
            </w:r>
            <w:r>
              <w:rPr>
                <w:rFonts w:hint="eastAsia" w:cs="Times New Roman"/>
                <w:b w:val="0"/>
                <w:bCs/>
                <w:color w:val="auto"/>
                <w:kern w:val="0"/>
                <w:sz w:val="21"/>
                <w:szCs w:val="21"/>
                <w:highlight w:val="none"/>
                <w:lang w:val="en-US" w:eastAsia="zh-CN" w:bidi="ar-SA"/>
              </w:rPr>
              <w:t>地埋一体化污水处理设</w:t>
            </w:r>
            <w:r>
              <w:rPr>
                <w:rFonts w:hint="eastAsia" w:ascii="Times New Roman" w:hAnsi="Times New Roman" w:cs="Times New Roman"/>
                <w:b w:val="0"/>
                <w:bCs/>
                <w:color w:val="auto"/>
                <w:kern w:val="0"/>
                <w:sz w:val="21"/>
                <w:szCs w:val="21"/>
                <w:highlight w:val="none"/>
                <w:lang w:val="en-US" w:eastAsia="zh-CN" w:bidi="ar-SA"/>
              </w:rPr>
              <w:t>施（具体工艺为：格栅+调节池+A级池+O级池+沉淀池，处理规模1.5m</w:t>
            </w:r>
            <w:r>
              <w:rPr>
                <w:rFonts w:hint="eastAsia" w:ascii="Times New Roman" w:hAnsi="Times New Roman" w:cs="Times New Roman"/>
                <w:b w:val="0"/>
                <w:bCs/>
                <w:color w:val="auto"/>
                <w:kern w:val="0"/>
                <w:sz w:val="21"/>
                <w:szCs w:val="21"/>
                <w:highlight w:val="none"/>
                <w:vertAlign w:val="superscript"/>
                <w:lang w:val="en-US" w:eastAsia="zh-CN" w:bidi="ar-SA"/>
              </w:rPr>
              <w:t>3</w:t>
            </w:r>
            <w:r>
              <w:rPr>
                <w:rFonts w:hint="eastAsia" w:ascii="Times New Roman" w:hAnsi="Times New Roman" w:cs="Times New Roman"/>
                <w:b w:val="0"/>
                <w:bCs/>
                <w:color w:val="auto"/>
                <w:kern w:val="0"/>
                <w:sz w:val="21"/>
                <w:szCs w:val="21"/>
                <w:highlight w:val="none"/>
                <w:lang w:val="en-US" w:eastAsia="zh-CN" w:bidi="ar-SA"/>
              </w:rPr>
              <w:t>/d）</w:t>
            </w:r>
            <w:r>
              <w:rPr>
                <w:rFonts w:hint="default" w:ascii="Times New Roman" w:hAnsi="Times New Roman" w:cs="Times New Roman"/>
                <w:b w:val="0"/>
                <w:bCs/>
                <w:color w:val="auto"/>
                <w:kern w:val="0"/>
                <w:sz w:val="21"/>
                <w:szCs w:val="21"/>
                <w:highlight w:val="none"/>
                <w:lang w:val="en-US" w:eastAsia="zh-CN" w:bidi="ar-SA"/>
              </w:rPr>
              <w:t>运行过程中</w:t>
            </w:r>
            <w:r>
              <w:rPr>
                <w:rFonts w:hint="default" w:ascii="Times New Roman" w:hAnsi="Times New Roman" w:eastAsia="宋体" w:cs="Times New Roman"/>
                <w:b w:val="0"/>
                <w:bCs/>
                <w:color w:val="auto"/>
                <w:kern w:val="0"/>
                <w:sz w:val="21"/>
                <w:szCs w:val="21"/>
                <w:highlight w:val="none"/>
                <w:lang w:val="en-US" w:eastAsia="zh-CN" w:bidi="ar-SA"/>
              </w:rPr>
              <w:t>会产生恶臭气体，主要污染成分为硫化物、氨等，主要来源于污水、污泥中有机物的分解、发酵过程中散发的化学物质</w:t>
            </w:r>
            <w:r>
              <w:rPr>
                <w:rFonts w:hint="eastAsia" w:cs="Times New Roman"/>
                <w:b w:val="0"/>
                <w:bCs/>
                <w:color w:val="auto"/>
                <w:kern w:val="0"/>
                <w:sz w:val="21"/>
                <w:szCs w:val="21"/>
                <w:highlight w:val="none"/>
                <w:lang w:val="en-US" w:eastAsia="zh-CN" w:bidi="ar-SA"/>
              </w:rPr>
              <w:t>，由于项目污水处理设施仅用于处理生活污水，设置的污水处理设施规模较小，且采用的一体化污水处理设施采用</w:t>
            </w:r>
            <w:r>
              <w:rPr>
                <w:rFonts w:hint="eastAsia" w:ascii="Times New Roman" w:hAnsi="Times New Roman" w:eastAsia="宋体" w:cs="Times New Roman"/>
                <w:b w:val="0"/>
                <w:bCs/>
                <w:color w:val="auto"/>
                <w:kern w:val="0"/>
                <w:sz w:val="21"/>
                <w:szCs w:val="21"/>
                <w:highlight w:val="none"/>
                <w:lang w:val="en-US" w:eastAsia="zh-CN" w:bidi="ar-SA"/>
              </w:rPr>
              <w:t>本身封闭程度较高</w:t>
            </w:r>
            <w:r>
              <w:rPr>
                <w:rFonts w:hint="eastAsia" w:ascii="Times New Roman" w:hAnsi="Times New Roman" w:cs="Times New Roman"/>
                <w:b w:val="0"/>
                <w:bCs/>
                <w:color w:val="auto"/>
                <w:kern w:val="0"/>
                <w:sz w:val="21"/>
                <w:szCs w:val="21"/>
                <w:highlight w:val="none"/>
                <w:lang w:val="en-US" w:eastAsia="zh-CN" w:bidi="ar-SA"/>
              </w:rPr>
              <w:t>，并采用</w:t>
            </w:r>
            <w:r>
              <w:rPr>
                <w:rFonts w:hint="eastAsia" w:cs="Times New Roman"/>
                <w:b w:val="0"/>
                <w:bCs/>
                <w:color w:val="auto"/>
                <w:kern w:val="0"/>
                <w:sz w:val="21"/>
                <w:szCs w:val="21"/>
                <w:highlight w:val="none"/>
                <w:lang w:val="en-US" w:eastAsia="zh-CN" w:bidi="ar-SA"/>
              </w:rPr>
              <w:t>地埋式设置，因此运行过程产生的恶臭量较小，</w:t>
            </w:r>
            <w:r>
              <w:rPr>
                <w:rFonts w:hint="eastAsia" w:ascii="Times New Roman" w:hAnsi="Times New Roman" w:cs="Times New Roman"/>
                <w:b w:val="0"/>
                <w:bCs/>
                <w:color w:val="auto"/>
                <w:kern w:val="0"/>
                <w:sz w:val="21"/>
                <w:szCs w:val="21"/>
                <w:highlight w:val="none"/>
                <w:lang w:val="en-US" w:eastAsia="zh-CN" w:bidi="ar-SA"/>
              </w:rPr>
              <w:t>因此本次不再定量分析。</w:t>
            </w:r>
            <w:r>
              <w:rPr>
                <w:rFonts w:hint="eastAsia" w:cs="Times New Roman"/>
                <w:b w:val="0"/>
                <w:bCs/>
                <w:color w:val="auto"/>
                <w:kern w:val="0"/>
                <w:sz w:val="21"/>
                <w:szCs w:val="21"/>
                <w:highlight w:val="none"/>
                <w:lang w:val="en-US" w:eastAsia="zh-CN" w:bidi="ar-SA"/>
              </w:rPr>
              <w:t>参考</w:t>
            </w:r>
            <w:r>
              <w:rPr>
                <w:rFonts w:hint="eastAsia" w:ascii="Times New Roman" w:hAnsi="Times New Roman" w:eastAsia="宋体" w:cs="Times New Roman"/>
                <w:b w:val="0"/>
                <w:bCs/>
                <w:color w:val="auto"/>
                <w:kern w:val="0"/>
                <w:sz w:val="21"/>
                <w:szCs w:val="21"/>
                <w:highlight w:val="none"/>
                <w:lang w:val="en-US" w:eastAsia="zh-CN" w:bidi="ar-SA"/>
              </w:rPr>
              <w:t>《鹤壁鑫发食品有限公司年产3000吨速冻食品项目竣工环境保护验收监测报告》</w:t>
            </w:r>
            <w:r>
              <w:rPr>
                <w:rFonts w:hint="eastAsia" w:cs="Times New Roman"/>
                <w:b w:val="0"/>
                <w:bCs/>
                <w:color w:val="auto"/>
                <w:kern w:val="0"/>
                <w:sz w:val="21"/>
                <w:szCs w:val="21"/>
                <w:highlight w:val="none"/>
                <w:lang w:val="en-US" w:eastAsia="zh-CN" w:bidi="ar-SA"/>
              </w:rPr>
              <w:t>（其污水处理设施同样采用一体化地埋式污水处理措施，恶臭治理措施采用投加除臭剂除臭方式，</w:t>
            </w:r>
            <w:r>
              <w:rPr>
                <w:rFonts w:hint="eastAsia" w:cs="Times New Roman"/>
                <w:color w:val="auto"/>
                <w:sz w:val="21"/>
                <w:szCs w:val="21"/>
                <w:highlight w:val="none"/>
                <w:lang w:eastAsia="zh-CN"/>
              </w:rPr>
              <w:t>主体工艺采用“</w:t>
            </w:r>
            <w:r>
              <w:rPr>
                <w:rFonts w:hint="eastAsia" w:cs="Times New Roman"/>
                <w:color w:val="auto"/>
                <w:sz w:val="21"/>
                <w:szCs w:val="21"/>
                <w:highlight w:val="none"/>
                <w:lang w:val="en-US" w:eastAsia="zh-CN"/>
              </w:rPr>
              <w:t>调节+水解酸化（A池）+接触氧化（O池）+沉淀</w:t>
            </w:r>
            <w:r>
              <w:rPr>
                <w:rFonts w:hint="eastAsia" w:cs="Times New Roman"/>
                <w:color w:val="auto"/>
                <w:sz w:val="21"/>
                <w:szCs w:val="21"/>
                <w:highlight w:val="none"/>
                <w:lang w:eastAsia="zh-CN"/>
              </w:rPr>
              <w:t>”工艺</w:t>
            </w:r>
            <w:r>
              <w:rPr>
                <w:rFonts w:hint="eastAsia" w:cs="Times New Roman"/>
                <w:b w:val="0"/>
                <w:bCs/>
                <w:color w:val="auto"/>
                <w:kern w:val="0"/>
                <w:sz w:val="21"/>
                <w:szCs w:val="21"/>
                <w:highlight w:val="none"/>
                <w:lang w:val="en-US" w:eastAsia="zh-CN" w:bidi="ar-SA"/>
              </w:rPr>
              <w:t>），根据其委托河南恒信环保监测公司于2021年5月26日~31日对其项目污水处理设施无组织氨、硫化氢和臭气浓度监测结果可知，厂界无组织废气硫化氢浓度最大值为0.005mg/m</w:t>
            </w:r>
            <w:r>
              <w:rPr>
                <w:rFonts w:hint="eastAsia" w:cs="Times New Roman"/>
                <w:b w:val="0"/>
                <w:bCs/>
                <w:color w:val="auto"/>
                <w:kern w:val="0"/>
                <w:sz w:val="21"/>
                <w:szCs w:val="21"/>
                <w:highlight w:val="none"/>
                <w:vertAlign w:val="superscript"/>
                <w:lang w:val="en-US" w:eastAsia="zh-CN" w:bidi="ar-SA"/>
              </w:rPr>
              <w:t>3</w:t>
            </w:r>
            <w:r>
              <w:rPr>
                <w:rFonts w:hint="eastAsia" w:cs="Times New Roman"/>
                <w:b w:val="0"/>
                <w:bCs/>
                <w:color w:val="auto"/>
                <w:kern w:val="0"/>
                <w:sz w:val="21"/>
                <w:szCs w:val="21"/>
                <w:highlight w:val="none"/>
                <w:lang w:val="en-US" w:eastAsia="zh-CN" w:bidi="ar-SA"/>
              </w:rPr>
              <w:t>，氨浓度最大值为0.24mg/m</w:t>
            </w:r>
            <w:r>
              <w:rPr>
                <w:rFonts w:hint="eastAsia" w:cs="Times New Roman"/>
                <w:b w:val="0"/>
                <w:bCs/>
                <w:color w:val="auto"/>
                <w:kern w:val="0"/>
                <w:sz w:val="21"/>
                <w:szCs w:val="21"/>
                <w:highlight w:val="none"/>
                <w:vertAlign w:val="superscript"/>
                <w:lang w:val="en-US" w:eastAsia="zh-CN" w:bidi="ar-SA"/>
              </w:rPr>
              <w:t>3</w:t>
            </w:r>
            <w:r>
              <w:rPr>
                <w:rFonts w:hint="eastAsia" w:cs="Times New Roman"/>
                <w:b w:val="0"/>
                <w:bCs/>
                <w:color w:val="auto"/>
                <w:kern w:val="0"/>
                <w:sz w:val="21"/>
                <w:szCs w:val="21"/>
                <w:highlight w:val="none"/>
                <w:lang w:val="en-US" w:eastAsia="zh-CN" w:bidi="ar-SA"/>
              </w:rPr>
              <w:t>，臭气浓度最大值为18mg/m</w:t>
            </w:r>
            <w:r>
              <w:rPr>
                <w:rFonts w:hint="eastAsia" w:cs="Times New Roman"/>
                <w:b w:val="0"/>
                <w:bCs/>
                <w:color w:val="auto"/>
                <w:kern w:val="0"/>
                <w:sz w:val="21"/>
                <w:szCs w:val="21"/>
                <w:highlight w:val="none"/>
                <w:vertAlign w:val="superscript"/>
                <w:lang w:val="en-US" w:eastAsia="zh-CN" w:bidi="ar-SA"/>
              </w:rPr>
              <w:t>3</w:t>
            </w:r>
            <w:r>
              <w:rPr>
                <w:rFonts w:hint="eastAsia" w:cs="Times New Roman"/>
                <w:b w:val="0"/>
                <w:bCs/>
                <w:color w:val="auto"/>
                <w:kern w:val="0"/>
                <w:sz w:val="21"/>
                <w:szCs w:val="21"/>
                <w:highlight w:val="none"/>
                <w:lang w:val="en-US" w:eastAsia="zh-CN" w:bidi="ar-SA"/>
              </w:rPr>
              <w:t>，满足《恶臭污染物排放标准》GB14554-1993二级新扩改建的要求。</w:t>
            </w:r>
          </w:p>
          <w:p>
            <w:pPr>
              <w:pStyle w:val="20"/>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default"/>
                <w:color w:val="auto"/>
                <w:highlight w:val="green"/>
                <w:lang w:val="en-US" w:eastAsia="zh-CN"/>
              </w:rPr>
            </w:pPr>
            <w:r>
              <w:rPr>
                <w:rFonts w:hint="eastAsia" w:ascii="Times New Roman" w:hAnsi="Times New Roman" w:cs="Times New Roman"/>
                <w:b w:val="0"/>
                <w:bCs/>
                <w:color w:val="auto"/>
                <w:kern w:val="0"/>
                <w:sz w:val="21"/>
                <w:szCs w:val="21"/>
                <w:highlight w:val="none"/>
                <w:lang w:val="en-US" w:eastAsia="zh-CN" w:bidi="ar-SA"/>
              </w:rPr>
              <w:t>评价要求</w:t>
            </w:r>
            <w:r>
              <w:rPr>
                <w:rFonts w:hint="eastAsia" w:ascii="Times New Roman" w:hAnsi="Times New Roman" w:eastAsia="宋体" w:cs="Times New Roman"/>
                <w:b w:val="0"/>
                <w:bCs/>
                <w:color w:val="auto"/>
                <w:kern w:val="0"/>
                <w:sz w:val="21"/>
                <w:szCs w:val="21"/>
                <w:highlight w:val="none"/>
                <w:lang w:val="en-US" w:eastAsia="zh-CN" w:bidi="ar-SA"/>
              </w:rPr>
              <w:t>企业采取在污水处理设施周围进行绿化，</w:t>
            </w:r>
            <w:r>
              <w:rPr>
                <w:rFonts w:hint="eastAsia" w:ascii="Times New Roman" w:hAnsi="Times New Roman" w:cs="Times New Roman"/>
                <w:b w:val="0"/>
                <w:bCs/>
                <w:color w:val="auto"/>
                <w:kern w:val="0"/>
                <w:sz w:val="21"/>
                <w:szCs w:val="21"/>
                <w:highlight w:val="none"/>
                <w:lang w:val="en-US" w:eastAsia="zh-CN" w:bidi="ar-SA"/>
              </w:rPr>
              <w:t>并定期对设置内</w:t>
            </w:r>
            <w:r>
              <w:rPr>
                <w:rFonts w:hint="eastAsia" w:ascii="Times New Roman" w:hAnsi="Times New Roman" w:eastAsia="宋体" w:cs="Times New Roman"/>
                <w:b w:val="0"/>
                <w:bCs/>
                <w:color w:val="auto"/>
                <w:kern w:val="0"/>
                <w:sz w:val="21"/>
                <w:szCs w:val="21"/>
                <w:highlight w:val="none"/>
                <w:lang w:val="en-US" w:eastAsia="zh-CN" w:bidi="ar-SA"/>
              </w:rPr>
              <w:t>喷洒生物除臭剂等措施后，</w:t>
            </w:r>
            <w:r>
              <w:rPr>
                <w:rFonts w:hint="eastAsia" w:ascii="Times New Roman" w:hAnsi="Times New Roman" w:cs="Times New Roman"/>
                <w:b w:val="0"/>
                <w:bCs/>
                <w:color w:val="auto"/>
                <w:kern w:val="0"/>
                <w:sz w:val="21"/>
                <w:szCs w:val="21"/>
                <w:highlight w:val="none"/>
                <w:lang w:val="en-US" w:eastAsia="zh-CN" w:bidi="ar-SA"/>
              </w:rPr>
              <w:t>项目污水设施运行过程</w:t>
            </w:r>
            <w:r>
              <w:rPr>
                <w:rFonts w:hint="eastAsia" w:ascii="Times New Roman" w:hAnsi="Times New Roman" w:eastAsia="宋体" w:cs="Times New Roman"/>
                <w:b w:val="0"/>
                <w:bCs/>
                <w:color w:val="auto"/>
                <w:kern w:val="0"/>
                <w:sz w:val="21"/>
                <w:szCs w:val="21"/>
                <w:highlight w:val="none"/>
                <w:lang w:val="en-US" w:eastAsia="zh-CN" w:bidi="ar-SA"/>
              </w:rPr>
              <w:t>恶臭气体对周围环境影响较小。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1"/>
                <w:szCs w:val="21"/>
                <w:highlight w:val="none"/>
                <w:lang w:eastAsia="zh-CN"/>
              </w:rPr>
            </w:pPr>
            <w:r>
              <w:rPr>
                <w:rFonts w:hint="eastAsia" w:cs="Times New Roman"/>
                <w:b/>
                <w:bCs/>
                <w:color w:val="auto"/>
                <w:sz w:val="21"/>
                <w:szCs w:val="21"/>
                <w:highlight w:val="none"/>
                <w:lang w:val="en-US" w:eastAsia="zh-CN"/>
              </w:rPr>
              <w:t>1.2</w:t>
            </w:r>
            <w:r>
              <w:rPr>
                <w:rFonts w:hint="default" w:ascii="Times New Roman" w:hAnsi="Times New Roman" w:cs="Times New Roman"/>
                <w:b/>
                <w:bCs/>
                <w:color w:val="auto"/>
                <w:sz w:val="21"/>
                <w:szCs w:val="21"/>
                <w:highlight w:val="none"/>
                <w:lang w:eastAsia="zh-CN"/>
              </w:rPr>
              <w:t>工艺废气收集处理及达标分析</w:t>
            </w:r>
          </w:p>
          <w:p>
            <w:pPr>
              <w:keepNext w:val="0"/>
              <w:keepLines w:val="0"/>
              <w:pageBreakBefore w:val="0"/>
              <w:widowControl w:val="0"/>
              <w:kinsoku/>
              <w:wordWrap/>
              <w:overflowPunct/>
              <w:topLinePunct w:val="0"/>
              <w:autoSpaceDE/>
              <w:autoSpaceDN/>
              <w:bidi w:val="0"/>
              <w:adjustRightInd/>
              <w:snapToGrid/>
              <w:spacing w:line="360" w:lineRule="auto"/>
              <w:ind w:firstLine="380" w:firstLineChars="200"/>
              <w:textAlignment w:val="auto"/>
              <w:rPr>
                <w:rFonts w:hint="eastAsia" w:cs="Times New Roman"/>
                <w:b w:val="0"/>
                <w:bCs w:val="0"/>
                <w:color w:val="auto"/>
                <w:sz w:val="21"/>
                <w:szCs w:val="21"/>
                <w:highlight w:val="none"/>
                <w:lang w:val="en-US" w:eastAsia="zh-CN"/>
              </w:rPr>
            </w:pPr>
            <w:r>
              <w:rPr>
                <w:rFonts w:hint="default" w:ascii="Times New Roman" w:hAnsi="Times New Roman" w:cs="Times New Roman"/>
                <w:bCs/>
                <w:color w:val="auto"/>
                <w:spacing w:val="-10"/>
                <w:szCs w:val="21"/>
                <w:highlight w:val="none"/>
                <w:lang w:val="en-US" w:eastAsia="zh-CN"/>
              </w:rPr>
              <w:t>项目注液在密闭注液间内的真空自动注液机生产线进行，</w:t>
            </w:r>
            <w:r>
              <w:rPr>
                <w:rFonts w:hint="eastAsia" w:cs="Times New Roman"/>
                <w:bCs/>
                <w:color w:val="auto"/>
                <w:spacing w:val="-10"/>
                <w:szCs w:val="21"/>
                <w:highlight w:val="none"/>
                <w:lang w:val="en-US" w:eastAsia="zh-CN"/>
              </w:rPr>
              <w:t>在</w:t>
            </w:r>
            <w:r>
              <w:rPr>
                <w:rFonts w:hint="default" w:ascii="Times New Roman" w:hAnsi="Times New Roman" w:cs="Times New Roman"/>
                <w:bCs/>
                <w:color w:val="auto"/>
                <w:spacing w:val="-10"/>
                <w:szCs w:val="21"/>
                <w:highlight w:val="none"/>
                <w:lang w:val="en-US" w:eastAsia="zh-CN"/>
              </w:rPr>
              <w:t>抽真空系统排气会有极少的电解液废气产生，</w:t>
            </w:r>
            <w:r>
              <w:rPr>
                <w:rFonts w:hint="eastAsia" w:cs="Times New Roman"/>
                <w:bCs/>
                <w:color w:val="auto"/>
                <w:spacing w:val="-10"/>
                <w:szCs w:val="21"/>
                <w:highlight w:val="none"/>
                <w:lang w:val="en-US" w:eastAsia="zh-CN"/>
              </w:rPr>
              <w:t>该部分</w:t>
            </w:r>
            <w:r>
              <w:rPr>
                <w:rFonts w:hint="default" w:ascii="Times New Roman" w:hAnsi="Times New Roman" w:cs="Times New Roman"/>
                <w:bCs/>
                <w:color w:val="auto"/>
                <w:spacing w:val="-10"/>
                <w:szCs w:val="21"/>
                <w:highlight w:val="none"/>
                <w:lang w:val="en-US" w:eastAsia="zh-CN"/>
              </w:rPr>
              <w:t>废气</w:t>
            </w:r>
            <w:r>
              <w:rPr>
                <w:rFonts w:hint="eastAsia" w:cs="Times New Roman"/>
                <w:bCs/>
                <w:color w:val="auto"/>
                <w:spacing w:val="-10"/>
                <w:szCs w:val="21"/>
                <w:highlight w:val="none"/>
                <w:lang w:val="en-US" w:eastAsia="zh-CN"/>
              </w:rPr>
              <w:t>随着</w:t>
            </w:r>
            <w:r>
              <w:rPr>
                <w:rFonts w:hint="default" w:ascii="Times New Roman" w:hAnsi="Times New Roman" w:cs="Times New Roman"/>
                <w:bCs/>
                <w:color w:val="auto"/>
                <w:spacing w:val="-10"/>
                <w:szCs w:val="21"/>
                <w:highlight w:val="none"/>
                <w:lang w:val="en-US" w:eastAsia="zh-CN"/>
              </w:rPr>
              <w:t>真空注液机的真空尾气管道</w:t>
            </w:r>
            <w:r>
              <w:rPr>
                <w:rFonts w:hint="eastAsia" w:cs="Times New Roman"/>
                <w:bCs/>
                <w:color w:val="auto"/>
                <w:spacing w:val="-10"/>
                <w:szCs w:val="21"/>
                <w:highlight w:val="none"/>
                <w:lang w:val="en-US" w:eastAsia="zh-CN"/>
              </w:rPr>
              <w:t>收集后排放，通过将</w:t>
            </w:r>
            <w:r>
              <w:rPr>
                <w:rFonts w:hint="default" w:ascii="Times New Roman" w:hAnsi="Times New Roman" w:cs="Times New Roman"/>
                <w:bCs/>
                <w:color w:val="auto"/>
                <w:spacing w:val="-10"/>
                <w:szCs w:val="21"/>
                <w:highlight w:val="none"/>
                <w:lang w:val="en-US" w:eastAsia="zh-CN"/>
              </w:rPr>
              <w:t>真空尾气管道</w:t>
            </w:r>
            <w:r>
              <w:rPr>
                <w:rFonts w:hint="eastAsia" w:ascii="Times New Roman" w:hAnsi="Times New Roman" w:cs="Times New Roman"/>
                <w:bCs/>
                <w:color w:val="auto"/>
                <w:spacing w:val="-10"/>
                <w:szCs w:val="21"/>
                <w:highlight w:val="none"/>
                <w:lang w:val="en-US" w:eastAsia="zh-CN"/>
              </w:rPr>
              <w:t>口直接设置管道接入</w:t>
            </w:r>
            <w:r>
              <w:rPr>
                <w:rFonts w:hint="default" w:ascii="Times New Roman" w:hAnsi="Times New Roman" w:cs="Times New Roman"/>
                <w:b w:val="0"/>
                <w:bCs w:val="0"/>
                <w:color w:val="auto"/>
                <w:sz w:val="21"/>
                <w:szCs w:val="21"/>
                <w:highlight w:val="none"/>
                <w:lang w:val="en-US" w:eastAsia="zh-CN"/>
              </w:rPr>
              <w:t>1套“</w:t>
            </w:r>
            <w:r>
              <w:rPr>
                <w:rFonts w:hint="default" w:ascii="Times New Roman" w:hAnsi="Times New Roman" w:cs="Times New Roman"/>
                <w:color w:val="auto"/>
                <w:sz w:val="21"/>
                <w:szCs w:val="21"/>
                <w:highlight w:val="none"/>
                <w:lang w:val="en-US" w:eastAsia="zh-CN"/>
              </w:rPr>
              <w:t>UV光催化氧化+活性炭吸附</w:t>
            </w:r>
            <w:r>
              <w:rPr>
                <w:rFonts w:hint="default" w:ascii="Times New Roman" w:hAnsi="Times New Roman" w:cs="Times New Roman"/>
                <w:b w:val="0"/>
                <w:bCs w:val="0"/>
                <w:color w:val="auto"/>
                <w:sz w:val="21"/>
                <w:szCs w:val="21"/>
                <w:highlight w:val="none"/>
                <w:lang w:val="en-US" w:eastAsia="zh-CN"/>
              </w:rPr>
              <w:t>”装置处理</w:t>
            </w:r>
            <w:r>
              <w:rPr>
                <w:rFonts w:hint="eastAsia" w:cs="Times New Roman"/>
                <w:b w:val="0"/>
                <w:bCs w:val="0"/>
                <w:color w:val="auto"/>
                <w:sz w:val="21"/>
                <w:szCs w:val="21"/>
                <w:highlight w:val="none"/>
                <w:lang w:val="en-US" w:eastAsia="zh-CN"/>
              </w:rPr>
              <w:t>，因此该过程</w:t>
            </w:r>
            <w:r>
              <w:rPr>
                <w:rFonts w:hint="eastAsia" w:cs="Times New Roman"/>
                <w:bCs/>
                <w:color w:val="auto"/>
                <w:spacing w:val="-10"/>
                <w:szCs w:val="21"/>
                <w:highlight w:val="none"/>
                <w:lang w:val="en-US" w:eastAsia="zh-CN"/>
              </w:rPr>
              <w:t>收集效率按照100%计</w:t>
            </w:r>
            <w:r>
              <w:rPr>
                <w:rFonts w:hint="eastAsia" w:cs="Times New Roman"/>
                <w:b w:val="0"/>
                <w:bCs w:val="0"/>
                <w:color w:val="auto"/>
                <w:sz w:val="21"/>
                <w:szCs w:val="21"/>
                <w:highlight w:val="none"/>
                <w:lang w:val="en-US" w:eastAsia="zh-CN"/>
              </w:rPr>
              <w:t>。根据企业提供设计资料，工程拟设置的废气处理设施设计风量为2000m</w:t>
            </w:r>
            <w:r>
              <w:rPr>
                <w:rFonts w:hint="eastAsia" w:cs="Times New Roman"/>
                <w:b w:val="0"/>
                <w:bCs w:val="0"/>
                <w:color w:val="auto"/>
                <w:sz w:val="21"/>
                <w:szCs w:val="21"/>
                <w:highlight w:val="none"/>
                <w:vertAlign w:val="superscript"/>
                <w:lang w:val="en-US" w:eastAsia="zh-CN"/>
              </w:rPr>
              <w:t>3</w:t>
            </w:r>
            <w:r>
              <w:rPr>
                <w:rFonts w:hint="eastAsia" w:cs="Times New Roman"/>
                <w:b w:val="0"/>
                <w:bCs w:val="0"/>
                <w:color w:val="auto"/>
                <w:sz w:val="21"/>
                <w:szCs w:val="21"/>
                <w:highlight w:val="none"/>
                <w:lang w:val="en-US" w:eastAsia="zh-CN"/>
              </w:rPr>
              <w:t>/h</w:t>
            </w:r>
            <w:r>
              <w:rPr>
                <w:rFonts w:hint="eastAsia" w:cs="Times New Roman"/>
                <w:b w:val="0"/>
                <w:bCs/>
                <w:color w:val="auto"/>
                <w:kern w:val="0"/>
                <w:sz w:val="21"/>
                <w:szCs w:val="21"/>
                <w:highlight w:val="none"/>
                <w:lang w:val="en-US" w:eastAsia="zh-CN" w:bidi="ar-SA"/>
              </w:rPr>
              <w:t>，</w:t>
            </w:r>
            <w:r>
              <w:rPr>
                <w:rFonts w:hint="default" w:ascii="Times New Roman" w:hAnsi="Times New Roman" w:cs="Times New Roman"/>
                <w:b w:val="0"/>
                <w:bCs w:val="0"/>
                <w:color w:val="auto"/>
                <w:sz w:val="21"/>
                <w:szCs w:val="21"/>
                <w:highlight w:val="none"/>
                <w:lang w:val="en-US" w:eastAsia="zh-CN"/>
              </w:rPr>
              <w:t>本次评价配套</w:t>
            </w:r>
            <w:r>
              <w:rPr>
                <w:rFonts w:hint="eastAsia" w:cs="Times New Roman"/>
                <w:b w:val="0"/>
                <w:bCs w:val="0"/>
                <w:color w:val="auto"/>
                <w:sz w:val="21"/>
                <w:szCs w:val="21"/>
                <w:highlight w:val="none"/>
                <w:lang w:val="en-US" w:eastAsia="zh-CN"/>
              </w:rPr>
              <w:t>“UV光催化氧化+活性炭吸附”装置</w:t>
            </w:r>
            <w:r>
              <w:rPr>
                <w:rFonts w:hint="default" w:ascii="Times New Roman" w:hAnsi="Times New Roman" w:cs="Times New Roman"/>
                <w:b w:val="0"/>
                <w:bCs w:val="0"/>
                <w:color w:val="auto"/>
                <w:sz w:val="21"/>
                <w:szCs w:val="21"/>
                <w:highlight w:val="none"/>
                <w:lang w:val="en-US" w:eastAsia="zh-CN"/>
              </w:rPr>
              <w:t>对</w:t>
            </w:r>
            <w:r>
              <w:rPr>
                <w:rFonts w:hint="eastAsia" w:cs="Times New Roman"/>
                <w:b w:val="0"/>
                <w:bCs w:val="0"/>
                <w:color w:val="auto"/>
                <w:sz w:val="21"/>
                <w:szCs w:val="21"/>
                <w:highlight w:val="none"/>
                <w:lang w:val="en-US" w:eastAsia="zh-CN"/>
              </w:rPr>
              <w:t>非甲烷总烃的</w:t>
            </w:r>
            <w:r>
              <w:rPr>
                <w:rFonts w:hint="default" w:ascii="Times New Roman" w:hAnsi="Times New Roman" w:cs="Times New Roman"/>
                <w:b w:val="0"/>
                <w:bCs w:val="0"/>
                <w:color w:val="auto"/>
                <w:sz w:val="21"/>
                <w:szCs w:val="21"/>
                <w:highlight w:val="none"/>
                <w:lang w:val="en-US" w:eastAsia="zh-CN"/>
              </w:rPr>
              <w:t>处理效率</w:t>
            </w:r>
            <w:r>
              <w:rPr>
                <w:rFonts w:hint="eastAsia" w:cs="Times New Roman"/>
                <w:b w:val="0"/>
                <w:bCs w:val="0"/>
                <w:color w:val="auto"/>
                <w:sz w:val="21"/>
                <w:szCs w:val="21"/>
                <w:highlight w:val="none"/>
                <w:lang w:val="en-US" w:eastAsia="zh-CN"/>
              </w:rPr>
              <w:t>按70</w:t>
            </w:r>
            <w:r>
              <w:rPr>
                <w:rFonts w:hint="default" w:ascii="Times New Roman" w:hAnsi="Times New Roman" w:cs="Times New Roman"/>
                <w:b w:val="0"/>
                <w:bCs w:val="0"/>
                <w:color w:val="auto"/>
                <w:sz w:val="21"/>
                <w:szCs w:val="21"/>
                <w:highlight w:val="none"/>
                <w:lang w:val="en-US" w:eastAsia="zh-CN"/>
              </w:rPr>
              <w:t>%计，</w:t>
            </w:r>
            <w:r>
              <w:rPr>
                <w:rFonts w:hint="eastAsia" w:cs="Times New Roman"/>
                <w:b w:val="0"/>
                <w:bCs w:val="0"/>
                <w:color w:val="auto"/>
                <w:sz w:val="21"/>
                <w:szCs w:val="21"/>
                <w:highlight w:val="none"/>
                <w:lang w:val="en-US" w:eastAsia="zh-CN"/>
              </w:rPr>
              <w:t>注液</w:t>
            </w:r>
            <w:r>
              <w:rPr>
                <w:rFonts w:hint="default" w:ascii="Times New Roman" w:hAnsi="Times New Roman" w:cs="Times New Roman"/>
                <w:b w:val="0"/>
                <w:bCs w:val="0"/>
                <w:color w:val="auto"/>
                <w:sz w:val="21"/>
                <w:szCs w:val="21"/>
                <w:highlight w:val="none"/>
                <w:lang w:val="en-US" w:eastAsia="zh-CN"/>
              </w:rPr>
              <w:t>工序年工作</w:t>
            </w:r>
            <w:r>
              <w:rPr>
                <w:rFonts w:hint="eastAsia" w:cs="Times New Roman"/>
                <w:b w:val="0"/>
                <w:bCs w:val="0"/>
                <w:color w:val="auto"/>
                <w:sz w:val="21"/>
                <w:szCs w:val="21"/>
                <w:highlight w:val="none"/>
                <w:lang w:val="en-US" w:eastAsia="zh-CN"/>
              </w:rPr>
              <w:t>按</w:t>
            </w:r>
            <w:r>
              <w:rPr>
                <w:rFonts w:hint="default" w:ascii="Times New Roman" w:hAnsi="Times New Roman" w:cs="Times New Roman"/>
                <w:b w:val="0"/>
                <w:bCs w:val="0"/>
                <w:color w:val="auto"/>
                <w:sz w:val="21"/>
                <w:szCs w:val="21"/>
                <w:highlight w:val="none"/>
                <w:lang w:val="en-US" w:eastAsia="zh-CN"/>
              </w:rPr>
              <w:t>2400h计算</w:t>
            </w:r>
            <w:r>
              <w:rPr>
                <w:rFonts w:hint="eastAsia" w:cs="Times New Roman"/>
                <w:b w:val="0"/>
                <w:bCs w:val="0"/>
                <w:color w:val="auto"/>
                <w:sz w:val="21"/>
                <w:szCs w:val="21"/>
                <w:highlight w:val="none"/>
                <w:lang w:val="en-US" w:eastAsia="zh-CN"/>
              </w:rPr>
              <w:t>，则经注液工序废气产排情况如下：</w:t>
            </w:r>
            <w:r>
              <w:rPr>
                <w:rFonts w:hint="eastAsia" w:cs="Times New Roman"/>
                <w:b w:val="0"/>
                <w:bCs w:val="0"/>
                <w:color w:val="auto"/>
                <w:sz w:val="21"/>
                <w:szCs w:val="21"/>
                <w:highlight w:val="none"/>
                <w:lang w:val="en-US" w:eastAsia="zh-CN"/>
              </w:rPr>
              <w:br w:type="textWrapp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Cs/>
                <w:color w:val="auto"/>
                <w:spacing w:val="-10"/>
                <w:szCs w:val="21"/>
                <w:highlight w:val="green"/>
                <w:lang w:val="en-US" w:eastAsia="zh-CN"/>
              </w:rPr>
            </w:pPr>
          </w:p>
        </w:tc>
      </w:tr>
    </w:tbl>
    <w:p>
      <w:pPr>
        <w:adjustRightInd w:val="0"/>
        <w:snapToGrid w:val="0"/>
        <w:spacing w:line="360" w:lineRule="auto"/>
        <w:rPr>
          <w:rFonts w:hint="default" w:ascii="Times New Roman" w:hAnsi="Times New Roman" w:cs="Times New Roman"/>
          <w:b/>
          <w:color w:val="auto"/>
          <w:kern w:val="0"/>
          <w:sz w:val="28"/>
          <w:szCs w:val="28"/>
          <w:highlight w:val="green"/>
        </w:rPr>
        <w:sectPr>
          <w:pgSz w:w="11907" w:h="16840"/>
          <w:pgMar w:top="1803" w:right="1440" w:bottom="1803" w:left="144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6" w:hRule="atLeast"/>
          <w:jc w:val="center"/>
        </w:trPr>
        <w:tc>
          <w:tcPr>
            <w:tcW w:w="5000" w:type="pct"/>
            <w:vAlign w:val="top"/>
          </w:tcPr>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有组织废气产排放及治理设施情况汇总一览表</w:t>
            </w:r>
          </w:p>
          <w:tbl>
            <w:tblPr>
              <w:tblStyle w:val="21"/>
              <w:tblW w:w="4995" w:type="pct"/>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680"/>
              <w:gridCol w:w="1006"/>
              <w:gridCol w:w="1255"/>
              <w:gridCol w:w="979"/>
              <w:gridCol w:w="881"/>
              <w:gridCol w:w="881"/>
              <w:gridCol w:w="889"/>
              <w:gridCol w:w="2554"/>
              <w:gridCol w:w="675"/>
              <w:gridCol w:w="876"/>
              <w:gridCol w:w="876"/>
              <w:gridCol w:w="880"/>
              <w:gridCol w:w="795"/>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57" w:type="pct"/>
                  <w:vMerge w:val="restart"/>
                  <w:tcBorders>
                    <w:righ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排放源</w:t>
                  </w:r>
                </w:p>
              </w:tc>
              <w:tc>
                <w:tcPr>
                  <w:tcW w:w="380" w:type="pct"/>
                  <w:vMerge w:val="restart"/>
                  <w:tcBorders>
                    <w:lef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产污环节</w:t>
                  </w:r>
                </w:p>
              </w:tc>
              <w:tc>
                <w:tcPr>
                  <w:tcW w:w="474"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污染物</w:t>
                  </w:r>
                  <w:r>
                    <w:rPr>
                      <w:rFonts w:hint="default" w:ascii="Times New Roman" w:hAnsi="Times New Roman" w:cs="Times New Roman"/>
                      <w:color w:val="auto"/>
                      <w:kern w:val="0"/>
                      <w:sz w:val="18"/>
                      <w:szCs w:val="18"/>
                      <w:highlight w:val="none"/>
                      <w:lang w:eastAsia="zh-CN"/>
                    </w:rPr>
                    <w:t>种类</w:t>
                  </w:r>
                </w:p>
              </w:tc>
              <w:tc>
                <w:tcPr>
                  <w:tcW w:w="370" w:type="pct"/>
                  <w:vMerge w:val="restart"/>
                  <w:tcBorders>
                    <w:righ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废气量</w:t>
                  </w:r>
                  <w:r>
                    <w:rPr>
                      <w:rFonts w:hint="default" w:ascii="Times New Roman" w:hAnsi="Times New Roman" w:cs="Times New Roman"/>
                      <w:color w:val="auto"/>
                      <w:kern w:val="0"/>
                      <w:sz w:val="18"/>
                      <w:szCs w:val="18"/>
                      <w:highlight w:val="none"/>
                    </w:rPr>
                    <w:t>m</w:t>
                  </w:r>
                  <w:r>
                    <w:rPr>
                      <w:rFonts w:hint="default" w:ascii="Times New Roman" w:hAnsi="Times New Roman" w:cs="Times New Roman"/>
                      <w:color w:val="auto"/>
                      <w:kern w:val="0"/>
                      <w:sz w:val="18"/>
                      <w:szCs w:val="18"/>
                      <w:highlight w:val="none"/>
                      <w:vertAlign w:val="superscript"/>
                    </w:rPr>
                    <w:t>3</w:t>
                  </w:r>
                  <w:r>
                    <w:rPr>
                      <w:rFonts w:hint="default" w:ascii="Times New Roman" w:hAnsi="Times New Roman" w:cs="Times New Roman"/>
                      <w:color w:val="auto"/>
                      <w:kern w:val="0"/>
                      <w:sz w:val="18"/>
                      <w:szCs w:val="18"/>
                      <w:highlight w:val="none"/>
                    </w:rPr>
                    <w:t>/h</w:t>
                  </w:r>
                </w:p>
              </w:tc>
              <w:tc>
                <w:tcPr>
                  <w:tcW w:w="1002" w:type="pct"/>
                  <w:gridSpan w:val="3"/>
                  <w:tcBorders>
                    <w:left w:val="single" w:color="auto" w:sz="4" w:space="0"/>
                    <w:bottom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污染物产生</w:t>
                  </w:r>
                  <w:r>
                    <w:rPr>
                      <w:rFonts w:hint="default" w:ascii="Times New Roman" w:hAnsi="Times New Roman" w:cs="Times New Roman"/>
                      <w:color w:val="auto"/>
                      <w:kern w:val="0"/>
                      <w:sz w:val="18"/>
                      <w:szCs w:val="18"/>
                      <w:highlight w:val="none"/>
                      <w:lang w:eastAsia="zh-CN"/>
                    </w:rPr>
                    <w:t>情况</w:t>
                  </w:r>
                </w:p>
              </w:tc>
              <w:tc>
                <w:tcPr>
                  <w:tcW w:w="1220" w:type="pct"/>
                  <w:gridSpan w:val="2"/>
                  <w:tcBorders>
                    <w:righ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治理措施</w:t>
                  </w:r>
                </w:p>
              </w:tc>
              <w:tc>
                <w:tcPr>
                  <w:tcW w:w="994" w:type="pct"/>
                  <w:gridSpan w:val="3"/>
                  <w:tcBorders>
                    <w:lef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污染物排放</w:t>
                  </w:r>
                  <w:r>
                    <w:rPr>
                      <w:rFonts w:hint="default" w:ascii="Times New Roman" w:hAnsi="Times New Roman" w:cs="Times New Roman"/>
                      <w:color w:val="auto"/>
                      <w:kern w:val="0"/>
                      <w:sz w:val="18"/>
                      <w:szCs w:val="18"/>
                      <w:highlight w:val="none"/>
                      <w:lang w:eastAsia="zh-CN"/>
                    </w:rPr>
                    <w:t>情况</w:t>
                  </w:r>
                </w:p>
              </w:tc>
              <w:tc>
                <w:tcPr>
                  <w:tcW w:w="300"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排放时间h</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57" w:type="pct"/>
                  <w:vMerge w:val="continue"/>
                  <w:tcBorders>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color w:val="auto"/>
                      <w:kern w:val="0"/>
                      <w:sz w:val="18"/>
                      <w:szCs w:val="18"/>
                      <w:highlight w:val="none"/>
                    </w:rPr>
                  </w:pPr>
                </w:p>
              </w:tc>
              <w:tc>
                <w:tcPr>
                  <w:tcW w:w="380" w:type="pct"/>
                  <w:vMerge w:val="continue"/>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color w:val="auto"/>
                      <w:kern w:val="0"/>
                      <w:sz w:val="18"/>
                      <w:szCs w:val="18"/>
                      <w:highlight w:val="none"/>
                    </w:rPr>
                  </w:pPr>
                </w:p>
              </w:tc>
              <w:tc>
                <w:tcPr>
                  <w:tcW w:w="47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color w:val="auto"/>
                      <w:kern w:val="0"/>
                      <w:sz w:val="18"/>
                      <w:szCs w:val="18"/>
                      <w:highlight w:val="none"/>
                    </w:rPr>
                  </w:pPr>
                </w:p>
              </w:tc>
              <w:tc>
                <w:tcPr>
                  <w:tcW w:w="370" w:type="pct"/>
                  <w:vMerge w:val="continue"/>
                  <w:tcBorders>
                    <w:righ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p>
              </w:tc>
              <w:tc>
                <w:tcPr>
                  <w:tcW w:w="333" w:type="pct"/>
                  <w:tcBorders>
                    <w:left w:val="single" w:color="auto" w:sz="4" w:space="0"/>
                    <w:righ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产生浓度mg/m</w:t>
                  </w:r>
                  <w:r>
                    <w:rPr>
                      <w:rFonts w:hint="default" w:ascii="Times New Roman" w:hAnsi="Times New Roman" w:cs="Times New Roman"/>
                      <w:color w:val="auto"/>
                      <w:kern w:val="0"/>
                      <w:sz w:val="18"/>
                      <w:szCs w:val="18"/>
                      <w:highlight w:val="none"/>
                      <w:vertAlign w:val="superscript"/>
                    </w:rPr>
                    <w:t>3</w:t>
                  </w:r>
                </w:p>
              </w:tc>
              <w:tc>
                <w:tcPr>
                  <w:tcW w:w="333" w:type="pct"/>
                  <w:tcBorders>
                    <w:lef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产生速率</w:t>
                  </w:r>
                  <w:r>
                    <w:rPr>
                      <w:rFonts w:hint="default" w:ascii="Times New Roman" w:hAnsi="Times New Roman" w:cs="Times New Roman"/>
                      <w:color w:val="auto"/>
                      <w:kern w:val="0"/>
                      <w:sz w:val="18"/>
                      <w:szCs w:val="18"/>
                      <w:highlight w:val="none"/>
                      <w:lang w:val="en-US" w:eastAsia="zh-CN"/>
                    </w:rPr>
                    <w:t>kg/h</w:t>
                  </w: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产生量</w:t>
                  </w:r>
                </w:p>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t/a</w:t>
                  </w:r>
                </w:p>
              </w:tc>
              <w:tc>
                <w:tcPr>
                  <w:tcW w:w="965" w:type="pct"/>
                  <w:tcBorders>
                    <w:righ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eastAsia="zh-CN"/>
                    </w:rPr>
                    <w:t>治理</w:t>
                  </w:r>
                  <w:r>
                    <w:rPr>
                      <w:rFonts w:hint="default" w:ascii="Times New Roman" w:hAnsi="Times New Roman" w:cs="Times New Roman"/>
                      <w:color w:val="auto"/>
                      <w:kern w:val="0"/>
                      <w:sz w:val="18"/>
                      <w:szCs w:val="18"/>
                      <w:highlight w:val="none"/>
                    </w:rPr>
                    <w:t>工艺</w:t>
                  </w:r>
                </w:p>
              </w:tc>
              <w:tc>
                <w:tcPr>
                  <w:tcW w:w="255" w:type="pct"/>
                  <w:tcBorders>
                    <w:left w:val="single" w:color="auto" w:sz="4" w:space="0"/>
                    <w:righ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治理效率%</w:t>
                  </w:r>
                </w:p>
              </w:tc>
              <w:tc>
                <w:tcPr>
                  <w:tcW w:w="331" w:type="pct"/>
                  <w:tcBorders>
                    <w:lef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排放浓度mg/m</w:t>
                  </w:r>
                  <w:r>
                    <w:rPr>
                      <w:rFonts w:hint="default" w:ascii="Times New Roman" w:hAnsi="Times New Roman" w:cs="Times New Roman"/>
                      <w:color w:val="auto"/>
                      <w:kern w:val="0"/>
                      <w:sz w:val="18"/>
                      <w:szCs w:val="18"/>
                      <w:highlight w:val="none"/>
                      <w:vertAlign w:val="superscript"/>
                    </w:rPr>
                    <w:t>3</w:t>
                  </w:r>
                </w:p>
              </w:tc>
              <w:tc>
                <w:tcPr>
                  <w:tcW w:w="33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eastAsia="zh-CN"/>
                    </w:rPr>
                    <w:t>排放速率</w:t>
                  </w:r>
                  <w:r>
                    <w:rPr>
                      <w:rFonts w:hint="default" w:ascii="Times New Roman" w:hAnsi="Times New Roman" w:cs="Times New Roman"/>
                      <w:color w:val="auto"/>
                      <w:kern w:val="0"/>
                      <w:sz w:val="18"/>
                      <w:szCs w:val="18"/>
                      <w:highlight w:val="none"/>
                      <w:lang w:val="en-US" w:eastAsia="zh-CN"/>
                    </w:rPr>
                    <w:t>kg/h</w:t>
                  </w:r>
                </w:p>
              </w:tc>
              <w:tc>
                <w:tcPr>
                  <w:tcW w:w="33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排放量</w:t>
                  </w:r>
                </w:p>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t</w:t>
                  </w:r>
                  <w:r>
                    <w:rPr>
                      <w:rFonts w:hint="default" w:ascii="Times New Roman" w:hAnsi="Times New Roman" w:cs="Times New Roman"/>
                      <w:color w:val="auto"/>
                      <w:kern w:val="0"/>
                      <w:sz w:val="18"/>
                      <w:szCs w:val="18"/>
                      <w:highlight w:val="none"/>
                      <w:lang w:val="en-US" w:eastAsia="zh-CN"/>
                    </w:rPr>
                    <w:t>/a</w:t>
                  </w:r>
                </w:p>
              </w:tc>
              <w:tc>
                <w:tcPr>
                  <w:tcW w:w="300"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44" w:hRule="atLeast"/>
                <w:jc w:val="center"/>
              </w:trPr>
              <w:tc>
                <w:tcPr>
                  <w:tcW w:w="257"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生产</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车间</w:t>
                  </w:r>
                </w:p>
              </w:tc>
              <w:tc>
                <w:tcPr>
                  <w:tcW w:w="380" w:type="pct"/>
                  <w:tcBorders>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注液</w:t>
                  </w:r>
                  <w:r>
                    <w:rPr>
                      <w:rFonts w:hint="default" w:ascii="Times New Roman" w:hAnsi="Times New Roman" w:cs="Times New Roman"/>
                      <w:color w:val="auto"/>
                      <w:kern w:val="0"/>
                      <w:sz w:val="18"/>
                      <w:szCs w:val="18"/>
                      <w:highlight w:val="none"/>
                      <w:lang w:val="en-US" w:eastAsia="zh-CN"/>
                    </w:rPr>
                    <w:t>工序</w:t>
                  </w:r>
                </w:p>
              </w:tc>
              <w:tc>
                <w:tcPr>
                  <w:tcW w:w="474" w:type="pct"/>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eastAsia="zh-CN"/>
                    </w:rPr>
                  </w:pPr>
                  <w:r>
                    <w:rPr>
                      <w:rFonts w:hint="eastAsia" w:cs="Times New Roman"/>
                      <w:color w:val="auto"/>
                      <w:kern w:val="2"/>
                      <w:sz w:val="18"/>
                      <w:szCs w:val="18"/>
                      <w:highlight w:val="none"/>
                      <w:lang w:val="en-US" w:eastAsia="zh-CN" w:bidi="ar-SA"/>
                    </w:rPr>
                    <w:t>非甲烷总烃</w:t>
                  </w:r>
                </w:p>
              </w:tc>
              <w:tc>
                <w:tcPr>
                  <w:tcW w:w="370" w:type="pct"/>
                  <w:tcBorders>
                    <w:bottom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2000</w:t>
                  </w:r>
                </w:p>
              </w:tc>
              <w:tc>
                <w:tcPr>
                  <w:tcW w:w="333" w:type="pct"/>
                  <w:tcBorders>
                    <w:bottom w:val="single" w:color="auto" w:sz="4" w:space="0"/>
                    <w:right w:val="single" w:color="auto" w:sz="4" w:space="0"/>
                    <w:tl2br w:val="nil"/>
                    <w:tr2bl w:val="nil"/>
                  </w:tcBorders>
                  <w:shd w:val="clear" w:color="auto" w:fill="auto"/>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52</w:t>
                  </w:r>
                </w:p>
              </w:tc>
              <w:tc>
                <w:tcPr>
                  <w:tcW w:w="333" w:type="pct"/>
                  <w:tcBorders>
                    <w:left w:val="single" w:color="auto" w:sz="4" w:space="0"/>
                    <w:bottom w:val="single" w:color="auto" w:sz="4" w:space="0"/>
                    <w:tl2br w:val="nil"/>
                    <w:tr2bl w:val="nil"/>
                  </w:tcBorders>
                  <w:shd w:val="clear" w:color="auto" w:fill="auto"/>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0.104</w:t>
                  </w:r>
                </w:p>
              </w:tc>
              <w:tc>
                <w:tcPr>
                  <w:tcW w:w="335" w:type="pct"/>
                  <w:tcBorders>
                    <w:bottom w:val="single" w:color="auto" w:sz="4" w:space="0"/>
                    <w:tl2br w:val="nil"/>
                    <w:tr2bl w:val="nil"/>
                  </w:tcBorders>
                  <w:shd w:val="clear" w:color="auto" w:fill="auto"/>
                  <w:vAlign w:val="center"/>
                </w:tcPr>
                <w:p>
                  <w:pPr>
                    <w:keepNext w:val="0"/>
                    <w:keepLines w:val="0"/>
                    <w:pageBreakBefore w:val="0"/>
                    <w:widowControl/>
                    <w:suppressLineNumbers w:val="0"/>
                    <w:autoSpaceDE/>
                    <w:autoSpaceDN/>
                    <w:bidi w:val="0"/>
                    <w:adjustRightInd/>
                    <w:snapToGrid/>
                    <w:spacing w:line="320" w:lineRule="exact"/>
                    <w:ind w:firstLine="0" w:firstLineChars="0"/>
                    <w:jc w:val="center"/>
                    <w:textAlignment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0.25</w:t>
                  </w:r>
                </w:p>
              </w:tc>
              <w:tc>
                <w:tcPr>
                  <w:tcW w:w="965" w:type="pct"/>
                  <w:tcBorders>
                    <w:bottom w:val="single" w:color="auto" w:sz="4" w:space="0"/>
                    <w:righ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UV光催化氧化+活性炭吸附</w:t>
                  </w:r>
                </w:p>
              </w:tc>
              <w:tc>
                <w:tcPr>
                  <w:tcW w:w="255"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70</w:t>
                  </w:r>
                </w:p>
              </w:tc>
              <w:tc>
                <w:tcPr>
                  <w:tcW w:w="331" w:type="pct"/>
                  <w:tcBorders>
                    <w:top w:val="single" w:color="auto" w:sz="4" w:space="0"/>
                    <w:left w:val="single" w:color="auto" w:sz="4" w:space="0"/>
                    <w:bottom w:val="single" w:color="auto" w:sz="4" w:space="0"/>
                    <w:tl2br w:val="nil"/>
                    <w:tr2bl w:val="nil"/>
                  </w:tcBorders>
                  <w:shd w:val="clear" w:color="auto" w:fill="auto"/>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15.6</w:t>
                  </w:r>
                </w:p>
              </w:tc>
              <w:tc>
                <w:tcPr>
                  <w:tcW w:w="331" w:type="pct"/>
                  <w:tcBorders>
                    <w:top w:val="single" w:color="auto" w:sz="4" w:space="0"/>
                    <w:bottom w:val="single" w:color="auto" w:sz="4" w:space="0"/>
                    <w:tl2br w:val="nil"/>
                    <w:tr2bl w:val="nil"/>
                  </w:tcBorders>
                  <w:shd w:val="clear" w:color="auto" w:fill="auto"/>
                  <w:vAlign w:val="center"/>
                </w:tcPr>
                <w:p>
                  <w:pPr>
                    <w:keepNext w:val="0"/>
                    <w:keepLines w:val="0"/>
                    <w:pageBreakBefore w:val="0"/>
                    <w:widowControl/>
                    <w:suppressLineNumbers w:val="0"/>
                    <w:autoSpaceDE/>
                    <w:autoSpaceDN/>
                    <w:bidi w:val="0"/>
                    <w:adjustRightInd/>
                    <w:snapToGrid/>
                    <w:spacing w:line="320" w:lineRule="exact"/>
                    <w:ind w:firstLine="0" w:firstLineChars="0"/>
                    <w:jc w:val="center"/>
                    <w:textAlignment w:val="center"/>
                    <w:rPr>
                      <w:rFonts w:hint="default" w:ascii="Times New Roman" w:hAnsi="Times New Roman" w:cs="Times New Roman"/>
                      <w:color w:val="auto"/>
                      <w:sz w:val="18"/>
                      <w:szCs w:val="18"/>
                      <w:highlight w:val="none"/>
                      <w:lang w:val="en-US" w:eastAsia="zh-CN" w:bidi="ar-SA"/>
                    </w:rPr>
                  </w:pPr>
                  <w:r>
                    <w:rPr>
                      <w:rFonts w:hint="eastAsia" w:cs="Times New Roman"/>
                      <w:color w:val="auto"/>
                      <w:sz w:val="18"/>
                      <w:szCs w:val="18"/>
                      <w:highlight w:val="none"/>
                      <w:lang w:val="en-US" w:eastAsia="zh-CN" w:bidi="ar-SA"/>
                    </w:rPr>
                    <w:t>0.031</w:t>
                  </w:r>
                </w:p>
              </w:tc>
              <w:tc>
                <w:tcPr>
                  <w:tcW w:w="331" w:type="pct"/>
                  <w:tcBorders>
                    <w:top w:val="single" w:color="auto" w:sz="4" w:space="0"/>
                    <w:bottom w:val="single" w:color="auto" w:sz="4" w:space="0"/>
                    <w:tl2br w:val="nil"/>
                    <w:tr2bl w:val="nil"/>
                  </w:tcBorders>
                  <w:shd w:val="clear" w:color="auto" w:fill="auto"/>
                  <w:vAlign w:val="center"/>
                </w:tcPr>
                <w:p>
                  <w:pPr>
                    <w:keepNext w:val="0"/>
                    <w:keepLines w:val="0"/>
                    <w:pageBreakBefore w:val="0"/>
                    <w:widowControl/>
                    <w:suppressLineNumbers w:val="0"/>
                    <w:autoSpaceDE/>
                    <w:autoSpaceDN/>
                    <w:bidi w:val="0"/>
                    <w:adjustRightInd/>
                    <w:snapToGrid/>
                    <w:spacing w:line="320" w:lineRule="exact"/>
                    <w:ind w:firstLine="0" w:firstLineChars="0"/>
                    <w:jc w:val="center"/>
                    <w:textAlignment w:val="center"/>
                    <w:rPr>
                      <w:rFonts w:hint="default" w:ascii="Times New Roman" w:hAnsi="Times New Roman" w:cs="Times New Roman"/>
                      <w:color w:val="auto"/>
                      <w:sz w:val="18"/>
                      <w:szCs w:val="18"/>
                      <w:highlight w:val="none"/>
                      <w:lang w:val="en-US" w:eastAsia="zh-CN" w:bidi="ar-SA"/>
                    </w:rPr>
                  </w:pPr>
                  <w:r>
                    <w:rPr>
                      <w:rFonts w:hint="eastAsia" w:cs="Times New Roman"/>
                      <w:color w:val="auto"/>
                      <w:sz w:val="18"/>
                      <w:szCs w:val="18"/>
                      <w:highlight w:val="none"/>
                      <w:lang w:val="en-US" w:eastAsia="zh-CN" w:bidi="ar-SA"/>
                    </w:rPr>
                    <w:t>0.075</w:t>
                  </w:r>
                </w:p>
              </w:tc>
              <w:tc>
                <w:tcPr>
                  <w:tcW w:w="300" w:type="pct"/>
                  <w:tcBorders>
                    <w:top w:val="single" w:color="auto" w:sz="4" w:space="0"/>
                    <w:bottom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bidi="ar-SA"/>
                    </w:rPr>
                    <w:t>2400</w:t>
                  </w:r>
                </w:p>
              </w:tc>
            </w:tr>
          </w:tbl>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right="0" w:rightChars="0" w:firstLine="420" w:firstLineChars="200"/>
              <w:jc w:val="both"/>
              <w:textAlignment w:val="auto"/>
              <w:rPr>
                <w:rFonts w:hint="default" w:ascii="Times New Roman" w:hAnsi="Times New Roman" w:cs="Times New Roman"/>
                <w:color w:val="auto"/>
                <w:sz w:val="21"/>
                <w:szCs w:val="21"/>
                <w:highlight w:val="green"/>
                <w:lang w:val="en-US" w:eastAsia="zh-CN"/>
              </w:rPr>
            </w:pPr>
            <w:r>
              <w:rPr>
                <w:rFonts w:hint="default" w:ascii="Times New Roman" w:hAnsi="Times New Roman" w:eastAsia="宋体" w:cs="Times New Roman"/>
                <w:color w:val="auto"/>
                <w:sz w:val="21"/>
                <w:szCs w:val="21"/>
                <w:highlight w:val="none"/>
                <w:lang w:val="en-US" w:eastAsia="zh-CN"/>
              </w:rPr>
              <w:t>由上表可知，项目</w:t>
            </w:r>
            <w:r>
              <w:rPr>
                <w:rFonts w:hint="eastAsia" w:cs="Times New Roman"/>
                <w:color w:val="auto"/>
                <w:sz w:val="21"/>
                <w:szCs w:val="21"/>
                <w:highlight w:val="none"/>
                <w:lang w:val="en-US" w:eastAsia="zh-CN"/>
              </w:rPr>
              <w:t>注液</w:t>
            </w:r>
            <w:r>
              <w:rPr>
                <w:rFonts w:hint="default" w:ascii="Times New Roman" w:hAnsi="Times New Roman" w:eastAsia="宋体" w:cs="Times New Roman"/>
                <w:color w:val="auto"/>
                <w:sz w:val="21"/>
                <w:szCs w:val="21"/>
                <w:highlight w:val="none"/>
                <w:lang w:val="en-US" w:eastAsia="zh-CN"/>
              </w:rPr>
              <w:t>工序废气收集并经</w:t>
            </w:r>
            <w:r>
              <w:rPr>
                <w:rFonts w:hint="eastAsia" w:cs="Times New Roman"/>
                <w:color w:val="auto"/>
                <w:sz w:val="21"/>
                <w:szCs w:val="21"/>
                <w:highlight w:val="none"/>
                <w:lang w:val="en-US" w:eastAsia="zh-CN"/>
              </w:rPr>
              <w:t>1套“UV光催化氧化+活性炭吸附”装置</w:t>
            </w:r>
            <w:r>
              <w:rPr>
                <w:rFonts w:hint="default" w:ascii="Times New Roman" w:hAnsi="Times New Roman" w:eastAsia="宋体" w:cs="Times New Roman"/>
                <w:color w:val="auto"/>
                <w:sz w:val="21"/>
                <w:szCs w:val="21"/>
                <w:highlight w:val="none"/>
                <w:lang w:val="en-US" w:eastAsia="zh-CN"/>
              </w:rPr>
              <w:t>处理后，外排废气能够满足</w:t>
            </w:r>
            <w:r>
              <w:rPr>
                <w:rFonts w:hint="eastAsia" w:cs="Times New Roman"/>
                <w:color w:val="auto"/>
                <w:sz w:val="21"/>
                <w:szCs w:val="21"/>
                <w:highlight w:val="none"/>
                <w:lang w:val="en-US" w:eastAsia="zh-CN"/>
              </w:rPr>
              <w:t>《电池工业污染物排放标准》（GB30848-2013）表5标准（非甲烷总烃50mg/m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），同时满足《关于全省开展工业企业挥发性有机物专项治理工作中排放建议值的通知》（豫环攻坚办[2017]162号）要求（其他行业有机废气排放口80mg/m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，去除效率≥70%）</w:t>
            </w:r>
            <w:r>
              <w:rPr>
                <w:rFonts w:hint="default" w:ascii="Times New Roman" w:hAnsi="Times New Roman" w:cs="Times New Roman"/>
                <w:color w:val="auto"/>
                <w:sz w:val="21"/>
                <w:szCs w:val="21"/>
                <w:highlight w:val="none"/>
                <w:lang w:val="en-US" w:eastAsia="zh-CN"/>
              </w:rPr>
              <w:t>。</w:t>
            </w:r>
          </w:p>
          <w:p>
            <w:pPr>
              <w:pStyle w:val="20"/>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highlight w:val="green"/>
                <w:vertAlign w:val="baseline"/>
                <w:lang w:eastAsia="zh-CN"/>
              </w:rPr>
            </w:pPr>
          </w:p>
        </w:tc>
      </w:tr>
    </w:tbl>
    <w:p>
      <w:pPr>
        <w:pStyle w:val="20"/>
        <w:rPr>
          <w:rFonts w:hint="default" w:ascii="Times New Roman" w:hAnsi="Times New Roman" w:cs="Times New Roman"/>
          <w:color w:val="auto"/>
          <w:highlight w:val="green"/>
        </w:rPr>
        <w:sectPr>
          <w:pgSz w:w="16840" w:h="11907" w:orient="landscape"/>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8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期环</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境影</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响和</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保护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highlight w:val="green"/>
                <w:lang w:val="en-US" w:eastAsia="zh-CN"/>
              </w:rPr>
            </w:pPr>
            <w:r>
              <w:rPr>
                <w:rFonts w:hint="default" w:ascii="Times New Roman" w:hAnsi="Times New Roman" w:cs="Times New Roman"/>
                <w:bCs/>
                <w:color w:val="auto"/>
                <w:szCs w:val="21"/>
                <w:highlight w:val="none"/>
              </w:rPr>
              <w:t>措施</w:t>
            </w:r>
          </w:p>
        </w:tc>
        <w:tc>
          <w:tcPr>
            <w:tcW w:w="8282" w:type="dxa"/>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bCs/>
                <w:color w:val="auto"/>
                <w:sz w:val="21"/>
                <w:szCs w:val="21"/>
                <w:highlight w:val="none"/>
                <w:lang w:eastAsia="zh-CN"/>
              </w:rPr>
            </w:pPr>
            <w:r>
              <w:rPr>
                <w:rFonts w:hint="eastAsia" w:cs="Times New Roman"/>
                <w:b/>
                <w:bCs/>
                <w:color w:val="auto"/>
                <w:sz w:val="21"/>
                <w:szCs w:val="21"/>
                <w:highlight w:val="none"/>
                <w:lang w:val="en-US" w:eastAsia="zh-CN"/>
              </w:rPr>
              <w:t>1.3</w:t>
            </w:r>
            <w:r>
              <w:rPr>
                <w:rFonts w:hint="default" w:ascii="Times New Roman" w:hAnsi="Times New Roman" w:cs="Times New Roman"/>
                <w:b/>
                <w:bCs/>
                <w:color w:val="auto"/>
                <w:sz w:val="21"/>
                <w:szCs w:val="21"/>
                <w:highlight w:val="none"/>
                <w:lang w:eastAsia="zh-CN"/>
              </w:rPr>
              <w:t>废气处理措施可行性分析</w:t>
            </w:r>
          </w:p>
          <w:p>
            <w:pPr>
              <w:pStyle w:val="20"/>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firstLine="420" w:firstLineChars="200"/>
              <w:textAlignment w:val="auto"/>
              <w:rPr>
                <w:rFonts w:hint="default" w:ascii="Times New Roman" w:hAnsi="Times New Roman" w:cs="Times New Roman"/>
                <w:b/>
                <w:bCs/>
                <w:color w:val="auto"/>
                <w:sz w:val="21"/>
                <w:szCs w:val="21"/>
                <w:highlight w:val="green"/>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本项目属于</w:t>
            </w:r>
            <w:r>
              <w:rPr>
                <w:rFonts w:hint="eastAsia" w:cs="Times New Roman"/>
                <w:b w:val="0"/>
                <w:bCs w:val="0"/>
                <w:color w:val="auto"/>
                <w:sz w:val="21"/>
                <w:szCs w:val="21"/>
                <w:highlight w:val="none"/>
                <w:vertAlign w:val="baseline"/>
                <w:lang w:val="en-US" w:eastAsia="zh-CN"/>
              </w:rPr>
              <w:t>锂离子电池</w:t>
            </w:r>
            <w:r>
              <w:rPr>
                <w:rFonts w:hint="default" w:ascii="Times New Roman" w:hAnsi="Times New Roman" w:cs="Times New Roman"/>
                <w:b w:val="0"/>
                <w:bCs w:val="0"/>
                <w:color w:val="auto"/>
                <w:sz w:val="21"/>
                <w:szCs w:val="21"/>
                <w:highlight w:val="none"/>
                <w:vertAlign w:val="baseline"/>
                <w:lang w:val="en-US" w:eastAsia="zh-CN"/>
              </w:rPr>
              <w:t>制造项目，经查阅《排污许可证申请与核发技术规范 电池工业》（HJ 967-2018）表19电池工业废气污染防治可行技术中“锂离子电池非甲烷总烃”采用的污染治理措施为</w:t>
            </w:r>
            <w:r>
              <w:rPr>
                <w:rFonts w:hint="eastAsia" w:cs="Times New Roman"/>
                <w:b w:val="0"/>
                <w:bCs w:val="0"/>
                <w:color w:val="auto"/>
                <w:sz w:val="21"/>
                <w:szCs w:val="21"/>
                <w:highlight w:val="none"/>
                <w:vertAlign w:val="baseline"/>
                <w:lang w:val="en-US" w:eastAsia="zh-CN"/>
              </w:rPr>
              <w:t>：“废气集中收集+活性炭吸附；其他”，本项目拟采用“UV光催化氧化+活性炭吸附”工艺废气治理设施，因此项目废气治理措施属于可行性技术。</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b/>
                <w:bCs/>
                <w:color w:val="auto"/>
                <w:kern w:val="0"/>
                <w:sz w:val="21"/>
                <w:szCs w:val="21"/>
                <w:highlight w:val="none"/>
              </w:rPr>
            </w:pPr>
            <w:r>
              <w:rPr>
                <w:rFonts w:hint="eastAsia" w:cs="Times New Roman"/>
                <w:b/>
                <w:bCs/>
                <w:color w:val="auto"/>
                <w:kern w:val="0"/>
                <w:sz w:val="21"/>
                <w:szCs w:val="21"/>
                <w:highlight w:val="none"/>
                <w:lang w:val="en-US" w:eastAsia="zh-CN"/>
              </w:rPr>
              <w:t>1.4</w:t>
            </w:r>
            <w:r>
              <w:rPr>
                <w:rFonts w:hint="default" w:ascii="Times New Roman" w:hAnsi="Times New Roman" w:cs="Times New Roman"/>
                <w:b/>
                <w:bCs/>
                <w:color w:val="auto"/>
                <w:kern w:val="0"/>
                <w:sz w:val="21"/>
                <w:szCs w:val="21"/>
                <w:highlight w:val="none"/>
                <w:lang w:eastAsia="zh-CN"/>
              </w:rPr>
              <w:t>大气环境影响分析</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jc w:val="both"/>
              <w:textAlignment w:val="auto"/>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根据《新乡市2021年环境质量年报》数据，项目所在区域为不达标区。目前，新乡市正在实施《新乡市2022年大气污染防治攻坚战实施方案》等措施，将不断改善区域大气环境质量。</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jc w:val="both"/>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根据现场勘查，距离本项目最近的敏感点为</w:t>
            </w:r>
            <w:r>
              <w:rPr>
                <w:rFonts w:hint="eastAsia" w:cs="Times New Roman"/>
                <w:bCs/>
                <w:color w:val="auto"/>
                <w:kern w:val="0"/>
                <w:szCs w:val="21"/>
                <w:highlight w:val="none"/>
                <w:lang w:val="en-US" w:eastAsia="zh-CN"/>
              </w:rPr>
              <w:t>西南935</w:t>
            </w:r>
            <w:r>
              <w:rPr>
                <w:rFonts w:hint="default" w:ascii="Times New Roman" w:hAnsi="Times New Roman" w:cs="Times New Roman"/>
                <w:bCs/>
                <w:color w:val="auto"/>
                <w:kern w:val="0"/>
                <w:szCs w:val="21"/>
                <w:highlight w:val="none"/>
              </w:rPr>
              <w:t>m处的</w:t>
            </w:r>
            <w:r>
              <w:rPr>
                <w:rFonts w:hint="eastAsia" w:cs="Times New Roman"/>
                <w:bCs/>
                <w:color w:val="auto"/>
                <w:kern w:val="0"/>
                <w:szCs w:val="21"/>
                <w:highlight w:val="none"/>
                <w:lang w:eastAsia="zh-CN"/>
              </w:rPr>
              <w:t>东马坊村</w:t>
            </w:r>
            <w:r>
              <w:rPr>
                <w:rFonts w:hint="default" w:ascii="Times New Roman" w:hAnsi="Times New Roman" w:cs="Times New Roman"/>
                <w:bCs/>
                <w:color w:val="auto"/>
                <w:kern w:val="0"/>
                <w:szCs w:val="21"/>
                <w:highlight w:val="none"/>
              </w:rPr>
              <w:t>，</w:t>
            </w:r>
            <w:r>
              <w:rPr>
                <w:rFonts w:hint="eastAsia" w:cs="Times New Roman"/>
                <w:bCs/>
                <w:color w:val="auto"/>
                <w:kern w:val="0"/>
                <w:szCs w:val="21"/>
                <w:highlight w:val="none"/>
                <w:lang w:eastAsia="zh-CN"/>
              </w:rPr>
              <w:t>敏感点距离本项目较远。本项目生产过程中因所用电解在储存、注液等过程均需进行封闭处理，在生产过程中真空注液工序抽真空系统排气排出的极少的电解液废气</w:t>
            </w:r>
            <w:r>
              <w:rPr>
                <w:rFonts w:hint="default" w:ascii="Times New Roman" w:hAnsi="Times New Roman" w:cs="Times New Roman"/>
                <w:bCs/>
                <w:color w:val="auto"/>
                <w:kern w:val="0"/>
                <w:szCs w:val="21"/>
                <w:highlight w:val="none"/>
                <w:lang w:val="en-US" w:eastAsia="zh-CN"/>
              </w:rPr>
              <w:t>通过</w:t>
            </w:r>
            <w:r>
              <w:rPr>
                <w:rFonts w:hint="eastAsia" w:cs="Times New Roman"/>
                <w:bCs/>
                <w:color w:val="auto"/>
                <w:kern w:val="0"/>
                <w:szCs w:val="21"/>
                <w:highlight w:val="none"/>
                <w:lang w:val="en-US" w:eastAsia="zh-CN"/>
              </w:rPr>
              <w:t>管道直接排入</w:t>
            </w:r>
            <w:r>
              <w:rPr>
                <w:rFonts w:hint="default" w:ascii="Times New Roman" w:hAnsi="Times New Roman" w:cs="Times New Roman"/>
                <w:bCs/>
                <w:color w:val="auto"/>
                <w:kern w:val="0"/>
                <w:szCs w:val="21"/>
                <w:highlight w:val="none"/>
                <w:lang w:val="en-US" w:eastAsia="zh-CN"/>
              </w:rPr>
              <w:t>1套“UV光催化氧化+活性炭吸附”装置进行处理</w:t>
            </w:r>
            <w:r>
              <w:rPr>
                <w:rFonts w:hint="eastAsia" w:cs="Times New Roman"/>
                <w:bCs/>
                <w:color w:val="auto"/>
                <w:kern w:val="0"/>
                <w:szCs w:val="21"/>
                <w:highlight w:val="none"/>
                <w:lang w:val="en-US" w:eastAsia="zh-CN"/>
              </w:rPr>
              <w:t>后，经15m高排气筒排放</w:t>
            </w:r>
            <w:r>
              <w:rPr>
                <w:rFonts w:hint="default" w:ascii="Times New Roman" w:hAnsi="Times New Roman" w:cs="Times New Roman"/>
                <w:bCs/>
                <w:color w:val="auto"/>
                <w:kern w:val="0"/>
                <w:szCs w:val="21"/>
                <w:highlight w:val="none"/>
                <w:lang w:val="en-US" w:eastAsia="zh-CN"/>
              </w:rPr>
              <w:t>，处理后废气均可达标排放，</w:t>
            </w:r>
            <w:r>
              <w:rPr>
                <w:rFonts w:hint="eastAsia" w:cs="Times New Roman"/>
                <w:bCs/>
                <w:color w:val="auto"/>
                <w:kern w:val="0"/>
                <w:szCs w:val="21"/>
                <w:highlight w:val="none"/>
                <w:lang w:val="en-US" w:eastAsia="zh-CN"/>
              </w:rPr>
              <w:t>本项目</w:t>
            </w:r>
            <w:r>
              <w:rPr>
                <w:rFonts w:hint="default" w:ascii="Times New Roman" w:hAnsi="Times New Roman" w:cs="Times New Roman"/>
                <w:bCs/>
                <w:color w:val="auto"/>
                <w:kern w:val="0"/>
                <w:szCs w:val="21"/>
                <w:highlight w:val="none"/>
                <w:lang w:val="en-US" w:eastAsia="zh-CN"/>
              </w:rPr>
              <w:t>在采取</w:t>
            </w:r>
            <w:r>
              <w:rPr>
                <w:rFonts w:hint="default" w:ascii="Times New Roman" w:hAnsi="Times New Roman" w:cs="Times New Roman"/>
                <w:bCs/>
                <w:color w:val="auto"/>
                <w:kern w:val="0"/>
                <w:szCs w:val="21"/>
                <w:highlight w:val="none"/>
              </w:rPr>
              <w:t>严格的环保</w:t>
            </w:r>
            <w:r>
              <w:rPr>
                <w:rFonts w:hint="default" w:ascii="Times New Roman" w:hAnsi="Times New Roman" w:cs="Times New Roman"/>
                <w:bCs/>
                <w:color w:val="auto"/>
                <w:kern w:val="0"/>
                <w:szCs w:val="21"/>
                <w:highlight w:val="none"/>
                <w:lang w:eastAsia="zh-CN"/>
              </w:rPr>
              <w:t>收集和处理措施后，不会对周围环境敏感目标产生较大影响</w:t>
            </w:r>
            <w:r>
              <w:rPr>
                <w:rFonts w:hint="default" w:ascii="Times New Roman" w:hAnsi="Times New Roman" w:cs="Times New Roman"/>
                <w:bCs/>
                <w:color w:val="auto"/>
                <w:kern w:val="0"/>
                <w:szCs w:val="21"/>
                <w:highlight w:val="none"/>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200"/>
              <w:textAlignment w:val="auto"/>
              <w:rPr>
                <w:rFonts w:hint="default" w:ascii="Times New Roman" w:hAnsi="Times New Roman" w:cs="Times New Roman"/>
                <w:b/>
                <w:bCs/>
                <w:color w:val="auto"/>
                <w:kern w:val="0"/>
                <w:sz w:val="21"/>
                <w:szCs w:val="21"/>
                <w:highlight w:val="none"/>
                <w:lang w:eastAsia="zh-CN"/>
              </w:rPr>
            </w:pPr>
            <w:r>
              <w:rPr>
                <w:rFonts w:hint="default" w:ascii="Times New Roman" w:hAnsi="Times New Roman" w:cs="Times New Roman"/>
                <w:bCs/>
                <w:color w:val="auto"/>
                <w:kern w:val="0"/>
                <w:szCs w:val="21"/>
                <w:highlight w:val="none"/>
              </w:rPr>
              <w:t>综上，本项目</w:t>
            </w:r>
            <w:r>
              <w:rPr>
                <w:rFonts w:hint="default" w:ascii="Times New Roman" w:hAnsi="Times New Roman" w:cs="Times New Roman"/>
                <w:bCs/>
                <w:color w:val="auto"/>
                <w:kern w:val="0"/>
                <w:szCs w:val="21"/>
                <w:highlight w:val="none"/>
                <w:lang w:eastAsia="zh-CN"/>
              </w:rPr>
              <w:t>建成</w:t>
            </w:r>
            <w:r>
              <w:rPr>
                <w:rFonts w:hint="default" w:ascii="Times New Roman" w:hAnsi="Times New Roman" w:cs="Times New Roman"/>
                <w:bCs/>
                <w:color w:val="auto"/>
                <w:kern w:val="0"/>
                <w:szCs w:val="21"/>
                <w:highlight w:val="none"/>
              </w:rPr>
              <w:t>后对周边环境的影响是可以接受的。</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bCs/>
                <w:color w:val="auto"/>
                <w:kern w:val="0"/>
                <w:sz w:val="21"/>
                <w:szCs w:val="21"/>
                <w:highlight w:val="none"/>
                <w:lang w:eastAsia="zh-CN"/>
              </w:rPr>
            </w:pPr>
            <w:r>
              <w:rPr>
                <w:rFonts w:hint="eastAsia" w:cs="Times New Roman"/>
                <w:b/>
                <w:bCs/>
                <w:color w:val="auto"/>
                <w:kern w:val="0"/>
                <w:sz w:val="21"/>
                <w:szCs w:val="21"/>
                <w:highlight w:val="none"/>
                <w:lang w:val="en-US" w:eastAsia="zh-CN"/>
              </w:rPr>
              <w:t>1.5</w:t>
            </w:r>
            <w:r>
              <w:rPr>
                <w:rFonts w:hint="default" w:ascii="Times New Roman" w:hAnsi="Times New Roman" w:cs="Times New Roman"/>
                <w:b/>
                <w:bCs/>
                <w:color w:val="auto"/>
                <w:kern w:val="0"/>
                <w:sz w:val="21"/>
                <w:szCs w:val="21"/>
                <w:highlight w:val="none"/>
                <w:lang w:eastAsia="zh-CN"/>
              </w:rPr>
              <w:t>污染物排放量核算</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大气污染物有组织排放量核算表</w:t>
            </w:r>
          </w:p>
          <w:tbl>
            <w:tblPr>
              <w:tblStyle w:val="21"/>
              <w:tblW w:w="499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08"/>
              <w:gridCol w:w="2155"/>
              <w:gridCol w:w="1322"/>
              <w:gridCol w:w="1322"/>
              <w:gridCol w:w="1323"/>
              <w:gridCol w:w="133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7"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序号</w:t>
                  </w:r>
                </w:p>
              </w:tc>
              <w:tc>
                <w:tcPr>
                  <w:tcW w:w="1336"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排放口编号</w:t>
                  </w:r>
                </w:p>
              </w:tc>
              <w:tc>
                <w:tcPr>
                  <w:tcW w:w="820"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污染物</w:t>
                  </w:r>
                </w:p>
              </w:tc>
              <w:tc>
                <w:tcPr>
                  <w:tcW w:w="820"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核算排放浓度/</w:t>
                  </w:r>
                </w:p>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（mg/</w:t>
                  </w:r>
                  <w:r>
                    <w:rPr>
                      <w:rFonts w:hint="default" w:ascii="Times New Roman" w:hAnsi="Times New Roman" w:cs="Times New Roman"/>
                      <w:color w:val="auto"/>
                      <w:sz w:val="18"/>
                      <w:szCs w:val="18"/>
                      <w:highlight w:val="none"/>
                      <w:lang w:val="en-US" w:eastAsia="zh-CN"/>
                    </w:rPr>
                    <w:t>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cs="Times New Roman"/>
                      <w:bCs/>
                      <w:color w:val="auto"/>
                      <w:sz w:val="18"/>
                      <w:szCs w:val="18"/>
                      <w:highlight w:val="none"/>
                    </w:rPr>
                    <w:t>）</w:t>
                  </w:r>
                </w:p>
              </w:tc>
              <w:tc>
                <w:tcPr>
                  <w:tcW w:w="820"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核算排放速率/</w:t>
                  </w:r>
                </w:p>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（kg/h）</w:t>
                  </w:r>
                </w:p>
              </w:tc>
              <w:tc>
                <w:tcPr>
                  <w:tcW w:w="824"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核算年排放量/</w:t>
                  </w:r>
                </w:p>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w:t>
                  </w:r>
                  <w:r>
                    <w:rPr>
                      <w:rFonts w:hint="eastAsia" w:cs="Times New Roman"/>
                      <w:bCs/>
                      <w:color w:val="auto"/>
                      <w:sz w:val="18"/>
                      <w:szCs w:val="18"/>
                      <w:highlight w:val="none"/>
                      <w:lang w:val="en-US" w:eastAsia="zh-CN"/>
                    </w:rPr>
                    <w:t>t</w:t>
                  </w:r>
                  <w:r>
                    <w:rPr>
                      <w:rFonts w:hint="default" w:ascii="Times New Roman" w:hAnsi="Times New Roman" w:cs="Times New Roman"/>
                      <w:bCs/>
                      <w:color w:val="auto"/>
                      <w:sz w:val="18"/>
                      <w:szCs w:val="18"/>
                      <w:highlight w:val="none"/>
                    </w:rPr>
                    <w: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6"/>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green"/>
                    </w:rPr>
                  </w:pPr>
                  <w:r>
                    <w:rPr>
                      <w:rFonts w:hint="default" w:ascii="Times New Roman" w:hAnsi="Times New Roman" w:cs="Times New Roman"/>
                      <w:bCs/>
                      <w:color w:val="auto"/>
                      <w:sz w:val="18"/>
                      <w:szCs w:val="18"/>
                      <w:highlight w:val="none"/>
                      <w:lang w:eastAsia="zh-CN"/>
                    </w:rPr>
                    <w:t>一般</w:t>
                  </w:r>
                  <w:r>
                    <w:rPr>
                      <w:rFonts w:hint="default" w:ascii="Times New Roman" w:hAnsi="Times New Roman" w:cs="Times New Roman"/>
                      <w:bCs/>
                      <w:color w:val="auto"/>
                      <w:sz w:val="18"/>
                      <w:szCs w:val="18"/>
                      <w:highlight w:val="none"/>
                    </w:rPr>
                    <w:t>排放口</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7"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1</w:t>
                  </w:r>
                </w:p>
              </w:tc>
              <w:tc>
                <w:tcPr>
                  <w:tcW w:w="1336" w:type="pct"/>
                  <w:noWrap w:val="0"/>
                  <w:vAlign w:val="center"/>
                </w:tcPr>
                <w:p>
                  <w:pPr>
                    <w:pStyle w:val="27"/>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DA00</w:t>
                  </w:r>
                  <w:r>
                    <w:rPr>
                      <w:rFonts w:hint="default" w:ascii="Times New Roman" w:hAnsi="Times New Roman" w:eastAsia="宋体" w:cs="Times New Roman"/>
                      <w:color w:val="auto"/>
                      <w:sz w:val="18"/>
                      <w:szCs w:val="18"/>
                      <w:highlight w:val="none"/>
                      <w:lang w:val="en-US" w:eastAsia="zh-CN"/>
                    </w:rPr>
                    <w:t>1</w:t>
                  </w:r>
                </w:p>
              </w:tc>
              <w:tc>
                <w:tcPr>
                  <w:tcW w:w="820"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eastAsia="宋体" w:cs="Times New Roman"/>
                      <w:bCs/>
                      <w:color w:val="auto"/>
                      <w:sz w:val="18"/>
                      <w:szCs w:val="18"/>
                      <w:highlight w:val="none"/>
                      <w:lang w:val="fr-FR" w:eastAsia="zh-CN"/>
                    </w:rPr>
                  </w:pPr>
                  <w:r>
                    <w:rPr>
                      <w:rFonts w:hint="default" w:ascii="Times New Roman" w:hAnsi="Times New Roman" w:cs="Times New Roman"/>
                      <w:bCs/>
                      <w:color w:val="auto"/>
                      <w:sz w:val="18"/>
                      <w:szCs w:val="18"/>
                      <w:highlight w:val="none"/>
                      <w:lang w:val="en-US" w:eastAsia="zh-CN"/>
                    </w:rPr>
                    <w:t>非甲烷总烃</w:t>
                  </w:r>
                </w:p>
              </w:tc>
              <w:tc>
                <w:tcPr>
                  <w:tcW w:w="1323" w:type="dxa"/>
                  <w:noWrap w:val="0"/>
                  <w:vAlign w:val="center"/>
                </w:tcPr>
                <w:p>
                  <w:pPr>
                    <w:keepNext w:val="0"/>
                    <w:keepLines w:val="0"/>
                    <w:pageBreakBefore w:val="0"/>
                    <w:widowControl w:val="0"/>
                    <w:tabs>
                      <w:tab w:val="center" w:pos="1440"/>
                    </w:tabs>
                    <w:kinsoku w:val="0"/>
                    <w:wordWrap w:val="0"/>
                    <w:overflowPunct w:val="0"/>
                    <w:topLinePunct/>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kern w:val="0"/>
                      <w:sz w:val="18"/>
                      <w:szCs w:val="18"/>
                      <w:highlight w:val="none"/>
                      <w:lang w:val="en-US" w:eastAsia="zh-CN" w:bidi="ar-SA"/>
                    </w:rPr>
                  </w:pPr>
                  <w:r>
                    <w:rPr>
                      <w:rFonts w:hint="eastAsia" w:cs="Times New Roman"/>
                      <w:color w:val="auto"/>
                      <w:kern w:val="2"/>
                      <w:sz w:val="18"/>
                      <w:szCs w:val="18"/>
                      <w:highlight w:val="none"/>
                      <w:lang w:val="en-US" w:eastAsia="zh-CN" w:bidi="ar-SA"/>
                    </w:rPr>
                    <w:t>15.6</w:t>
                  </w:r>
                </w:p>
              </w:tc>
              <w:tc>
                <w:tcPr>
                  <w:tcW w:w="1322" w:type="dxa"/>
                  <w:noWrap w:val="0"/>
                  <w:vAlign w:val="center"/>
                </w:tcPr>
                <w:p>
                  <w:pPr>
                    <w:keepNext w:val="0"/>
                    <w:keepLines w:val="0"/>
                    <w:pageBreakBefore w:val="0"/>
                    <w:widowControl/>
                    <w:suppressLineNumbers w:val="0"/>
                    <w:autoSpaceDE/>
                    <w:autoSpaceDN/>
                    <w:bidi w:val="0"/>
                    <w:adjustRightInd/>
                    <w:snapToGrid/>
                    <w:spacing w:line="320" w:lineRule="exact"/>
                    <w:ind w:firstLine="0" w:firstLineChars="0"/>
                    <w:jc w:val="center"/>
                    <w:textAlignment w:val="center"/>
                    <w:rPr>
                      <w:rFonts w:hint="default" w:ascii="Times New Roman" w:hAnsi="Times New Roman" w:cs="Times New Roman"/>
                      <w:b w:val="0"/>
                      <w:bCs w:val="0"/>
                      <w:color w:val="auto"/>
                      <w:sz w:val="18"/>
                      <w:szCs w:val="18"/>
                      <w:highlight w:val="none"/>
                      <w:lang w:val="en-US" w:eastAsia="zh-CN" w:bidi="ar-SA"/>
                    </w:rPr>
                  </w:pPr>
                  <w:r>
                    <w:rPr>
                      <w:rFonts w:hint="eastAsia" w:cs="Times New Roman"/>
                      <w:color w:val="auto"/>
                      <w:sz w:val="18"/>
                      <w:szCs w:val="18"/>
                      <w:highlight w:val="none"/>
                      <w:lang w:val="en-US" w:eastAsia="zh-CN" w:bidi="ar-SA"/>
                    </w:rPr>
                    <w:t>0.031</w:t>
                  </w:r>
                </w:p>
              </w:tc>
              <w:tc>
                <w:tcPr>
                  <w:tcW w:w="1329" w:type="dxa"/>
                  <w:noWrap w:val="0"/>
                  <w:vAlign w:val="center"/>
                </w:tcPr>
                <w:p>
                  <w:pPr>
                    <w:keepNext w:val="0"/>
                    <w:keepLines w:val="0"/>
                    <w:pageBreakBefore w:val="0"/>
                    <w:widowControl/>
                    <w:suppressLineNumbers w:val="0"/>
                    <w:autoSpaceDE/>
                    <w:autoSpaceDN/>
                    <w:bidi w:val="0"/>
                    <w:adjustRightInd/>
                    <w:snapToGrid/>
                    <w:spacing w:line="320" w:lineRule="exact"/>
                    <w:ind w:firstLine="0" w:firstLineChars="0"/>
                    <w:jc w:val="center"/>
                    <w:textAlignment w:val="center"/>
                    <w:rPr>
                      <w:rFonts w:hint="default" w:ascii="Times New Roman" w:hAnsi="Times New Roman" w:cs="Times New Roman"/>
                      <w:b w:val="0"/>
                      <w:bCs w:val="0"/>
                      <w:color w:val="auto"/>
                      <w:sz w:val="18"/>
                      <w:szCs w:val="18"/>
                      <w:highlight w:val="none"/>
                      <w:lang w:val="en-US" w:eastAsia="zh-CN" w:bidi="ar-SA"/>
                    </w:rPr>
                  </w:pPr>
                  <w:r>
                    <w:rPr>
                      <w:rFonts w:hint="eastAsia" w:cs="Times New Roman"/>
                      <w:color w:val="auto"/>
                      <w:sz w:val="18"/>
                      <w:szCs w:val="18"/>
                      <w:highlight w:val="none"/>
                      <w:lang w:val="en-US" w:eastAsia="zh-CN" w:bidi="ar-SA"/>
                    </w:rPr>
                    <w:t>0.075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14" w:type="pct"/>
                  <w:gridSpan w:val="2"/>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lang w:eastAsia="zh-CN"/>
                    </w:rPr>
                    <w:t>一般</w:t>
                  </w:r>
                  <w:r>
                    <w:rPr>
                      <w:rFonts w:hint="default" w:ascii="Times New Roman" w:hAnsi="Times New Roman" w:cs="Times New Roman"/>
                      <w:bCs/>
                      <w:color w:val="auto"/>
                      <w:sz w:val="18"/>
                      <w:szCs w:val="18"/>
                      <w:highlight w:val="none"/>
                    </w:rPr>
                    <w:t>排放口合计</w:t>
                  </w:r>
                </w:p>
              </w:tc>
              <w:tc>
                <w:tcPr>
                  <w:tcW w:w="2461" w:type="pct"/>
                  <w:gridSpan w:val="3"/>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bCs/>
                      <w:color w:val="auto"/>
                      <w:sz w:val="18"/>
                      <w:szCs w:val="18"/>
                      <w:highlight w:val="none"/>
                      <w:lang w:val="en-US" w:eastAsia="zh-CN"/>
                    </w:rPr>
                    <w:t>非甲烷总烃</w:t>
                  </w:r>
                </w:p>
              </w:tc>
              <w:tc>
                <w:tcPr>
                  <w:tcW w:w="824" w:type="pct"/>
                  <w:noWrap w:val="0"/>
                  <w:vAlign w:val="center"/>
                </w:tcPr>
                <w:p>
                  <w:pPr>
                    <w:keepNext w:val="0"/>
                    <w:keepLines w:val="0"/>
                    <w:pageBreakBefore w:val="0"/>
                    <w:widowControl/>
                    <w:suppressLineNumbers w:val="0"/>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eastAsia" w:cs="Times New Roman"/>
                      <w:color w:val="auto"/>
                      <w:sz w:val="18"/>
                      <w:szCs w:val="18"/>
                      <w:highlight w:val="none"/>
                      <w:lang w:val="en-US" w:eastAsia="zh-CN" w:bidi="ar-SA"/>
                    </w:rPr>
                    <w:t>0.075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6"/>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有组织排放总计</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14" w:type="pct"/>
                  <w:gridSpan w:val="2"/>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有组织排放总计</w:t>
                  </w:r>
                </w:p>
              </w:tc>
              <w:tc>
                <w:tcPr>
                  <w:tcW w:w="2461" w:type="pct"/>
                  <w:gridSpan w:val="3"/>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rPr>
                    <w:t>非甲烷总烃</w:t>
                  </w:r>
                </w:p>
              </w:tc>
              <w:tc>
                <w:tcPr>
                  <w:tcW w:w="824" w:type="pct"/>
                  <w:noWrap w:val="0"/>
                  <w:vAlign w:val="center"/>
                </w:tcPr>
                <w:p>
                  <w:pPr>
                    <w:keepNext w:val="0"/>
                    <w:keepLines w:val="0"/>
                    <w:pageBreakBefore w:val="0"/>
                    <w:widowControl/>
                    <w:suppressLineNumbers w:val="0"/>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eastAsia" w:cs="Times New Roman"/>
                      <w:color w:val="auto"/>
                      <w:sz w:val="18"/>
                      <w:szCs w:val="18"/>
                      <w:highlight w:val="none"/>
                      <w:lang w:val="en-US" w:eastAsia="zh-CN" w:bidi="ar-SA"/>
                    </w:rPr>
                    <w:t>0.075</w:t>
                  </w:r>
                </w:p>
              </w:tc>
            </w:tr>
          </w:tbl>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大气污染物年排放量核算表</w:t>
            </w:r>
          </w:p>
          <w:tbl>
            <w:tblPr>
              <w:tblStyle w:val="21"/>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3457"/>
              <w:gridCol w:w="391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序号</w:t>
                  </w:r>
                </w:p>
              </w:tc>
              <w:tc>
                <w:tcPr>
                  <w:tcW w:w="21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废气污染物</w:t>
                  </w:r>
                </w:p>
              </w:tc>
              <w:tc>
                <w:tcPr>
                  <w:tcW w:w="2425" w:type="pct"/>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年排放量（</w:t>
                  </w:r>
                  <w:r>
                    <w:rPr>
                      <w:rFonts w:hint="default" w:ascii="Times New Roman" w:hAnsi="Times New Roman" w:cs="Times New Roman"/>
                      <w:color w:val="auto"/>
                      <w:kern w:val="0"/>
                      <w:sz w:val="18"/>
                      <w:szCs w:val="18"/>
                      <w:highlight w:val="none"/>
                      <w:lang w:val="en-US" w:eastAsia="zh-CN"/>
                    </w:rPr>
                    <w:t>kg</w:t>
                  </w:r>
                  <w:r>
                    <w:rPr>
                      <w:rFonts w:hint="default" w:ascii="Times New Roman" w:hAnsi="Times New Roman" w:cs="Times New Roman"/>
                      <w:color w:val="auto"/>
                      <w:kern w:val="0"/>
                      <w:sz w:val="18"/>
                      <w:szCs w:val="18"/>
                      <w:highlight w:val="none"/>
                    </w:rPr>
                    <w: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Cs/>
                      <w:color w:val="auto"/>
                      <w:sz w:val="18"/>
                      <w:szCs w:val="18"/>
                      <w:highlight w:val="none"/>
                      <w:lang w:val="en-US" w:eastAsia="zh-CN"/>
                    </w:rPr>
                  </w:pPr>
                  <w:r>
                    <w:rPr>
                      <w:rFonts w:hint="eastAsia" w:cs="Times New Roman"/>
                      <w:bCs/>
                      <w:color w:val="auto"/>
                      <w:sz w:val="18"/>
                      <w:szCs w:val="18"/>
                      <w:highlight w:val="none"/>
                      <w:lang w:val="en-US" w:eastAsia="zh-CN"/>
                    </w:rPr>
                    <w:t>1</w:t>
                  </w:r>
                </w:p>
              </w:tc>
              <w:tc>
                <w:tcPr>
                  <w:tcW w:w="21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 w:val="0"/>
                      <w:bCs/>
                      <w:color w:val="auto"/>
                      <w:sz w:val="18"/>
                      <w:szCs w:val="18"/>
                      <w:highlight w:val="none"/>
                      <w:u w:val="none"/>
                      <w:lang w:val="en-US" w:eastAsia="zh-CN"/>
                    </w:rPr>
                  </w:pPr>
                  <w:r>
                    <w:rPr>
                      <w:rFonts w:hint="default" w:ascii="Times New Roman" w:hAnsi="Times New Roman" w:cs="Times New Roman"/>
                      <w:b w:val="0"/>
                      <w:bCs/>
                      <w:color w:val="auto"/>
                      <w:sz w:val="18"/>
                      <w:szCs w:val="18"/>
                      <w:highlight w:val="none"/>
                      <w:u w:val="none"/>
                      <w:lang w:val="en-US" w:eastAsia="zh-CN"/>
                    </w:rPr>
                    <w:t>非甲烷总烃</w:t>
                  </w:r>
                </w:p>
              </w:tc>
              <w:tc>
                <w:tcPr>
                  <w:tcW w:w="2425" w:type="pct"/>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i w:val="0"/>
                      <w:iCs w:val="0"/>
                      <w:color w:val="auto"/>
                      <w:kern w:val="0"/>
                      <w:sz w:val="18"/>
                      <w:szCs w:val="18"/>
                      <w:highlight w:val="none"/>
                      <w:u w:val="none"/>
                      <w:lang w:val="en-US" w:eastAsia="zh-CN" w:bidi="ar"/>
                    </w:rPr>
                  </w:pPr>
                  <w:r>
                    <w:rPr>
                      <w:rFonts w:hint="eastAsia" w:cs="Times New Roman"/>
                      <w:color w:val="auto"/>
                      <w:sz w:val="18"/>
                      <w:szCs w:val="18"/>
                      <w:highlight w:val="none"/>
                      <w:lang w:val="en-US" w:eastAsia="zh-CN" w:bidi="ar-SA"/>
                    </w:rPr>
                    <w:t>0.075</w:t>
                  </w:r>
                </w:p>
              </w:tc>
            </w:tr>
          </w:tbl>
          <w:p>
            <w:pPr>
              <w:autoSpaceDE w:val="0"/>
              <w:autoSpaceDN w:val="0"/>
              <w:adjustRightInd w:val="0"/>
              <w:snapToGrid w:val="0"/>
              <w:spacing w:line="360" w:lineRule="auto"/>
              <w:ind w:left="0" w:leftChars="0" w:firstLine="0" w:firstLineChars="0"/>
              <w:rPr>
                <w:rFonts w:hint="default" w:ascii="Times New Roman" w:hAnsi="Times New Roman" w:cs="Times New Roman"/>
                <w:b/>
                <w:bCs/>
                <w:color w:val="auto"/>
                <w:kern w:val="0"/>
                <w:szCs w:val="21"/>
                <w:highlight w:val="none"/>
              </w:rPr>
            </w:pPr>
            <w:r>
              <w:rPr>
                <w:rFonts w:hint="eastAsia" w:cs="Times New Roman"/>
                <w:b/>
                <w:bCs/>
                <w:color w:val="auto"/>
                <w:kern w:val="0"/>
                <w:szCs w:val="21"/>
                <w:highlight w:val="none"/>
                <w:lang w:val="en-US" w:eastAsia="zh-CN"/>
              </w:rPr>
              <w:t>1.6</w:t>
            </w:r>
            <w:r>
              <w:rPr>
                <w:rFonts w:hint="default" w:ascii="Times New Roman" w:hAnsi="Times New Roman" w:cs="Times New Roman"/>
                <w:b/>
                <w:bCs/>
                <w:color w:val="auto"/>
                <w:kern w:val="0"/>
                <w:szCs w:val="21"/>
                <w:highlight w:val="none"/>
              </w:rPr>
              <w:t>非正常工况下污染物排放量</w:t>
            </w:r>
          </w:p>
          <w:p>
            <w:pPr>
              <w:autoSpaceDE w:val="0"/>
              <w:autoSpaceDN w:val="0"/>
              <w:adjustRightInd w:val="0"/>
              <w:snapToGrid w:val="0"/>
              <w:spacing w:line="360" w:lineRule="auto"/>
              <w:ind w:firstLine="420" w:firstLineChars="200"/>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非正常排放是指非正常工况下的污染物排放，一般包括开停车、设备故障和检修、环保设施故障等情况的排污，不包括恶性事故排放。项目各项设备运行稳定并定期检修，仅考虑环保设施故障情景。项目大气非正常工况考虑以下情况：</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UV光催化氧化+活性炭吸附</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装置故障</w:t>
            </w:r>
            <w:r>
              <w:rPr>
                <w:rFonts w:hint="default" w:ascii="Times New Roman" w:hAnsi="Times New Roman" w:cs="Times New Roman"/>
                <w:bCs/>
                <w:color w:val="auto"/>
                <w:kern w:val="0"/>
                <w:szCs w:val="21"/>
                <w:highlight w:val="none"/>
              </w:rPr>
              <w:t>导致</w:t>
            </w:r>
            <w:r>
              <w:rPr>
                <w:rFonts w:hint="default" w:ascii="Times New Roman" w:hAnsi="Times New Roman" w:cs="Times New Roman"/>
                <w:bCs/>
                <w:color w:val="auto"/>
                <w:kern w:val="0"/>
                <w:szCs w:val="21"/>
                <w:highlight w:val="none"/>
                <w:lang w:eastAsia="zh-CN"/>
              </w:rPr>
              <w:t>对非甲烷总烃的</w:t>
            </w:r>
            <w:r>
              <w:rPr>
                <w:rFonts w:hint="default" w:ascii="Times New Roman" w:hAnsi="Times New Roman" w:cs="Times New Roman"/>
                <w:bCs/>
                <w:color w:val="auto"/>
                <w:kern w:val="0"/>
                <w:szCs w:val="21"/>
                <w:highlight w:val="none"/>
                <w:lang w:val="en-US" w:eastAsia="zh-CN"/>
              </w:rPr>
              <w:t>去除</w:t>
            </w:r>
            <w:r>
              <w:rPr>
                <w:rFonts w:hint="default" w:ascii="Times New Roman" w:hAnsi="Times New Roman" w:cs="Times New Roman"/>
                <w:bCs/>
                <w:color w:val="auto"/>
                <w:kern w:val="0"/>
                <w:szCs w:val="21"/>
                <w:highlight w:val="none"/>
              </w:rPr>
              <w:t>效率为零。</w:t>
            </w:r>
          </w:p>
          <w:p>
            <w:pPr>
              <w:autoSpaceDE w:val="0"/>
              <w:autoSpaceDN w:val="0"/>
              <w:adjustRightInd w:val="0"/>
              <w:snapToGrid w:val="0"/>
              <w:spacing w:line="360" w:lineRule="auto"/>
              <w:ind w:firstLine="420" w:firstLineChars="200"/>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项目非正常工况大气污染物排放情况见下表。</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非正常工况下大气污染物排放情况汇总</w:t>
            </w:r>
          </w:p>
          <w:tbl>
            <w:tblPr>
              <w:tblStyle w:val="21"/>
              <w:tblW w:w="5000"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36"/>
              <w:gridCol w:w="1466"/>
              <w:gridCol w:w="1036"/>
              <w:gridCol w:w="1095"/>
              <w:gridCol w:w="857"/>
              <w:gridCol w:w="1839"/>
              <w:gridCol w:w="1037"/>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56"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非正常</w:t>
                  </w:r>
                </w:p>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工况</w:t>
                  </w:r>
                </w:p>
              </w:tc>
              <w:tc>
                <w:tcPr>
                  <w:tcW w:w="908"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名称</w:t>
                  </w:r>
                </w:p>
              </w:tc>
              <w:tc>
                <w:tcPr>
                  <w:tcW w:w="642"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类型</w:t>
                  </w:r>
                </w:p>
              </w:tc>
              <w:tc>
                <w:tcPr>
                  <w:tcW w:w="678"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w:t>
                  </w:r>
                </w:p>
              </w:tc>
              <w:tc>
                <w:tcPr>
                  <w:tcW w:w="531"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废气量</w:t>
                  </w:r>
                </w:p>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/h）</w:t>
                  </w:r>
                </w:p>
              </w:tc>
              <w:tc>
                <w:tcPr>
                  <w:tcW w:w="1139"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排放情况</w:t>
                  </w:r>
                </w:p>
              </w:tc>
              <w:tc>
                <w:tcPr>
                  <w:tcW w:w="642"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排气筒参数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456"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工况</w:t>
                  </w:r>
                  <w:r>
                    <w:rPr>
                      <w:rFonts w:hint="eastAsia" w:cs="Times New Roman"/>
                      <w:color w:val="auto"/>
                      <w:sz w:val="18"/>
                      <w:szCs w:val="18"/>
                      <w:highlight w:val="none"/>
                      <w:lang w:val="en-US" w:eastAsia="zh-CN"/>
                    </w:rPr>
                    <w:t>1</w:t>
                  </w:r>
                </w:p>
              </w:tc>
              <w:tc>
                <w:tcPr>
                  <w:tcW w:w="90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eastAsia="zh-CN"/>
                    </w:rPr>
                    <w:t>UV光催化氧化+活性炭吸附（</w:t>
                  </w:r>
                  <w:r>
                    <w:rPr>
                      <w:rFonts w:hint="default" w:ascii="Times New Roman" w:hAnsi="Times New Roman" w:cs="Times New Roman"/>
                      <w:color w:val="auto"/>
                      <w:sz w:val="18"/>
                      <w:szCs w:val="18"/>
                      <w:highlight w:val="none"/>
                      <w:lang w:val="en-US" w:eastAsia="zh-CN"/>
                    </w:rPr>
                    <w:t>TA00</w:t>
                  </w:r>
                  <w:r>
                    <w:rPr>
                      <w:rFonts w:hint="eastAsia" w:cs="Times New Roman"/>
                      <w:color w:val="auto"/>
                      <w:sz w:val="18"/>
                      <w:szCs w:val="18"/>
                      <w:highlight w:val="none"/>
                      <w:lang w:val="en-US" w:eastAsia="zh-CN"/>
                    </w:rPr>
                    <w:t>1</w:t>
                  </w:r>
                  <w:r>
                    <w:rPr>
                      <w:rFonts w:hint="default" w:ascii="Times New Roman" w:hAnsi="Times New Roman" w:cs="Times New Roman"/>
                      <w:color w:val="auto"/>
                      <w:sz w:val="18"/>
                      <w:szCs w:val="18"/>
                      <w:highlight w:val="none"/>
                      <w:lang w:eastAsia="zh-CN"/>
                    </w:rPr>
                    <w:t>）</w:t>
                  </w:r>
                </w:p>
              </w:tc>
              <w:tc>
                <w:tcPr>
                  <w:tcW w:w="642" w:type="pct"/>
                  <w:tcBorders>
                    <w:top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rPr>
                    <w:t>处理效率降为零</w:t>
                  </w:r>
                </w:p>
              </w:tc>
              <w:tc>
                <w:tcPr>
                  <w:tcW w:w="678" w:type="pct"/>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非甲烷总烃</w:t>
                  </w:r>
                </w:p>
              </w:tc>
              <w:tc>
                <w:tcPr>
                  <w:tcW w:w="53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2000</w:t>
                  </w:r>
                </w:p>
              </w:tc>
              <w:tc>
                <w:tcPr>
                  <w:tcW w:w="1139" w:type="pct"/>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排放浓度：</w:t>
                  </w:r>
                  <w:r>
                    <w:rPr>
                      <w:rFonts w:hint="eastAsia" w:cs="Times New Roman"/>
                      <w:color w:val="auto"/>
                      <w:sz w:val="18"/>
                      <w:szCs w:val="18"/>
                      <w:highlight w:val="none"/>
                      <w:lang w:val="en-US" w:eastAsia="zh-CN"/>
                    </w:rPr>
                    <w:t>52</w:t>
                  </w:r>
                  <w:r>
                    <w:rPr>
                      <w:rFonts w:hint="default" w:ascii="Times New Roman" w:hAnsi="Times New Roman" w:cs="Times New Roman"/>
                      <w:color w:val="auto"/>
                      <w:sz w:val="18"/>
                      <w:szCs w:val="18"/>
                      <w:highlight w:val="none"/>
                    </w:rPr>
                    <w:t>mg/m</w:t>
                  </w:r>
                  <w:r>
                    <w:rPr>
                      <w:rFonts w:hint="default" w:ascii="Times New Roman" w:hAnsi="Times New Roman" w:cs="Times New Roman"/>
                      <w:color w:val="auto"/>
                      <w:sz w:val="18"/>
                      <w:szCs w:val="18"/>
                      <w:highlight w:val="none"/>
                      <w:vertAlign w:val="superscript"/>
                    </w:rPr>
                    <w:t>3</w:t>
                  </w:r>
                </w:p>
                <w:p>
                  <w:pPr>
                    <w:keepNext w:val="0"/>
                    <w:keepLines w:val="0"/>
                    <w:pageBreakBefore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排放速率：</w:t>
                  </w:r>
                  <w:r>
                    <w:rPr>
                      <w:rFonts w:hint="eastAsia" w:cs="Times New Roman"/>
                      <w:color w:val="auto"/>
                      <w:sz w:val="18"/>
                      <w:szCs w:val="18"/>
                      <w:highlight w:val="none"/>
                      <w:lang w:val="en-US" w:eastAsia="zh-CN"/>
                    </w:rPr>
                    <w:t>0.104</w:t>
                  </w:r>
                  <w:r>
                    <w:rPr>
                      <w:rFonts w:hint="default" w:ascii="Times New Roman" w:hAnsi="Times New Roman" w:cs="Times New Roman"/>
                      <w:color w:val="auto"/>
                      <w:sz w:val="18"/>
                      <w:szCs w:val="18"/>
                      <w:highlight w:val="none"/>
                      <w:lang w:val="en-US" w:eastAsia="zh-CN"/>
                    </w:rPr>
                    <w:t>kg/h</w:t>
                  </w:r>
                </w:p>
              </w:tc>
              <w:tc>
                <w:tcPr>
                  <w:tcW w:w="642"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高：15m</w:t>
                  </w:r>
                </w:p>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内径：</w:t>
                  </w:r>
                  <w:r>
                    <w:rPr>
                      <w:rFonts w:hint="default" w:ascii="Times New Roman" w:hAnsi="Times New Roman" w:cs="Times New Roman"/>
                      <w:color w:val="auto"/>
                      <w:sz w:val="18"/>
                      <w:szCs w:val="18"/>
                      <w:highlight w:val="none"/>
                      <w:lang w:val="en-US" w:eastAsia="zh-CN"/>
                    </w:rPr>
                    <w:t>0.</w:t>
                  </w:r>
                  <w:r>
                    <w:rPr>
                      <w:rFonts w:hint="eastAsia" w:cs="Times New Roman"/>
                      <w:color w:val="auto"/>
                      <w:sz w:val="18"/>
                      <w:szCs w:val="18"/>
                      <w:highlight w:val="none"/>
                      <w:lang w:val="en-US" w:eastAsia="zh-CN"/>
                    </w:rPr>
                    <w:t>2</w:t>
                  </w:r>
                  <w:r>
                    <w:rPr>
                      <w:rFonts w:hint="default" w:ascii="Times New Roman" w:hAnsi="Times New Roman" w:cs="Times New Roman"/>
                      <w:color w:val="auto"/>
                      <w:sz w:val="18"/>
                      <w:szCs w:val="18"/>
                      <w:highlight w:val="none"/>
                    </w:rPr>
                    <w:t>m</w:t>
                  </w:r>
                </w:p>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温度：</w:t>
                  </w:r>
                  <w:r>
                    <w:rPr>
                      <w:rFonts w:hint="default" w:ascii="Times New Roman" w:hAnsi="Times New Roman" w:cs="Times New Roman"/>
                      <w:color w:val="auto"/>
                      <w:sz w:val="18"/>
                      <w:szCs w:val="18"/>
                      <w:highlight w:val="none"/>
                      <w:lang w:val="en-US" w:eastAsia="zh-CN"/>
                    </w:rPr>
                    <w:t>25</w:t>
                  </w:r>
                  <w:r>
                    <w:rPr>
                      <w:rFonts w:hint="default" w:ascii="Times New Roman" w:hAnsi="Times New Roman" w:cs="Times New Roman"/>
                      <w:color w:val="auto"/>
                      <w:sz w:val="18"/>
                      <w:szCs w:val="18"/>
                      <w:highlight w:val="none"/>
                    </w:rPr>
                    <w:t>℃</w:t>
                  </w:r>
                </w:p>
              </w:tc>
            </w:tr>
          </w:tbl>
          <w:p>
            <w:pPr>
              <w:autoSpaceDE w:val="0"/>
              <w:autoSpaceDN w:val="0"/>
              <w:adjustRightInd w:val="0"/>
              <w:snapToGrid w:val="0"/>
              <w:spacing w:line="360" w:lineRule="auto"/>
              <w:ind w:firstLine="420" w:firstLineChars="200"/>
              <w:rPr>
                <w:rFonts w:hint="default" w:ascii="Times New Roman" w:hAnsi="Times New Roman" w:eastAsia="宋体" w:cs="Times New Roman"/>
                <w:b/>
                <w:bCs/>
                <w:color w:val="auto"/>
                <w:kern w:val="0"/>
                <w:sz w:val="21"/>
                <w:szCs w:val="21"/>
                <w:highlight w:val="none"/>
              </w:rPr>
            </w:pPr>
            <w:r>
              <w:rPr>
                <w:rFonts w:hint="default" w:ascii="Times New Roman" w:hAnsi="Times New Roman" w:cs="Times New Roman"/>
                <w:bCs/>
                <w:color w:val="auto"/>
                <w:kern w:val="0"/>
                <w:szCs w:val="21"/>
                <w:highlight w:val="none"/>
              </w:rPr>
              <w:t>为减少非正常工况下污染物排放对环境的影响，应立即启动大气环境应急预案，停产检修。企业应采取定期维护环保措施等措施，减少非正常工况的产生。</w:t>
            </w:r>
          </w:p>
          <w:p>
            <w:pPr>
              <w:autoSpaceDE w:val="0"/>
              <w:autoSpaceDN w:val="0"/>
              <w:adjustRightInd w:val="0"/>
              <w:snapToGrid w:val="0"/>
              <w:spacing w:line="360" w:lineRule="auto"/>
              <w:ind w:left="0" w:leftChars="0" w:firstLine="0" w:firstLineChars="0"/>
              <w:rPr>
                <w:rFonts w:hint="default" w:ascii="Times New Roman" w:hAnsi="Times New Roman" w:cs="Times New Roman"/>
                <w:b/>
                <w:bCs/>
                <w:color w:val="auto"/>
                <w:kern w:val="0"/>
                <w:szCs w:val="21"/>
                <w:highlight w:val="none"/>
              </w:rPr>
            </w:pPr>
            <w:r>
              <w:rPr>
                <w:rFonts w:hint="eastAsia" w:cs="Times New Roman"/>
                <w:b/>
                <w:bCs/>
                <w:color w:val="auto"/>
                <w:kern w:val="0"/>
                <w:szCs w:val="21"/>
                <w:highlight w:val="none"/>
                <w:lang w:val="en-US" w:eastAsia="zh-CN"/>
              </w:rPr>
              <w:t>1.7</w:t>
            </w:r>
            <w:r>
              <w:rPr>
                <w:rFonts w:hint="default" w:ascii="Times New Roman" w:hAnsi="Times New Roman" w:cs="Times New Roman"/>
                <w:b/>
                <w:bCs/>
                <w:color w:val="auto"/>
                <w:kern w:val="0"/>
                <w:szCs w:val="21"/>
                <w:highlight w:val="none"/>
              </w:rPr>
              <w:t>废气排放基本情况</w:t>
            </w:r>
          </w:p>
          <w:p>
            <w:pPr>
              <w:autoSpaceDE w:val="0"/>
              <w:autoSpaceDN w:val="0"/>
              <w:adjustRightInd w:val="0"/>
              <w:snapToGrid w:val="0"/>
              <w:spacing w:line="360" w:lineRule="auto"/>
              <w:ind w:firstLine="422" w:firstLineChars="200"/>
              <w:rPr>
                <w:rFonts w:hint="default" w:ascii="Times New Roman" w:hAnsi="Times New Roman" w:cs="Times New Roman"/>
                <w:b/>
                <w:bCs w:val="0"/>
                <w:color w:val="auto"/>
                <w:kern w:val="0"/>
                <w:szCs w:val="21"/>
                <w:highlight w:val="none"/>
              </w:rPr>
            </w:pPr>
            <w:r>
              <w:rPr>
                <w:rFonts w:hint="eastAsia" w:cs="Times New Roman"/>
                <w:b/>
                <w:bCs w:val="0"/>
                <w:color w:val="auto"/>
                <w:kern w:val="0"/>
                <w:szCs w:val="21"/>
                <w:highlight w:val="none"/>
                <w:lang w:eastAsia="zh-CN"/>
              </w:rPr>
              <w:t>（</w:t>
            </w:r>
            <w:r>
              <w:rPr>
                <w:rFonts w:hint="eastAsia" w:cs="Times New Roman"/>
                <w:b/>
                <w:bCs w:val="0"/>
                <w:color w:val="auto"/>
                <w:kern w:val="0"/>
                <w:szCs w:val="21"/>
                <w:highlight w:val="none"/>
                <w:lang w:val="en-US" w:eastAsia="zh-CN"/>
              </w:rPr>
              <w:t>1</w:t>
            </w:r>
            <w:r>
              <w:rPr>
                <w:rFonts w:hint="eastAsia" w:cs="Times New Roman"/>
                <w:b/>
                <w:bCs w:val="0"/>
                <w:color w:val="auto"/>
                <w:kern w:val="0"/>
                <w:szCs w:val="21"/>
                <w:highlight w:val="none"/>
                <w:lang w:eastAsia="zh-CN"/>
              </w:rPr>
              <w:t>）</w:t>
            </w:r>
            <w:r>
              <w:rPr>
                <w:rFonts w:hint="default" w:ascii="Times New Roman" w:hAnsi="Times New Roman" w:cs="Times New Roman"/>
                <w:b/>
                <w:bCs w:val="0"/>
                <w:color w:val="auto"/>
                <w:kern w:val="0"/>
                <w:szCs w:val="21"/>
                <w:highlight w:val="none"/>
              </w:rPr>
              <w:t>有组织废气</w:t>
            </w:r>
          </w:p>
          <w:p>
            <w:pPr>
              <w:autoSpaceDE w:val="0"/>
              <w:autoSpaceDN w:val="0"/>
              <w:adjustRightInd w:val="0"/>
              <w:snapToGrid w:val="0"/>
              <w:spacing w:line="360" w:lineRule="auto"/>
              <w:ind w:firstLine="420" w:firstLineChars="200"/>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本项目有组织废气排放情况见</w:t>
            </w:r>
            <w:r>
              <w:rPr>
                <w:rFonts w:hint="default" w:ascii="Times New Roman" w:hAnsi="Times New Roman" w:cs="Times New Roman"/>
                <w:bCs/>
                <w:color w:val="auto"/>
                <w:kern w:val="0"/>
                <w:szCs w:val="21"/>
                <w:highlight w:val="none"/>
                <w:lang w:eastAsia="zh-CN"/>
              </w:rPr>
              <w:t>下表</w:t>
            </w:r>
            <w:r>
              <w:rPr>
                <w:rFonts w:hint="default" w:ascii="Times New Roman" w:hAnsi="Times New Roman" w:cs="Times New Roman"/>
                <w:bCs/>
                <w:color w:val="auto"/>
                <w:kern w:val="0"/>
                <w:szCs w:val="21"/>
                <w:highlight w:val="none"/>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本项目有组织废气排放情况一览表</w:t>
            </w:r>
          </w:p>
          <w:tbl>
            <w:tblPr>
              <w:tblStyle w:val="22"/>
              <w:tblW w:w="498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1048"/>
              <w:gridCol w:w="1119"/>
              <w:gridCol w:w="1439"/>
              <w:gridCol w:w="1320"/>
              <w:gridCol w:w="776"/>
              <w:gridCol w:w="815"/>
              <w:gridCol w:w="7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Merge w:val="restar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排放口编号</w:t>
                  </w:r>
                </w:p>
              </w:tc>
              <w:tc>
                <w:tcPr>
                  <w:tcW w:w="651" w:type="pct"/>
                  <w:vMerge w:val="restar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排放口名称</w:t>
                  </w:r>
                </w:p>
              </w:tc>
              <w:tc>
                <w:tcPr>
                  <w:tcW w:w="695" w:type="pct"/>
                  <w:vMerge w:val="restar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污染物种类</w:t>
                  </w:r>
                </w:p>
              </w:tc>
              <w:tc>
                <w:tcPr>
                  <w:tcW w:w="1714" w:type="pct"/>
                  <w:gridSpan w:val="2"/>
                  <w:tcBorders>
                    <w:bottom w:val="single" w:color="000000" w:sz="4" w:space="0"/>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排放口地理坐标</w:t>
                  </w:r>
                </w:p>
              </w:tc>
              <w:tc>
                <w:tcPr>
                  <w:tcW w:w="482" w:type="pct"/>
                  <w:vMerge w:val="restar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排气筒高度（m）</w:t>
                  </w:r>
                </w:p>
              </w:tc>
              <w:tc>
                <w:tcPr>
                  <w:tcW w:w="506" w:type="pct"/>
                  <w:vMerge w:val="restar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排气筒出口内径（m）</w:t>
                  </w:r>
                </w:p>
              </w:tc>
              <w:tc>
                <w:tcPr>
                  <w:tcW w:w="441" w:type="pct"/>
                  <w:vMerge w:val="restar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排气温度</w:t>
                  </w:r>
                  <w:r>
                    <w:rPr>
                      <w:rFonts w:hint="default" w:ascii="Times New Roman" w:hAnsi="Times New Roman" w:cs="Times New Roman"/>
                      <w:color w:val="auto"/>
                      <w:kern w:val="0"/>
                      <w:sz w:val="18"/>
                      <w:szCs w:val="18"/>
                      <w:highlight w:val="none"/>
                      <w:lang w:val="zh-CN" w:eastAsia="en-US"/>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Merge w:val="continue"/>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651" w:type="pct"/>
                  <w:vMerge w:val="continue"/>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695" w:type="pct"/>
                  <w:vMerge w:val="continue"/>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894" w:type="pct"/>
                  <w:tcBorders>
                    <w:top w:val="single" w:color="000000" w:sz="4" w:space="0"/>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经度</w:t>
                  </w:r>
                </w:p>
              </w:tc>
              <w:tc>
                <w:tcPr>
                  <w:tcW w:w="819" w:type="pct"/>
                  <w:tcBorders>
                    <w:top w:val="single" w:color="000000" w:sz="4" w:space="0"/>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维度</w:t>
                  </w:r>
                </w:p>
              </w:tc>
              <w:tc>
                <w:tcPr>
                  <w:tcW w:w="482" w:type="pct"/>
                  <w:vMerge w:val="continue"/>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506" w:type="pct"/>
                  <w:vMerge w:val="continue"/>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441" w:type="pct"/>
                  <w:vMerge w:val="continue"/>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tcBorders>
                    <w:tl2br w:val="nil"/>
                    <w:tr2bl w:val="nil"/>
                  </w:tcBorders>
                  <w:vAlign w:val="center"/>
                </w:tcPr>
                <w:p>
                  <w:pPr>
                    <w:keepNext w:val="0"/>
                    <w:keepLines w:val="0"/>
                    <w:pageBreakBefore w:val="0"/>
                    <w:widowControl/>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rPr>
                    <w:t>DA001</w:t>
                  </w:r>
                </w:p>
              </w:tc>
              <w:tc>
                <w:tcPr>
                  <w:tcW w:w="651" w:type="pct"/>
                  <w:tcBorders>
                    <w:tl2br w:val="nil"/>
                    <w:tr2bl w:val="nil"/>
                  </w:tcBorders>
                  <w:vAlign w:val="center"/>
                </w:tcPr>
                <w:p>
                  <w:pPr>
                    <w:keepNext w:val="0"/>
                    <w:keepLines w:val="0"/>
                    <w:pageBreakBefore w:val="0"/>
                    <w:widowControl/>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UV光催化氧化+活性炭吸附装置</w:t>
                  </w:r>
                  <w:r>
                    <w:rPr>
                      <w:rFonts w:hint="default" w:ascii="Times New Roman" w:hAnsi="Times New Roman" w:cs="Times New Roman"/>
                      <w:color w:val="auto"/>
                      <w:sz w:val="18"/>
                      <w:szCs w:val="18"/>
                      <w:highlight w:val="none"/>
                      <w:vertAlign w:val="baseline"/>
                      <w:lang w:val="en-US" w:eastAsia="zh-CN"/>
                    </w:rPr>
                    <w:t>配套排气筒</w:t>
                  </w:r>
                </w:p>
              </w:tc>
              <w:tc>
                <w:tcPr>
                  <w:tcW w:w="695" w:type="pct"/>
                  <w:tcBorders>
                    <w:tl2br w:val="nil"/>
                    <w:tr2bl w:val="nil"/>
                  </w:tcBorders>
                  <w:vAlign w:val="center"/>
                </w:tcPr>
                <w:p>
                  <w:pPr>
                    <w:keepNext w:val="0"/>
                    <w:keepLines w:val="0"/>
                    <w:pageBreakBefore w:val="0"/>
                    <w:widowControl/>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非甲烷总烃</w:t>
                  </w:r>
                </w:p>
              </w:tc>
              <w:tc>
                <w:tcPr>
                  <w:tcW w:w="894" w:type="pct"/>
                  <w:tcBorders>
                    <w:tl2br w:val="nil"/>
                    <w:tr2bl w:val="nil"/>
                  </w:tcBorders>
                  <w:vAlign w:val="center"/>
                </w:tcPr>
                <w:p>
                  <w:pPr>
                    <w:pStyle w:val="16"/>
                    <w:keepNext w:val="0"/>
                    <w:keepLines w:val="0"/>
                    <w:pageBreakBefore w:val="0"/>
                    <w:widowControl/>
                    <w:suppressLineNumbers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SA"/>
                    </w:rPr>
                  </w:pPr>
                  <w:r>
                    <w:rPr>
                      <w:rFonts w:hint="default" w:ascii="Times New Roman" w:hAnsi="Times New Roman" w:cs="Times New Roman"/>
                      <w:bCs/>
                      <w:color w:val="auto"/>
                      <w:kern w:val="0"/>
                      <w:sz w:val="18"/>
                      <w:szCs w:val="18"/>
                      <w:highlight w:val="none"/>
                    </w:rPr>
                    <w:t>113°51′3.317″</w:t>
                  </w:r>
                </w:p>
              </w:tc>
              <w:tc>
                <w:tcPr>
                  <w:tcW w:w="819" w:type="pct"/>
                  <w:tcBorders>
                    <w:tl2br w:val="nil"/>
                    <w:tr2bl w:val="nil"/>
                  </w:tcBorders>
                  <w:vAlign w:val="center"/>
                </w:tcPr>
                <w:p>
                  <w:pPr>
                    <w:pStyle w:val="16"/>
                    <w:keepNext w:val="0"/>
                    <w:keepLines w:val="0"/>
                    <w:pageBreakBefore w:val="0"/>
                    <w:widowControl/>
                    <w:suppressLineNumbers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vertAlign w:val="baseline"/>
                      <w:lang w:val="en-US" w:eastAsia="zh-CN" w:bidi="ar-SA"/>
                    </w:rPr>
                  </w:pPr>
                  <w:r>
                    <w:rPr>
                      <w:rFonts w:hint="default" w:ascii="Times New Roman" w:hAnsi="Times New Roman" w:cs="Times New Roman"/>
                      <w:bCs/>
                      <w:color w:val="auto"/>
                      <w:kern w:val="0"/>
                      <w:sz w:val="18"/>
                      <w:szCs w:val="18"/>
                      <w:highlight w:val="none"/>
                    </w:rPr>
                    <w:t>35°21′46.578″</w:t>
                  </w:r>
                </w:p>
              </w:tc>
              <w:tc>
                <w:tcPr>
                  <w:tcW w:w="482" w:type="pc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vertAlign w:val="baseline"/>
                      <w:lang w:val="en-US" w:eastAsia="zh-CN"/>
                    </w:rPr>
                    <w:t>15</w:t>
                  </w:r>
                </w:p>
              </w:tc>
              <w:tc>
                <w:tcPr>
                  <w:tcW w:w="506" w:type="pc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vertAlign w:val="baseline"/>
                      <w:lang w:val="en-US" w:eastAsia="zh-CN"/>
                    </w:rPr>
                    <w:t>0.3</w:t>
                  </w:r>
                </w:p>
              </w:tc>
              <w:tc>
                <w:tcPr>
                  <w:tcW w:w="441" w:type="pc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vertAlign w:val="baseline"/>
                      <w:lang w:val="en-US" w:eastAsia="zh-CN"/>
                    </w:rPr>
                    <w:t>25</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b/>
                <w:bCs/>
                <w:color w:val="auto"/>
                <w:kern w:val="0"/>
                <w:sz w:val="21"/>
                <w:szCs w:val="21"/>
                <w:highlight w:val="none"/>
              </w:rPr>
            </w:pPr>
            <w:r>
              <w:rPr>
                <w:rFonts w:hint="eastAsia" w:cs="Times New Roman"/>
                <w:b/>
                <w:bCs/>
                <w:color w:val="auto"/>
                <w:kern w:val="0"/>
                <w:sz w:val="21"/>
                <w:szCs w:val="21"/>
                <w:highlight w:val="none"/>
                <w:lang w:val="en-US" w:eastAsia="zh-CN"/>
              </w:rPr>
              <w:t>1.8</w:t>
            </w:r>
            <w:r>
              <w:rPr>
                <w:rFonts w:hint="default" w:ascii="Times New Roman" w:hAnsi="Times New Roman" w:eastAsia="宋体" w:cs="Times New Roman"/>
                <w:b/>
                <w:bCs/>
                <w:color w:val="auto"/>
                <w:kern w:val="0"/>
                <w:sz w:val="21"/>
                <w:szCs w:val="21"/>
                <w:highlight w:val="none"/>
                <w:lang w:eastAsia="zh-CN"/>
              </w:rPr>
              <w:t>监测计划</w:t>
            </w:r>
          </w:p>
          <w:p>
            <w:pPr>
              <w:pStyle w:val="27"/>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right="0" w:rightChars="0" w:firstLine="420" w:firstLineChars="200"/>
              <w:jc w:val="left"/>
              <w:textAlignment w:val="auto"/>
              <w:rPr>
                <w:rFonts w:hint="default" w:ascii="Times New Roman" w:hAnsi="Times New Roman" w:cs="Times New Roman"/>
                <w:color w:val="auto"/>
                <w:highlight w:val="none"/>
                <w:lang w:eastAsia="zh-CN"/>
              </w:rPr>
            </w:pPr>
            <w:r>
              <w:rPr>
                <w:rFonts w:hint="default" w:ascii="Times New Roman" w:hAnsi="Times New Roman" w:eastAsia="宋体" w:cs="Times New Roman"/>
                <w:b w:val="0"/>
                <w:bCs w:val="0"/>
                <w:color w:val="auto"/>
                <w:sz w:val="21"/>
                <w:szCs w:val="21"/>
                <w:highlight w:val="none"/>
                <w:vertAlign w:val="baseline"/>
                <w:lang w:eastAsia="zh-CN"/>
              </w:rPr>
              <w:t>参考</w:t>
            </w:r>
            <w:r>
              <w:rPr>
                <w:rFonts w:hint="default" w:ascii="Times New Roman" w:hAnsi="Times New Roman" w:eastAsia="宋体" w:cs="Times New Roman"/>
                <w:color w:val="auto"/>
                <w:sz w:val="21"/>
                <w:szCs w:val="21"/>
                <w:highlight w:val="none"/>
                <w:lang w:val="en-US" w:eastAsia="zh-CN"/>
              </w:rPr>
              <w:t>《排污单位自行监测技术指南-电池工业》（HJ1204-2021）</w:t>
            </w:r>
            <w:r>
              <w:rPr>
                <w:rFonts w:hint="default" w:ascii="Times New Roman" w:hAnsi="Times New Roman" w:eastAsia="宋体" w:cs="Times New Roman"/>
                <w:b w:val="0"/>
                <w:bCs w:val="0"/>
                <w:color w:val="auto"/>
                <w:sz w:val="21"/>
                <w:szCs w:val="21"/>
                <w:highlight w:val="none"/>
                <w:vertAlign w:val="baseline"/>
                <w:lang w:eastAsia="zh-CN"/>
              </w:rPr>
              <w:t>相关要求，自行监测计划如下：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有组织废气监测方案</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3"/>
              <w:gridCol w:w="1318"/>
              <w:gridCol w:w="1154"/>
              <w:gridCol w:w="41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9" w:type="pc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监测点位</w:t>
                  </w:r>
                </w:p>
              </w:tc>
              <w:tc>
                <w:tcPr>
                  <w:tcW w:w="817" w:type="pc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监测指标</w:t>
                  </w:r>
                </w:p>
              </w:tc>
              <w:tc>
                <w:tcPr>
                  <w:tcW w:w="715" w:type="pc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监测频次</w:t>
                  </w:r>
                </w:p>
              </w:tc>
              <w:tc>
                <w:tcPr>
                  <w:tcW w:w="2548" w:type="pc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执行排放标准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919"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DA001出口</w:t>
                  </w:r>
                </w:p>
              </w:tc>
              <w:tc>
                <w:tcPr>
                  <w:tcW w:w="817" w:type="pc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eastAsiaTheme="minorEastAsia"/>
                      <w:color w:val="auto"/>
                      <w:sz w:val="18"/>
                      <w:szCs w:val="18"/>
                      <w:highlight w:val="none"/>
                      <w:lang w:eastAsia="zh-CN"/>
                    </w:rPr>
                  </w:pPr>
                  <w:r>
                    <w:rPr>
                      <w:rFonts w:hint="eastAsia" w:ascii="Times New Roman" w:cs="Times New Roman" w:eastAsiaTheme="minorEastAsia"/>
                      <w:color w:val="auto"/>
                      <w:sz w:val="18"/>
                      <w:szCs w:val="18"/>
                      <w:highlight w:val="none"/>
                      <w:lang w:eastAsia="zh-CN"/>
                    </w:rPr>
                    <w:t>非甲烷总烃</w:t>
                  </w:r>
                </w:p>
              </w:tc>
              <w:tc>
                <w:tcPr>
                  <w:tcW w:w="715" w:type="pc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1</w:t>
                  </w:r>
                  <w:r>
                    <w:rPr>
                      <w:rFonts w:hint="default" w:ascii="Times New Roman" w:hAnsi="Times New Roman" w:cs="Times New Roman" w:eastAsiaTheme="minorEastAsia"/>
                      <w:color w:val="auto"/>
                      <w:sz w:val="18"/>
                      <w:szCs w:val="18"/>
                      <w:highlight w:val="none"/>
                    </w:rPr>
                    <w:t>次</w:t>
                  </w:r>
                  <w:r>
                    <w:rPr>
                      <w:rFonts w:hint="default" w:ascii="Times New Roman" w:hAnsi="Times New Roman" w:cs="Times New Roman" w:eastAsiaTheme="minorEastAsia"/>
                      <w:color w:val="auto"/>
                      <w:sz w:val="18"/>
                      <w:szCs w:val="18"/>
                      <w:highlight w:val="none"/>
                      <w:lang w:val="en-US" w:eastAsia="zh-CN"/>
                    </w:rPr>
                    <w:t>/</w:t>
                  </w:r>
                  <w:r>
                    <w:rPr>
                      <w:rFonts w:hint="eastAsia" w:ascii="Times New Roman" w:cs="Times New Roman" w:eastAsiaTheme="minorEastAsia"/>
                      <w:color w:val="auto"/>
                      <w:sz w:val="18"/>
                      <w:szCs w:val="18"/>
                      <w:highlight w:val="none"/>
                      <w:lang w:val="en-US" w:eastAsia="zh-CN"/>
                    </w:rPr>
                    <w:t>半</w:t>
                  </w:r>
                  <w:r>
                    <w:rPr>
                      <w:rFonts w:hint="default" w:ascii="Times New Roman" w:hAnsi="Times New Roman" w:cs="Times New Roman" w:eastAsiaTheme="minorEastAsia"/>
                      <w:color w:val="auto"/>
                      <w:sz w:val="18"/>
                      <w:szCs w:val="18"/>
                      <w:highlight w:val="none"/>
                      <w:lang w:val="en-US" w:eastAsia="zh-CN"/>
                    </w:rPr>
                    <w:t>年</w:t>
                  </w:r>
                </w:p>
              </w:tc>
              <w:tc>
                <w:tcPr>
                  <w:tcW w:w="2548" w:type="pct"/>
                  <w:noWrap w:val="0"/>
                  <w:vAlign w:val="center"/>
                </w:tcPr>
                <w:p>
                  <w:pPr>
                    <w:pStyle w:val="27"/>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《电池工业污染物排放标准》（GB30848-2013）表</w:t>
                  </w:r>
                  <w:r>
                    <w:rPr>
                      <w:rFonts w:hint="eastAsia" w:ascii="Times New Roman" w:cs="Times New Roman" w:eastAsiaTheme="minorEastAsia"/>
                      <w:color w:val="auto"/>
                      <w:sz w:val="18"/>
                      <w:szCs w:val="18"/>
                      <w:highlight w:val="none"/>
                      <w:lang w:val="en-US" w:eastAsia="zh-CN"/>
                    </w:rPr>
                    <w:t>5</w:t>
                  </w:r>
                  <w:r>
                    <w:rPr>
                      <w:rFonts w:hint="default" w:ascii="Times New Roman" w:hAnsi="Times New Roman" w:cs="Times New Roman" w:eastAsiaTheme="minorEastAsia"/>
                      <w:color w:val="auto"/>
                      <w:sz w:val="18"/>
                      <w:szCs w:val="18"/>
                      <w:highlight w:val="none"/>
                    </w:rPr>
                    <w:t>标准</w:t>
                  </w:r>
                </w:p>
              </w:tc>
            </w:tr>
          </w:tbl>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无组织废气监测计划表</w:t>
            </w:r>
          </w:p>
          <w:tbl>
            <w:tblPr>
              <w:tblStyle w:val="2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1300"/>
              <w:gridCol w:w="1160"/>
              <w:gridCol w:w="411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监测点位</w:t>
                  </w:r>
                </w:p>
              </w:tc>
              <w:tc>
                <w:tcPr>
                  <w:tcW w:w="1300" w:type="dxa"/>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监测指标</w:t>
                  </w:r>
                </w:p>
              </w:tc>
              <w:tc>
                <w:tcPr>
                  <w:tcW w:w="1160" w:type="dxa"/>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监测频次</w:t>
                  </w:r>
                </w:p>
              </w:tc>
              <w:tc>
                <w:tcPr>
                  <w:tcW w:w="4119" w:type="dxa"/>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执行排放标准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487" w:type="dxa"/>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上风向厂界外20米处1个点位</w:t>
                  </w:r>
                </w:p>
              </w:tc>
              <w:tc>
                <w:tcPr>
                  <w:tcW w:w="1300" w:type="dxa"/>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非甲烷总烃</w:t>
                  </w:r>
                </w:p>
              </w:tc>
              <w:tc>
                <w:tcPr>
                  <w:tcW w:w="1160" w:type="dxa"/>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1次/年</w:t>
                  </w:r>
                </w:p>
              </w:tc>
              <w:tc>
                <w:tcPr>
                  <w:tcW w:w="4119" w:type="dxa"/>
                  <w:vMerge w:val="restar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eastAsiaTheme="minorEastAsia"/>
                      <w:color w:val="auto"/>
                      <w:sz w:val="18"/>
                      <w:szCs w:val="18"/>
                      <w:highlight w:val="none"/>
                    </w:rPr>
                    <w:t>《电池工业污染物排放标准》（GB30848-2013）表6标准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487" w:type="dxa"/>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下风向厂界外10米处3个点位</w:t>
                  </w:r>
                </w:p>
              </w:tc>
              <w:tc>
                <w:tcPr>
                  <w:tcW w:w="130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非甲烷总烃</w:t>
                  </w:r>
                </w:p>
              </w:tc>
              <w:tc>
                <w:tcPr>
                  <w:tcW w:w="1160" w:type="dxa"/>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1次/年</w:t>
                  </w:r>
                </w:p>
              </w:tc>
              <w:tc>
                <w:tcPr>
                  <w:tcW w:w="4119" w:type="dxa"/>
                  <w:vMerge w:val="continue"/>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green"/>
                    </w:rPr>
                  </w:pPr>
                </w:p>
              </w:tc>
            </w:tr>
          </w:tbl>
          <w:p>
            <w:pPr>
              <w:keepLines w:val="0"/>
              <w:pageBreakBefore w:val="0"/>
              <w:widowControl w:val="0"/>
              <w:kinsoku/>
              <w:wordWrap/>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2、废水</w:t>
            </w:r>
          </w:p>
          <w:p>
            <w:pPr>
              <w:keepLines w:val="0"/>
              <w:pageBreakBefore w:val="0"/>
              <w:widowControl w:val="0"/>
              <w:kinsoku/>
              <w:wordWrap/>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b/>
                <w:bCs/>
                <w:color w:val="auto"/>
                <w:kern w:val="0"/>
                <w:sz w:val="21"/>
                <w:szCs w:val="21"/>
                <w:highlight w:val="none"/>
              </w:rPr>
            </w:pPr>
            <w:r>
              <w:rPr>
                <w:rFonts w:hint="eastAsia" w:cs="Times New Roman"/>
                <w:b/>
                <w:bCs/>
                <w:color w:val="auto"/>
                <w:kern w:val="0"/>
                <w:sz w:val="21"/>
                <w:szCs w:val="21"/>
                <w:highlight w:val="none"/>
                <w:lang w:val="en-US" w:eastAsia="zh-CN"/>
              </w:rPr>
              <w:t>2.1</w:t>
            </w:r>
            <w:r>
              <w:rPr>
                <w:rFonts w:hint="default" w:ascii="Times New Roman" w:hAnsi="Times New Roman" w:cs="Times New Roman"/>
                <w:b/>
                <w:bCs/>
                <w:color w:val="auto"/>
                <w:kern w:val="0"/>
                <w:sz w:val="21"/>
                <w:szCs w:val="21"/>
                <w:highlight w:val="none"/>
              </w:rPr>
              <w:t>废水污染源强及治理措施</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工程无生产废水，外排废水主要为生活污水。工程劳动定员</w:t>
            </w:r>
            <w:r>
              <w:rPr>
                <w:rFonts w:hint="eastAsia" w:cs="Times New Roman"/>
                <w:bCs/>
                <w:color w:val="auto"/>
                <w:kern w:val="0"/>
                <w:sz w:val="21"/>
                <w:szCs w:val="21"/>
                <w:highlight w:val="none"/>
                <w:lang w:val="en-US" w:eastAsia="zh-CN"/>
              </w:rPr>
              <w:t>30</w:t>
            </w:r>
            <w:r>
              <w:rPr>
                <w:rFonts w:hint="default" w:ascii="Times New Roman" w:hAnsi="Times New Roman" w:cs="Times New Roman"/>
                <w:bCs/>
                <w:color w:val="auto"/>
                <w:kern w:val="0"/>
                <w:sz w:val="21"/>
                <w:szCs w:val="21"/>
                <w:highlight w:val="none"/>
                <w:lang w:val="en-US" w:eastAsia="zh-CN"/>
              </w:rPr>
              <w:t>人，</w:t>
            </w:r>
            <w:r>
              <w:rPr>
                <w:rFonts w:hint="default" w:ascii="Times New Roman" w:hAnsi="Times New Roman" w:cs="Times New Roman"/>
                <w:color w:val="auto"/>
                <w:sz w:val="21"/>
                <w:szCs w:val="21"/>
                <w:highlight w:val="none"/>
                <w:lang w:val="en-US" w:eastAsia="zh-CN"/>
              </w:rPr>
              <w:t>均不在厂区内食宿，年工作时间为300天，</w:t>
            </w:r>
            <w:r>
              <w:rPr>
                <w:rFonts w:hint="default" w:ascii="Times New Roman" w:hAnsi="Times New Roman" w:eastAsia="宋体" w:cs="Times New Roman"/>
                <w:b w:val="0"/>
                <w:bCs w:val="0"/>
                <w:color w:val="auto"/>
                <w:sz w:val="21"/>
                <w:szCs w:val="21"/>
                <w:highlight w:val="none"/>
                <w:vertAlign w:val="baseline"/>
                <w:lang w:eastAsia="zh-CN"/>
              </w:rPr>
              <w:t>根据</w:t>
            </w:r>
            <w:r>
              <w:rPr>
                <w:rFonts w:hint="default" w:ascii="Times New Roman" w:hAnsi="Times New Roman" w:eastAsia="宋体" w:cs="Times New Roman"/>
                <w:b w:val="0"/>
                <w:bCs w:val="0"/>
                <w:color w:val="auto"/>
                <w:sz w:val="21"/>
                <w:szCs w:val="21"/>
                <w:highlight w:val="none"/>
                <w:vertAlign w:val="baseline"/>
              </w:rPr>
              <w:t>《</w:t>
            </w:r>
            <w:r>
              <w:rPr>
                <w:rFonts w:hint="default" w:ascii="Times New Roman" w:hAnsi="Times New Roman" w:cs="Times New Roman"/>
                <w:b w:val="0"/>
                <w:bCs w:val="0"/>
                <w:color w:val="auto"/>
                <w:sz w:val="21"/>
                <w:szCs w:val="21"/>
                <w:highlight w:val="none"/>
                <w:vertAlign w:val="baseline"/>
                <w:lang w:eastAsia="zh-CN"/>
              </w:rPr>
              <w:t>建筑给水排水标准</w:t>
            </w:r>
            <w:r>
              <w:rPr>
                <w:rFonts w:hint="default" w:ascii="Times New Roman" w:hAnsi="Times New Roman" w:eastAsia="宋体" w:cs="Times New Roman"/>
                <w:b w:val="0"/>
                <w:bCs w:val="0"/>
                <w:color w:val="auto"/>
                <w:sz w:val="21"/>
                <w:szCs w:val="21"/>
                <w:highlight w:val="none"/>
                <w:vertAlign w:val="baseline"/>
              </w:rPr>
              <w:t>》（GB50015-2019）</w:t>
            </w:r>
            <w:r>
              <w:rPr>
                <w:rFonts w:hint="default" w:ascii="Times New Roman" w:hAnsi="Times New Roman" w:cs="Times New Roman"/>
                <w:b w:val="0"/>
                <w:bCs w:val="0"/>
                <w:color w:val="auto"/>
                <w:sz w:val="21"/>
                <w:szCs w:val="21"/>
                <w:highlight w:val="none"/>
                <w:vertAlign w:val="baseline"/>
                <w:lang w:eastAsia="zh-CN"/>
              </w:rPr>
              <w:t>，</w:t>
            </w:r>
            <w:r>
              <w:rPr>
                <w:rFonts w:hint="default" w:ascii="Times New Roman" w:hAnsi="Times New Roman" w:eastAsia="宋体" w:cs="Times New Roman"/>
                <w:b w:val="0"/>
                <w:bCs w:val="0"/>
                <w:color w:val="auto"/>
                <w:sz w:val="21"/>
                <w:szCs w:val="21"/>
                <w:highlight w:val="none"/>
                <w:vertAlign w:val="baseline"/>
              </w:rPr>
              <w:t>职工生活用水量按</w:t>
            </w:r>
            <w:r>
              <w:rPr>
                <w:rFonts w:hint="default" w:ascii="Times New Roman" w:hAnsi="Times New Roman" w:cs="Times New Roman"/>
                <w:b w:val="0"/>
                <w:bCs w:val="0"/>
                <w:color w:val="auto"/>
                <w:sz w:val="21"/>
                <w:szCs w:val="21"/>
                <w:highlight w:val="none"/>
                <w:vertAlign w:val="baseline"/>
                <w:lang w:val="en-US" w:eastAsia="zh-CN"/>
              </w:rPr>
              <w:t>40</w:t>
            </w:r>
            <w:r>
              <w:rPr>
                <w:rFonts w:hint="default" w:ascii="Times New Roman" w:hAnsi="Times New Roman" w:eastAsia="宋体" w:cs="Times New Roman"/>
                <w:b w:val="0"/>
                <w:bCs w:val="0"/>
                <w:color w:val="auto"/>
                <w:sz w:val="21"/>
                <w:szCs w:val="21"/>
                <w:highlight w:val="none"/>
                <w:vertAlign w:val="baseline"/>
              </w:rPr>
              <w:t>L/（</w:t>
            </w:r>
            <w:r>
              <w:rPr>
                <w:rFonts w:hint="default" w:ascii="Times New Roman" w:hAnsi="Times New Roman" w:cs="Times New Roman"/>
                <w:b w:val="0"/>
                <w:bCs w:val="0"/>
                <w:color w:val="auto"/>
                <w:sz w:val="21"/>
                <w:szCs w:val="21"/>
                <w:highlight w:val="none"/>
                <w:vertAlign w:val="baseline"/>
                <w:lang w:val="en-US" w:eastAsia="zh-CN"/>
              </w:rPr>
              <w:t>p</w:t>
            </w:r>
            <w:r>
              <w:rPr>
                <w:rFonts w:hint="default" w:ascii="Times New Roman" w:hAnsi="Times New Roman" w:eastAsia="宋体" w:cs="Times New Roman"/>
                <w:b w:val="0"/>
                <w:bCs w:val="0"/>
                <w:color w:val="auto"/>
                <w:sz w:val="21"/>
                <w:szCs w:val="21"/>
                <w:highlight w:val="none"/>
                <w:vertAlign w:val="baseline"/>
              </w:rPr>
              <w:t>·d）计</w:t>
            </w:r>
            <w:r>
              <w:rPr>
                <w:rFonts w:hint="default" w:ascii="Times New Roman" w:hAnsi="Times New Roman" w:cs="Times New Roman"/>
                <w:color w:val="auto"/>
                <w:sz w:val="21"/>
                <w:szCs w:val="21"/>
                <w:highlight w:val="none"/>
                <w:lang w:val="en-US" w:eastAsia="zh-CN"/>
              </w:rPr>
              <w:t>，则生活用水量为</w:t>
            </w:r>
            <w:r>
              <w:rPr>
                <w:rFonts w:hint="eastAsia" w:cs="Times New Roman"/>
                <w:color w:val="auto"/>
                <w:sz w:val="21"/>
                <w:szCs w:val="21"/>
                <w:highlight w:val="none"/>
                <w:lang w:val="en-US" w:eastAsia="zh-CN"/>
              </w:rPr>
              <w:t>1.2</w:t>
            </w:r>
            <w:r>
              <w:rPr>
                <w:rFonts w:hint="default" w:ascii="Times New Roman" w:hAnsi="Times New Roman"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vertAlign w:val="superscript"/>
              </w:rPr>
              <w:t>3</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d（</w:t>
            </w:r>
            <w:r>
              <w:rPr>
                <w:rFonts w:hint="eastAsia" w:cs="Times New Roman"/>
                <w:bCs/>
                <w:color w:val="auto"/>
                <w:kern w:val="0"/>
                <w:sz w:val="21"/>
                <w:szCs w:val="21"/>
                <w:highlight w:val="none"/>
                <w:lang w:val="en-US" w:eastAsia="zh-CN"/>
              </w:rPr>
              <w:t>360</w:t>
            </w:r>
            <w:r>
              <w:rPr>
                <w:rFonts w:hint="default" w:ascii="Times New Roman" w:hAnsi="Times New Roman"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vertAlign w:val="superscript"/>
              </w:rPr>
              <w:t>3</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a），排污系数取0.8，则生活污水产生量为</w:t>
            </w:r>
            <w:r>
              <w:rPr>
                <w:rFonts w:hint="eastAsia" w:cs="Times New Roman"/>
                <w:color w:val="auto"/>
                <w:sz w:val="21"/>
                <w:szCs w:val="21"/>
                <w:highlight w:val="none"/>
                <w:lang w:val="en-US" w:eastAsia="zh-CN"/>
              </w:rPr>
              <w:t>0.96</w:t>
            </w:r>
            <w:r>
              <w:rPr>
                <w:rFonts w:hint="default" w:ascii="Times New Roman" w:hAnsi="Times New Roman"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vertAlign w:val="superscript"/>
              </w:rPr>
              <w:t>3</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d（</w:t>
            </w:r>
            <w:r>
              <w:rPr>
                <w:rFonts w:hint="eastAsia" w:cs="Times New Roman"/>
                <w:bCs/>
                <w:color w:val="auto"/>
                <w:kern w:val="0"/>
                <w:sz w:val="21"/>
                <w:szCs w:val="21"/>
                <w:highlight w:val="none"/>
                <w:lang w:val="en-US" w:eastAsia="zh-CN"/>
              </w:rPr>
              <w:t>288</w:t>
            </w:r>
            <w:r>
              <w:rPr>
                <w:rFonts w:hint="default" w:ascii="Times New Roman" w:hAnsi="Times New Roman"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vertAlign w:val="superscript"/>
              </w:rPr>
              <w:t>3</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a），</w:t>
            </w:r>
            <w:r>
              <w:rPr>
                <w:rFonts w:hint="eastAsia" w:cs="Times New Roman"/>
                <w:bCs/>
                <w:color w:val="auto"/>
                <w:kern w:val="0"/>
                <w:sz w:val="21"/>
                <w:szCs w:val="21"/>
                <w:highlight w:val="none"/>
                <w:lang w:val="en-US" w:eastAsia="zh-CN"/>
              </w:rPr>
              <w:t>通过自建污水处理设施处理后，通过污水管网排入新乡市小尚庄污水处理厂进行进一步处理。待后期区域规划新乡市凤泉区污水处理厂建成后排入新乡市凤泉区污水处理厂处理</w:t>
            </w:r>
            <w:r>
              <w:rPr>
                <w:rFonts w:hint="default" w:ascii="Times New Roman" w:hAnsi="Times New Roman" w:cs="Times New Roman"/>
                <w:bCs/>
                <w:color w:val="auto"/>
                <w:kern w:val="0"/>
                <w:sz w:val="21"/>
                <w:szCs w:val="21"/>
                <w:highlight w:val="none"/>
                <w:lang w:val="en-US" w:eastAsia="zh-CN"/>
              </w:rPr>
              <w:t>。</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right="0" w:rightChars="0"/>
              <w:textAlignment w:val="auto"/>
              <w:rPr>
                <w:rFonts w:hint="default" w:ascii="Times New Roman" w:hAnsi="Times New Roman" w:cs="Times New Roman"/>
                <w:b/>
                <w:bCs w:val="0"/>
                <w:color w:val="auto"/>
                <w:spacing w:val="-4"/>
                <w:sz w:val="21"/>
                <w:szCs w:val="21"/>
                <w:highlight w:val="none"/>
                <w:lang w:eastAsia="zh-CN"/>
              </w:rPr>
            </w:pPr>
            <w:r>
              <w:rPr>
                <w:rFonts w:hint="eastAsia" w:cs="Times New Roman"/>
                <w:b/>
                <w:bCs w:val="0"/>
                <w:color w:val="auto"/>
                <w:spacing w:val="-4"/>
                <w:sz w:val="21"/>
                <w:szCs w:val="21"/>
                <w:highlight w:val="none"/>
                <w:lang w:val="en-US" w:eastAsia="zh-CN"/>
              </w:rPr>
              <w:t>2.2</w:t>
            </w:r>
            <w:r>
              <w:rPr>
                <w:rFonts w:hint="default" w:ascii="Times New Roman" w:hAnsi="Times New Roman" w:cs="Times New Roman"/>
                <w:b/>
                <w:bCs w:val="0"/>
                <w:color w:val="auto"/>
                <w:spacing w:val="-4"/>
                <w:sz w:val="21"/>
                <w:szCs w:val="21"/>
                <w:highlight w:val="none"/>
                <w:lang w:eastAsia="zh-CN"/>
              </w:rPr>
              <w:t>废水处理措施可行性分析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项目</w:t>
            </w:r>
            <w:r>
              <w:rPr>
                <w:rFonts w:hint="eastAsia" w:cs="Times New Roman"/>
                <w:color w:val="auto"/>
                <w:highlight w:val="none"/>
                <w:lang w:eastAsia="zh-CN"/>
              </w:rPr>
              <w:t>外排废水主要为</w:t>
            </w:r>
            <w:r>
              <w:rPr>
                <w:rFonts w:hint="default" w:ascii="Times New Roman" w:hAnsi="Times New Roman" w:cs="Times New Roman"/>
                <w:color w:val="auto"/>
                <w:highlight w:val="none"/>
                <w:lang w:eastAsia="zh-CN"/>
              </w:rPr>
              <w:t>生活污水，</w:t>
            </w:r>
            <w:r>
              <w:rPr>
                <w:rFonts w:hint="eastAsia" w:cs="Times New Roman"/>
                <w:color w:val="auto"/>
                <w:highlight w:val="none"/>
                <w:lang w:eastAsia="zh-CN"/>
              </w:rPr>
              <w:t>排放量约为</w:t>
            </w:r>
            <w:r>
              <w:rPr>
                <w:rFonts w:hint="eastAsia" w:cs="Times New Roman"/>
                <w:color w:val="auto"/>
                <w:highlight w:val="none"/>
                <w:lang w:val="en-US" w:eastAsia="zh-CN"/>
              </w:rPr>
              <w:t>0.96m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/d（</w:t>
            </w:r>
            <w:r>
              <w:rPr>
                <w:rFonts w:hint="eastAsia" w:cs="Times New Roman"/>
                <w:bCs/>
                <w:color w:val="auto"/>
                <w:kern w:val="0"/>
                <w:sz w:val="21"/>
                <w:szCs w:val="21"/>
                <w:highlight w:val="none"/>
                <w:lang w:val="en-US" w:eastAsia="zh-CN"/>
              </w:rPr>
              <w:t>288</w:t>
            </w:r>
            <w:r>
              <w:rPr>
                <w:rFonts w:hint="default" w:ascii="Times New Roman" w:hAnsi="Times New Roman"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vertAlign w:val="superscript"/>
              </w:rPr>
              <w:t>3</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a</w:t>
            </w:r>
            <w:r>
              <w:rPr>
                <w:rFonts w:hint="eastAsia" w:cs="Times New Roman"/>
                <w:color w:val="auto"/>
                <w:highlight w:val="none"/>
                <w:lang w:val="en-US" w:eastAsia="zh-CN"/>
              </w:rPr>
              <w:t>）</w:t>
            </w:r>
            <w:r>
              <w:rPr>
                <w:rFonts w:hint="eastAsia" w:cs="Times New Roman"/>
                <w:color w:val="auto"/>
                <w:highlight w:val="none"/>
                <w:lang w:eastAsia="zh-CN"/>
              </w:rPr>
              <w:t>，本项目拟建设</w:t>
            </w:r>
            <w:r>
              <w:rPr>
                <w:rFonts w:hint="eastAsia" w:cs="Times New Roman"/>
                <w:color w:val="auto"/>
                <w:highlight w:val="none"/>
                <w:lang w:val="en-US" w:eastAsia="zh-CN"/>
              </w:rPr>
              <w:t>1套地埋式A/O一体化污水处理设施进行处理（具体工艺为：</w:t>
            </w:r>
            <w:r>
              <w:rPr>
                <w:rFonts w:hint="eastAsia" w:cs="Times New Roman"/>
                <w:bCs/>
                <w:color w:val="auto"/>
                <w:kern w:val="0"/>
                <w:sz w:val="21"/>
                <w:szCs w:val="21"/>
                <w:highlight w:val="none"/>
                <w:lang w:val="en-US" w:eastAsia="zh-CN"/>
              </w:rPr>
              <w:t>格栅+调节池+A级池+O级池+沉淀池</w:t>
            </w:r>
            <w:r>
              <w:rPr>
                <w:rFonts w:hint="eastAsia" w:cs="Times New Roman"/>
                <w:color w:val="auto"/>
                <w:highlight w:val="none"/>
                <w:lang w:val="en-US" w:eastAsia="zh-CN"/>
              </w:rPr>
              <w:t>，处理规模1.5m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/d），处理工艺如下：</w:t>
            </w:r>
          </w:p>
          <w:p>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object>
                <v:shape id="_x0000_i1027" o:spt="75" alt="" type="#_x0000_t75" style="height:112.2pt;width:317.6pt;" o:ole="t" filled="f" o:preferrelative="t" stroked="f" coordsize="21600,21600">
                  <v:path/>
                  <v:fill on="f" focussize="0,0"/>
                  <v:stroke on="f"/>
                  <v:imagedata r:id="rId21" o:title=""/>
                  <o:lock v:ext="edit" aspectratio="t"/>
                  <w10:wrap type="none"/>
                  <w10:anchorlock/>
                </v:shape>
                <o:OLEObject Type="Embed" ProgID="Visio.Drawing.15" ShapeID="_x0000_i1027" DrawAspect="Content" ObjectID="_1468075727" r:id="rId20">
                  <o:LockedField>false</o:LockedField>
                </o:OLEObject>
              </w:object>
            </w:r>
          </w:p>
          <w:p>
            <w:pPr>
              <w:pStyle w:val="27"/>
              <w:keepNext w:val="0"/>
              <w:keepLines w:val="0"/>
              <w:pageBreakBefore w:val="0"/>
              <w:widowControl w:val="0"/>
              <w:numPr>
                <w:ilvl w:val="0"/>
                <w:numId w:val="8"/>
              </w:numPr>
              <w:kinsoku/>
              <w:wordWrap/>
              <w:overflowPunct/>
              <w:topLinePunct w:val="0"/>
              <w:bidi w:val="0"/>
              <w:adjustRightInd/>
              <w:snapToGrid/>
              <w:spacing w:line="360" w:lineRule="auto"/>
              <w:ind w:left="0" w:leftChars="0" w:hanging="420" w:firstLineChars="0"/>
              <w:textAlignment w:val="auto"/>
              <w:rPr>
                <w:rFonts w:hint="default" w:ascii="黑体" w:hAnsi="黑体" w:eastAsia="黑体" w:cs="黑体"/>
                <w:color w:val="auto"/>
                <w:kern w:val="2"/>
                <w:sz w:val="21"/>
                <w:szCs w:val="24"/>
                <w:highlight w:val="none"/>
                <w:lang w:val="en-US" w:eastAsia="zh-CN" w:bidi="ar-SA"/>
              </w:rPr>
            </w:pPr>
            <w:r>
              <w:rPr>
                <w:rFonts w:hint="eastAsia" w:ascii="黑体" w:hAnsi="黑体" w:eastAsia="黑体" w:cs="黑体"/>
                <w:color w:val="auto"/>
                <w:kern w:val="2"/>
                <w:sz w:val="21"/>
                <w:szCs w:val="24"/>
                <w:highlight w:val="none"/>
                <w:lang w:val="en-US" w:eastAsia="zh-CN" w:bidi="ar-SA"/>
              </w:rPr>
              <w:t>生活污水处理设施工艺流程图</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生活污水经地埋式一体化污水处理装置中的格栅过滤过滤较大杂质后进入调节池，通过调节池的调节水质水量，同时对污水中无机颗粒物进行初步沉淀，调节池内污水采用污水提升泵提升至A级生化池，进行生化处理。A级池出水自流进入O级池，O级生化池的处理依靠自养型细菌（硝化菌）完成。在A级和O级生化池中均安装有填料，整个生化处理过程依赖于附着在填料上的多种微生物来完成。在A级池内溶解氧控制在0.5mg/L左右；在O级生化池内溶解氧控制在2.0mg/L以上，气水比12：1；O级生化池一部分出水回流进入A级池，回流比为100%-200%；一部分流入沉淀池，进行固液分离；沉淀池固液分离后的出水进入清水排放池达标排放。参考《A/O一体化生物接触氧化工艺工艺的除污特性分析》（中国给水排水，2013年2月，文章编号：1000—4602(2013)03—0014—03）相关内容，结合企业提供资料情况，</w:t>
            </w:r>
            <w:r>
              <w:rPr>
                <w:rFonts w:hint="default" w:ascii="Times New Roman" w:hAnsi="Times New Roman" w:cs="Times New Roman"/>
                <w:bCs/>
                <w:color w:val="auto"/>
                <w:kern w:val="0"/>
                <w:sz w:val="21"/>
                <w:szCs w:val="21"/>
                <w:highlight w:val="none"/>
                <w:lang w:val="en-US" w:eastAsia="zh-CN"/>
              </w:rPr>
              <w:t>项目废水产排情况见下表。</w:t>
            </w:r>
          </w:p>
          <w:p>
            <w:pPr>
              <w:pStyle w:val="20"/>
              <w:rPr>
                <w:rFonts w:hint="default" w:ascii="Times New Roman" w:hAnsi="Times New Roman" w:cs="Times New Roman"/>
                <w:bCs/>
                <w:color w:val="auto"/>
                <w:kern w:val="0"/>
                <w:sz w:val="21"/>
                <w:szCs w:val="21"/>
                <w:highlight w:val="green"/>
                <w:lang w:val="en-US" w:eastAsia="zh-CN"/>
              </w:rPr>
            </w:pPr>
          </w:p>
          <w:p>
            <w:pPr>
              <w:rPr>
                <w:rFonts w:hint="default"/>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项目生活污水产排情况一览表</w:t>
            </w:r>
          </w:p>
          <w:tbl>
            <w:tblPr>
              <w:tblStyle w:val="21"/>
              <w:tblpPr w:leftFromText="180" w:rightFromText="180" w:vertAnchor="text" w:tblpXSpec="center" w:tblpY="1"/>
              <w:tblOverlap w:val="never"/>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432"/>
              <w:gridCol w:w="944"/>
              <w:gridCol w:w="897"/>
              <w:gridCol w:w="897"/>
              <w:gridCol w:w="897"/>
              <w:gridCol w:w="897"/>
              <w:gridCol w:w="9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5"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w:t>
                  </w:r>
                </w:p>
              </w:tc>
              <w:tc>
                <w:tcPr>
                  <w:tcW w:w="585"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废水量（m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/a）</w:t>
                  </w:r>
                </w:p>
              </w:tc>
              <w:tc>
                <w:tcPr>
                  <w:tcW w:w="2789" w:type="pct"/>
                  <w:gridSpan w:val="5"/>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污染因子</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mg/L</w:t>
                  </w:r>
                  <w:r>
                    <w:rPr>
                      <w:rFonts w:hint="default" w:ascii="Times New Roman" w:hAnsi="Times New Roman" w:eastAsia="宋体" w:cs="Times New Roman"/>
                      <w:color w:val="auto"/>
                      <w:sz w:val="18"/>
                      <w:szCs w:val="18"/>
                      <w:highlight w:val="none"/>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5"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p>
              </w:tc>
              <w:tc>
                <w:tcPr>
                  <w:tcW w:w="585"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p>
              </w:tc>
              <w:tc>
                <w:tcPr>
                  <w:tcW w:w="556"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COD</w:t>
                  </w:r>
                </w:p>
              </w:tc>
              <w:tc>
                <w:tcPr>
                  <w:tcW w:w="556"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SS</w:t>
                  </w:r>
                </w:p>
              </w:tc>
              <w:tc>
                <w:tcPr>
                  <w:tcW w:w="556"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NH</w:t>
                  </w:r>
                  <w:r>
                    <w:rPr>
                      <w:rFonts w:hint="default" w:ascii="Times New Roman" w:hAnsi="Times New Roman" w:eastAsia="宋体" w:cs="Times New Roman"/>
                      <w:color w:val="auto"/>
                      <w:sz w:val="18"/>
                      <w:szCs w:val="18"/>
                      <w:highlight w:val="none"/>
                      <w:vertAlign w:val="subscript"/>
                    </w:rPr>
                    <w:t>3</w:t>
                  </w:r>
                  <w:r>
                    <w:rPr>
                      <w:rFonts w:hint="default" w:ascii="Times New Roman" w:hAnsi="Times New Roman" w:eastAsia="宋体" w:cs="Times New Roman"/>
                      <w:color w:val="auto"/>
                      <w:sz w:val="18"/>
                      <w:szCs w:val="18"/>
                      <w:highlight w:val="none"/>
                    </w:rPr>
                    <w:t>-N</w:t>
                  </w:r>
                </w:p>
              </w:tc>
              <w:tc>
                <w:tcPr>
                  <w:tcW w:w="556"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TN</w:t>
                  </w:r>
                </w:p>
              </w:tc>
              <w:tc>
                <w:tcPr>
                  <w:tcW w:w="564"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TP</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5"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生活污水</w:t>
                  </w:r>
                </w:p>
              </w:tc>
              <w:tc>
                <w:tcPr>
                  <w:tcW w:w="585" w:type="pct"/>
                  <w:vMerge w:val="restart"/>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288</w:t>
                  </w:r>
                </w:p>
              </w:tc>
              <w:tc>
                <w:tcPr>
                  <w:tcW w:w="556" w:type="pct"/>
                  <w:vMerge w:val="restart"/>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300</w:t>
                  </w:r>
                </w:p>
              </w:tc>
              <w:tc>
                <w:tcPr>
                  <w:tcW w:w="556" w:type="pct"/>
                  <w:vMerge w:val="restart"/>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250</w:t>
                  </w:r>
                </w:p>
              </w:tc>
              <w:tc>
                <w:tcPr>
                  <w:tcW w:w="556" w:type="pct"/>
                  <w:vMerge w:val="restart"/>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27</w:t>
                  </w:r>
                </w:p>
              </w:tc>
              <w:tc>
                <w:tcPr>
                  <w:tcW w:w="556" w:type="pct"/>
                  <w:vMerge w:val="restart"/>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35</w:t>
                  </w:r>
                </w:p>
              </w:tc>
              <w:tc>
                <w:tcPr>
                  <w:tcW w:w="564" w:type="pct"/>
                  <w:vMerge w:val="restart"/>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地埋式A/O一体化污水处理设施</w:t>
                  </w:r>
                </w:p>
              </w:tc>
              <w:tc>
                <w:tcPr>
                  <w:tcW w:w="888"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进口浓度</w:t>
                  </w:r>
                </w:p>
              </w:tc>
              <w:tc>
                <w:tcPr>
                  <w:tcW w:w="585"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c>
                <w:tcPr>
                  <w:tcW w:w="55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p>
              </w:tc>
              <w:tc>
                <w:tcPr>
                  <w:tcW w:w="55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p>
              </w:tc>
              <w:tc>
                <w:tcPr>
                  <w:tcW w:w="55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p>
              </w:tc>
              <w:tc>
                <w:tcPr>
                  <w:tcW w:w="55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p>
              </w:tc>
              <w:tc>
                <w:tcPr>
                  <w:tcW w:w="564"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eastAsia="zh-CN"/>
                    </w:rPr>
                  </w:pPr>
                </w:p>
              </w:tc>
              <w:tc>
                <w:tcPr>
                  <w:tcW w:w="888"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产生量（</w:t>
                  </w:r>
                  <w:r>
                    <w:rPr>
                      <w:rFonts w:hint="default" w:ascii="Times New Roman" w:hAnsi="Times New Roman" w:eastAsia="宋体" w:cs="Times New Roman"/>
                      <w:color w:val="auto"/>
                      <w:sz w:val="18"/>
                      <w:szCs w:val="18"/>
                      <w:highlight w:val="none"/>
                      <w:lang w:val="en-US" w:eastAsia="zh-CN"/>
                    </w:rPr>
                    <w:t>t/a</w:t>
                  </w:r>
                  <w:r>
                    <w:rPr>
                      <w:rFonts w:hint="default" w:ascii="Times New Roman" w:hAnsi="Times New Roman" w:eastAsia="宋体" w:cs="Times New Roman"/>
                      <w:color w:val="auto"/>
                      <w:sz w:val="18"/>
                      <w:szCs w:val="18"/>
                      <w:highlight w:val="none"/>
                      <w:lang w:eastAsia="zh-CN"/>
                    </w:rPr>
                    <w:t>）</w:t>
                  </w:r>
                </w:p>
              </w:tc>
              <w:tc>
                <w:tcPr>
                  <w:tcW w:w="585"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c>
                <w:tcPr>
                  <w:tcW w:w="556" w:type="pct"/>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0.0864</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0.072</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0.0078</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0.0101</w:t>
                  </w:r>
                </w:p>
              </w:tc>
              <w:tc>
                <w:tcPr>
                  <w:tcW w:w="564"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0.0009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eastAsia="zh-CN"/>
                    </w:rPr>
                  </w:pPr>
                </w:p>
              </w:tc>
              <w:tc>
                <w:tcPr>
                  <w:tcW w:w="888"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处理效率</w:t>
                  </w:r>
                  <w:r>
                    <w:rPr>
                      <w:rFonts w:hint="default" w:ascii="Times New Roman" w:hAnsi="Times New Roman" w:eastAsia="宋体" w:cs="Times New Roman"/>
                      <w:color w:val="auto"/>
                      <w:sz w:val="18"/>
                      <w:szCs w:val="18"/>
                      <w:highlight w:val="none"/>
                      <w:lang w:val="en-US" w:eastAsia="zh-CN"/>
                    </w:rPr>
                    <w:t>%</w:t>
                  </w:r>
                </w:p>
              </w:tc>
              <w:tc>
                <w:tcPr>
                  <w:tcW w:w="585"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56" w:type="pct"/>
                  <w:vAlign w:val="center"/>
                </w:tcPr>
                <w:p>
                  <w:pPr>
                    <w:keepNext w:val="0"/>
                    <w:keepLines w:val="0"/>
                    <w:pageBreakBefore w:val="0"/>
                    <w:kinsoku/>
                    <w:wordWrap/>
                    <w:overflowPunct/>
                    <w:topLinePunct w:val="0"/>
                    <w:autoSpaceDE/>
                    <w:autoSpaceDN/>
                    <w:bidi w:val="0"/>
                    <w:adjustRightInd/>
                    <w:snapToGrid/>
                    <w:spacing w:line="320" w:lineRule="exact"/>
                    <w:ind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60</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sz w:val="18"/>
                      <w:szCs w:val="18"/>
                      <w:highlight w:val="none"/>
                      <w:lang w:val="en-US" w:eastAsia="zh-CN"/>
                    </w:rPr>
                    <w:t>70</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sz w:val="18"/>
                      <w:szCs w:val="18"/>
                      <w:highlight w:val="none"/>
                      <w:lang w:val="en-US" w:eastAsia="zh-CN"/>
                    </w:rPr>
                    <w:t>30</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sz w:val="18"/>
                      <w:szCs w:val="18"/>
                      <w:highlight w:val="none"/>
                      <w:lang w:val="en-US" w:eastAsia="zh-CN"/>
                    </w:rPr>
                    <w:t>40</w:t>
                  </w:r>
                </w:p>
              </w:tc>
              <w:tc>
                <w:tcPr>
                  <w:tcW w:w="564"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sz w:val="18"/>
                      <w:szCs w:val="18"/>
                      <w:highlight w:val="none"/>
                      <w:lang w:val="en-US" w:eastAsia="zh-CN"/>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eastAsia="zh-CN"/>
                    </w:rPr>
                  </w:pPr>
                </w:p>
              </w:tc>
              <w:tc>
                <w:tcPr>
                  <w:tcW w:w="888"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出口浓度</w:t>
                  </w:r>
                </w:p>
              </w:tc>
              <w:tc>
                <w:tcPr>
                  <w:tcW w:w="585"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288</w:t>
                  </w:r>
                </w:p>
              </w:tc>
              <w:tc>
                <w:tcPr>
                  <w:tcW w:w="556" w:type="pct"/>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120</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75</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18.9</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b w:val="0"/>
                      <w:bCs/>
                      <w:color w:val="auto"/>
                      <w:sz w:val="18"/>
                      <w:szCs w:val="18"/>
                      <w:highlight w:val="none"/>
                      <w:u w:val="none"/>
                      <w:lang w:val="en-US" w:eastAsia="zh-CN"/>
                    </w:rPr>
                  </w:pPr>
                  <w:r>
                    <w:rPr>
                      <w:rFonts w:hint="eastAsia" w:cs="Times New Roman"/>
                      <w:b w:val="0"/>
                      <w:bCs/>
                      <w:color w:val="auto"/>
                      <w:sz w:val="18"/>
                      <w:szCs w:val="18"/>
                      <w:highlight w:val="none"/>
                      <w:u w:val="none"/>
                      <w:lang w:val="en-US" w:eastAsia="zh-CN"/>
                    </w:rPr>
                    <w:t>21</w:t>
                  </w:r>
                </w:p>
              </w:tc>
              <w:tc>
                <w:tcPr>
                  <w:tcW w:w="564"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b w:val="0"/>
                      <w:bCs/>
                      <w:color w:val="auto"/>
                      <w:sz w:val="18"/>
                      <w:szCs w:val="18"/>
                      <w:highlight w:val="none"/>
                      <w:u w:val="none"/>
                      <w:lang w:val="en-US" w:eastAsia="zh-CN"/>
                    </w:rPr>
                  </w:pPr>
                  <w:r>
                    <w:rPr>
                      <w:rFonts w:hint="eastAsia" w:cs="Times New Roman"/>
                      <w:b w:val="0"/>
                      <w:bCs/>
                      <w:color w:val="auto"/>
                      <w:sz w:val="18"/>
                      <w:szCs w:val="18"/>
                      <w:highlight w:val="none"/>
                      <w:u w:val="none"/>
                      <w:lang w:val="en-US" w:eastAsia="zh-CN"/>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eastAsia="zh-CN"/>
                    </w:rPr>
                  </w:pPr>
                </w:p>
              </w:tc>
              <w:tc>
                <w:tcPr>
                  <w:tcW w:w="888"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排放量（</w:t>
                  </w:r>
                  <w:r>
                    <w:rPr>
                      <w:rFonts w:hint="default" w:ascii="Times New Roman" w:hAnsi="Times New Roman" w:eastAsia="宋体" w:cs="Times New Roman"/>
                      <w:color w:val="auto"/>
                      <w:sz w:val="18"/>
                      <w:szCs w:val="18"/>
                      <w:highlight w:val="none"/>
                      <w:lang w:val="en-US" w:eastAsia="zh-CN"/>
                    </w:rPr>
                    <w:t>t/a</w:t>
                  </w:r>
                  <w:r>
                    <w:rPr>
                      <w:rFonts w:hint="default" w:ascii="Times New Roman" w:hAnsi="Times New Roman" w:eastAsia="宋体" w:cs="Times New Roman"/>
                      <w:color w:val="auto"/>
                      <w:sz w:val="18"/>
                      <w:szCs w:val="18"/>
                      <w:highlight w:val="none"/>
                      <w:lang w:eastAsia="zh-CN"/>
                    </w:rPr>
                    <w:t>）</w:t>
                  </w:r>
                </w:p>
              </w:tc>
              <w:tc>
                <w:tcPr>
                  <w:tcW w:w="585"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c>
                <w:tcPr>
                  <w:tcW w:w="556" w:type="pct"/>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 xml:space="preserve">0.0346 </w:t>
                  </w:r>
                </w:p>
              </w:tc>
              <w:tc>
                <w:tcPr>
                  <w:tcW w:w="556" w:type="pct"/>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 xml:space="preserve">0.0216 </w:t>
                  </w:r>
                </w:p>
              </w:tc>
              <w:tc>
                <w:tcPr>
                  <w:tcW w:w="556" w:type="pct"/>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 xml:space="preserve">0.0054 </w:t>
                  </w:r>
                </w:p>
              </w:tc>
              <w:tc>
                <w:tcPr>
                  <w:tcW w:w="556" w:type="pct"/>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 xml:space="preserve">0.0060 </w:t>
                  </w:r>
                </w:p>
              </w:tc>
              <w:tc>
                <w:tcPr>
                  <w:tcW w:w="564" w:type="pct"/>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 xml:space="preserve">0.0003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0" w:type="pct"/>
                  <w:gridSpan w:val="3"/>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《电池工业污染物排放标准》</w:t>
                  </w:r>
                </w:p>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（GB30848-2013）（mg/L）</w:t>
                  </w:r>
                </w:p>
              </w:tc>
              <w:tc>
                <w:tcPr>
                  <w:tcW w:w="556" w:type="pct"/>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150</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140</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30</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b w:val="0"/>
                      <w:bCs/>
                      <w:color w:val="auto"/>
                      <w:sz w:val="18"/>
                      <w:szCs w:val="18"/>
                      <w:highlight w:val="none"/>
                      <w:u w:val="none"/>
                      <w:lang w:val="en-US" w:eastAsia="zh-CN"/>
                    </w:rPr>
                  </w:pPr>
                  <w:r>
                    <w:rPr>
                      <w:rFonts w:hint="eastAsia" w:cs="Times New Roman"/>
                      <w:b w:val="0"/>
                      <w:bCs/>
                      <w:color w:val="auto"/>
                      <w:sz w:val="18"/>
                      <w:szCs w:val="18"/>
                      <w:highlight w:val="none"/>
                      <w:u w:val="none"/>
                      <w:lang w:val="en-US" w:eastAsia="zh-CN"/>
                    </w:rPr>
                    <w:t>40</w:t>
                  </w:r>
                </w:p>
              </w:tc>
              <w:tc>
                <w:tcPr>
                  <w:tcW w:w="564"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eastAsia" w:ascii="Times New Roman" w:hAnsi="Times New Roman" w:eastAsia="宋体" w:cs="Times New Roman"/>
                      <w:b w:val="0"/>
                      <w:bCs/>
                      <w:color w:val="auto"/>
                      <w:sz w:val="18"/>
                      <w:szCs w:val="18"/>
                      <w:highlight w:val="none"/>
                      <w:u w:val="none"/>
                      <w:lang w:val="en-US" w:eastAsia="zh-CN"/>
                    </w:rPr>
                  </w:pPr>
                  <w:r>
                    <w:rPr>
                      <w:rFonts w:hint="eastAsia" w:cs="Times New Roman"/>
                      <w:b w:val="0"/>
                      <w:bCs/>
                      <w:color w:val="auto"/>
                      <w:sz w:val="18"/>
                      <w:szCs w:val="18"/>
                      <w:highlight w:val="none"/>
                      <w:u w:val="none"/>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0" w:type="pct"/>
                  <w:gridSpan w:val="3"/>
                  <w:vAlign w:val="center"/>
                </w:tcPr>
                <w:p>
                  <w:pPr>
                    <w:keepNext w:val="0"/>
                    <w:keepLines w:val="0"/>
                    <w:pageBreakBefore w:val="0"/>
                    <w:kinsoku/>
                    <w:wordWrap/>
                    <w:overflowPunct/>
                    <w:topLinePunct w:val="0"/>
                    <w:autoSpaceDE/>
                    <w:autoSpaceDN/>
                    <w:bidi w:val="0"/>
                    <w:adjustRightInd/>
                    <w:snapToGrid/>
                    <w:spacing w:line="320" w:lineRule="exact"/>
                    <w:ind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小尚庄污水处理厂收水标准</w:t>
                  </w:r>
                  <w:r>
                    <w:rPr>
                      <w:rFonts w:hint="default" w:ascii="Times New Roman" w:hAnsi="Times New Roman" w:eastAsia="宋体" w:cs="Times New Roman"/>
                      <w:color w:val="auto"/>
                      <w:sz w:val="18"/>
                      <w:szCs w:val="18"/>
                      <w:highlight w:val="none"/>
                      <w:lang w:val="en-US" w:eastAsia="zh-CN"/>
                    </w:rPr>
                    <w:t>（mg/L）</w:t>
                  </w:r>
                </w:p>
              </w:tc>
              <w:tc>
                <w:tcPr>
                  <w:tcW w:w="556" w:type="pct"/>
                  <w:vAlign w:val="center"/>
                </w:tcPr>
                <w:p>
                  <w:pPr>
                    <w:keepNext w:val="0"/>
                    <w:keepLines w:val="0"/>
                    <w:pageBreakBefore w:val="0"/>
                    <w:kinsoku/>
                    <w:wordWrap/>
                    <w:overflowPunct/>
                    <w:topLinePunct w:val="0"/>
                    <w:autoSpaceDE/>
                    <w:autoSpaceDN/>
                    <w:bidi w:val="0"/>
                    <w:adjustRightInd/>
                    <w:snapToGrid/>
                    <w:spacing w:line="320" w:lineRule="exact"/>
                    <w:ind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350</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250</w:t>
                  </w:r>
                </w:p>
              </w:tc>
              <w:tc>
                <w:tcPr>
                  <w:tcW w:w="897" w:type="dxa"/>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30</w:t>
                  </w:r>
                </w:p>
              </w:tc>
              <w:tc>
                <w:tcPr>
                  <w:tcW w:w="897" w:type="dxa"/>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40</w:t>
                  </w:r>
                </w:p>
              </w:tc>
              <w:tc>
                <w:tcPr>
                  <w:tcW w:w="911" w:type="dxa"/>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0" w:type="pct"/>
                  <w:gridSpan w:val="3"/>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sz w:val="18"/>
                      <w:szCs w:val="18"/>
                      <w:highlight w:val="none"/>
                      <w:lang w:val="en-US" w:eastAsia="zh-CN"/>
                    </w:rPr>
                    <w:t>小尚庄污水处理厂</w:t>
                  </w:r>
                  <w:r>
                    <w:rPr>
                      <w:rFonts w:hint="default" w:ascii="Times New Roman" w:hAnsi="Times New Roman" w:eastAsia="宋体" w:cs="Times New Roman"/>
                      <w:color w:val="auto"/>
                      <w:sz w:val="18"/>
                      <w:szCs w:val="18"/>
                      <w:highlight w:val="none"/>
                    </w:rPr>
                    <w:t>厂出水水质（mg/L）</w:t>
                  </w:r>
                </w:p>
              </w:tc>
              <w:tc>
                <w:tcPr>
                  <w:tcW w:w="556" w:type="pct"/>
                  <w:vAlign w:val="center"/>
                </w:tcPr>
                <w:p>
                  <w:pPr>
                    <w:keepNext w:val="0"/>
                    <w:keepLines w:val="0"/>
                    <w:pageBreakBefore w:val="0"/>
                    <w:kinsoku/>
                    <w:wordWrap/>
                    <w:overflowPunct/>
                    <w:topLinePunct w:val="0"/>
                    <w:autoSpaceDE/>
                    <w:autoSpaceDN/>
                    <w:bidi w:val="0"/>
                    <w:adjustRightInd/>
                    <w:snapToGrid/>
                    <w:spacing w:line="320" w:lineRule="exact"/>
                    <w:ind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40</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sz w:val="18"/>
                      <w:szCs w:val="18"/>
                      <w:highlight w:val="none"/>
                      <w:lang w:val="en-US" w:eastAsia="zh-CN"/>
                    </w:rPr>
                    <w:t>10</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eastAsia" w:cs="Times New Roman"/>
                      <w:color w:val="auto"/>
                      <w:sz w:val="18"/>
                      <w:szCs w:val="18"/>
                      <w:highlight w:val="none"/>
                      <w:lang w:val="en-US" w:eastAsia="zh-CN"/>
                    </w:rPr>
                    <w:t>2</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default" w:ascii="Times New Roman" w:hAnsi="Times New Roman" w:eastAsia="宋体" w:cs="Times New Roman"/>
                      <w:b w:val="0"/>
                      <w:bCs/>
                      <w:color w:val="auto"/>
                      <w:kern w:val="0"/>
                      <w:sz w:val="18"/>
                      <w:szCs w:val="18"/>
                      <w:highlight w:val="none"/>
                      <w:u w:val="none"/>
                      <w:lang w:val="en-US" w:eastAsia="zh-CN" w:bidi="ar-SA"/>
                    </w:rPr>
                  </w:pPr>
                  <w:r>
                    <w:rPr>
                      <w:rFonts w:hint="eastAsia" w:cs="Times New Roman"/>
                      <w:b w:val="0"/>
                      <w:bCs/>
                      <w:color w:val="auto"/>
                      <w:sz w:val="18"/>
                      <w:szCs w:val="18"/>
                      <w:highlight w:val="none"/>
                      <w:u w:val="none"/>
                      <w:lang w:val="en-US" w:eastAsia="zh-CN"/>
                    </w:rPr>
                    <w:t>15</w:t>
                  </w:r>
                </w:p>
              </w:tc>
              <w:tc>
                <w:tcPr>
                  <w:tcW w:w="564"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default" w:ascii="Times New Roman" w:hAnsi="Times New Roman" w:eastAsia="宋体" w:cs="Times New Roman"/>
                      <w:b w:val="0"/>
                      <w:bCs/>
                      <w:color w:val="auto"/>
                      <w:kern w:val="0"/>
                      <w:sz w:val="18"/>
                      <w:szCs w:val="18"/>
                      <w:highlight w:val="none"/>
                      <w:u w:val="none"/>
                      <w:lang w:val="en-US" w:eastAsia="zh-CN" w:bidi="ar-SA"/>
                    </w:rPr>
                  </w:pPr>
                  <w:r>
                    <w:rPr>
                      <w:rFonts w:hint="eastAsia" w:cs="Times New Roman"/>
                      <w:b w:val="0"/>
                      <w:bCs/>
                      <w:color w:val="auto"/>
                      <w:sz w:val="18"/>
                      <w:szCs w:val="18"/>
                      <w:highlight w:val="none"/>
                      <w:u w:val="none"/>
                      <w:lang w:val="en-US" w:eastAsia="zh-CN"/>
                    </w:rPr>
                    <w:t>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0" w:type="pct"/>
                  <w:gridSpan w:val="3"/>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eastAsia" w:cs="Times New Roman"/>
                      <w:color w:val="auto"/>
                      <w:sz w:val="18"/>
                      <w:szCs w:val="18"/>
                      <w:highlight w:val="none"/>
                      <w:lang w:val="en-US" w:eastAsia="zh-CN"/>
                    </w:rPr>
                    <w:t>小尚庄污水处理厂处理后污染物排放量（t/a）</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 xml:space="preserve">0.0115 </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 xml:space="preserve">0.0029 </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 xml:space="preserve">0.0006 </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 xml:space="preserve">0.0043 </w:t>
                  </w:r>
                </w:p>
              </w:tc>
              <w:tc>
                <w:tcPr>
                  <w:tcW w:w="564"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 xml:space="preserve">0.0001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0" w:type="pct"/>
                  <w:gridSpan w:val="3"/>
                  <w:vAlign w:val="center"/>
                </w:tcPr>
                <w:p>
                  <w:pPr>
                    <w:keepNext w:val="0"/>
                    <w:keepLines w:val="0"/>
                    <w:pageBreakBefore w:val="0"/>
                    <w:kinsoku/>
                    <w:wordWrap/>
                    <w:overflowPunct/>
                    <w:topLinePunct w:val="0"/>
                    <w:autoSpaceDE/>
                    <w:autoSpaceDN/>
                    <w:bidi w:val="0"/>
                    <w:adjustRightInd/>
                    <w:snapToGrid/>
                    <w:spacing w:line="320" w:lineRule="exact"/>
                    <w:ind w:right="0" w:rightChars="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凤泉区污水处理厂收水标准</w:t>
                  </w:r>
                  <w:r>
                    <w:rPr>
                      <w:rFonts w:hint="default" w:ascii="Times New Roman" w:hAnsi="Times New Roman" w:eastAsia="宋体" w:cs="Times New Roman"/>
                      <w:color w:val="auto"/>
                      <w:sz w:val="18"/>
                      <w:szCs w:val="18"/>
                      <w:highlight w:val="none"/>
                      <w:lang w:val="en-US" w:eastAsia="zh-CN"/>
                    </w:rPr>
                    <w:t>（mg/L）</w:t>
                  </w:r>
                </w:p>
              </w:tc>
              <w:tc>
                <w:tcPr>
                  <w:tcW w:w="556" w:type="pct"/>
                  <w:vAlign w:val="center"/>
                </w:tcPr>
                <w:p>
                  <w:pPr>
                    <w:keepNext w:val="0"/>
                    <w:keepLines w:val="0"/>
                    <w:pageBreakBefore w:val="0"/>
                    <w:kinsoku/>
                    <w:wordWrap/>
                    <w:overflowPunct/>
                    <w:topLinePunct w:val="0"/>
                    <w:autoSpaceDE/>
                    <w:autoSpaceDN/>
                    <w:bidi w:val="0"/>
                    <w:adjustRightInd/>
                    <w:snapToGrid/>
                    <w:spacing w:line="320" w:lineRule="exact"/>
                    <w:ind w:right="0" w:rightChars="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350</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eastAsia" w:cs="Times New Roman"/>
                      <w:color w:val="auto"/>
                      <w:sz w:val="18"/>
                      <w:szCs w:val="18"/>
                      <w:highlight w:val="none"/>
                      <w:lang w:val="en-US" w:eastAsia="zh-CN"/>
                    </w:rPr>
                    <w:t>240</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eastAsia" w:cs="Times New Roman"/>
                      <w:color w:val="auto"/>
                      <w:sz w:val="18"/>
                      <w:szCs w:val="18"/>
                      <w:highlight w:val="none"/>
                      <w:lang w:val="en-US" w:eastAsia="zh-CN"/>
                    </w:rPr>
                    <w:t>35</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eastAsia" w:ascii="Times New Roman" w:hAnsi="Times New Roman" w:eastAsia="宋体" w:cs="Times New Roman"/>
                      <w:b w:val="0"/>
                      <w:bCs/>
                      <w:color w:val="auto"/>
                      <w:kern w:val="0"/>
                      <w:sz w:val="18"/>
                      <w:szCs w:val="18"/>
                      <w:highlight w:val="none"/>
                      <w:u w:val="none"/>
                      <w:lang w:val="en-US" w:eastAsia="zh-CN" w:bidi="ar-SA"/>
                    </w:rPr>
                  </w:pPr>
                  <w:r>
                    <w:rPr>
                      <w:rFonts w:hint="eastAsia" w:cs="Times New Roman"/>
                      <w:b w:val="0"/>
                      <w:bCs/>
                      <w:color w:val="auto"/>
                      <w:sz w:val="18"/>
                      <w:szCs w:val="18"/>
                      <w:highlight w:val="none"/>
                      <w:u w:val="none"/>
                      <w:lang w:val="en-US" w:eastAsia="zh-CN"/>
                    </w:rPr>
                    <w:t>55</w:t>
                  </w:r>
                </w:p>
              </w:tc>
              <w:tc>
                <w:tcPr>
                  <w:tcW w:w="564"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eastAsia" w:ascii="Times New Roman" w:hAnsi="Times New Roman" w:eastAsia="宋体" w:cs="Times New Roman"/>
                      <w:b w:val="0"/>
                      <w:bCs/>
                      <w:color w:val="auto"/>
                      <w:kern w:val="0"/>
                      <w:sz w:val="18"/>
                      <w:szCs w:val="18"/>
                      <w:highlight w:val="none"/>
                      <w:u w:val="none"/>
                      <w:lang w:val="en-US" w:eastAsia="zh-CN" w:bidi="ar-SA"/>
                    </w:rPr>
                  </w:pPr>
                  <w:r>
                    <w:rPr>
                      <w:rFonts w:hint="eastAsia" w:cs="Times New Roman"/>
                      <w:b w:val="0"/>
                      <w:bCs/>
                      <w:color w:val="auto"/>
                      <w:sz w:val="18"/>
                      <w:szCs w:val="18"/>
                      <w:highlight w:val="none"/>
                      <w:u w:val="none"/>
                      <w:lang w:val="en-US" w:eastAsia="zh-CN"/>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0" w:type="pct"/>
                  <w:gridSpan w:val="3"/>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eastAsia" w:cs="Times New Roman"/>
                      <w:color w:val="auto"/>
                      <w:sz w:val="18"/>
                      <w:szCs w:val="18"/>
                      <w:highlight w:val="none"/>
                      <w:lang w:val="en-US" w:eastAsia="zh-CN"/>
                    </w:rPr>
                    <w:t>凤泉区污水处理厂</w:t>
                  </w:r>
                  <w:r>
                    <w:rPr>
                      <w:rFonts w:hint="default" w:ascii="Times New Roman" w:hAnsi="Times New Roman" w:eastAsia="宋体" w:cs="Times New Roman"/>
                      <w:color w:val="auto"/>
                      <w:sz w:val="18"/>
                      <w:szCs w:val="18"/>
                      <w:highlight w:val="none"/>
                    </w:rPr>
                    <w:t>厂出水水质（mg/L）</w:t>
                  </w:r>
                </w:p>
              </w:tc>
              <w:tc>
                <w:tcPr>
                  <w:tcW w:w="556" w:type="pct"/>
                  <w:vAlign w:val="center"/>
                </w:tcPr>
                <w:p>
                  <w:pPr>
                    <w:keepNext w:val="0"/>
                    <w:keepLines w:val="0"/>
                    <w:pageBreakBefore w:val="0"/>
                    <w:kinsoku/>
                    <w:wordWrap/>
                    <w:overflowPunct/>
                    <w:topLinePunct w:val="0"/>
                    <w:autoSpaceDE/>
                    <w:autoSpaceDN/>
                    <w:bidi w:val="0"/>
                    <w:adjustRightInd/>
                    <w:snapToGrid/>
                    <w:spacing w:line="320" w:lineRule="exact"/>
                    <w:ind w:right="0" w:rightChars="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40</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eastAsia" w:cs="Times New Roman"/>
                      <w:color w:val="auto"/>
                      <w:sz w:val="18"/>
                      <w:szCs w:val="18"/>
                      <w:highlight w:val="none"/>
                      <w:lang w:val="en-US" w:eastAsia="zh-CN"/>
                    </w:rPr>
                    <w:t>10</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eastAsia" w:cs="Times New Roman"/>
                      <w:color w:val="auto"/>
                      <w:sz w:val="18"/>
                      <w:szCs w:val="18"/>
                      <w:highlight w:val="none"/>
                      <w:lang w:val="en-US" w:eastAsia="zh-CN"/>
                    </w:rPr>
                    <w:t>2</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eastAsia" w:ascii="Times New Roman" w:hAnsi="Times New Roman" w:eastAsia="宋体" w:cs="Times New Roman"/>
                      <w:b w:val="0"/>
                      <w:bCs/>
                      <w:color w:val="auto"/>
                      <w:kern w:val="0"/>
                      <w:sz w:val="18"/>
                      <w:szCs w:val="18"/>
                      <w:highlight w:val="none"/>
                      <w:u w:val="none"/>
                      <w:lang w:val="en-US" w:eastAsia="zh-CN" w:bidi="ar-SA"/>
                    </w:rPr>
                  </w:pPr>
                  <w:r>
                    <w:rPr>
                      <w:rFonts w:hint="eastAsia" w:cs="Times New Roman"/>
                      <w:b w:val="0"/>
                      <w:bCs/>
                      <w:color w:val="auto"/>
                      <w:sz w:val="18"/>
                      <w:szCs w:val="18"/>
                      <w:highlight w:val="none"/>
                      <w:u w:val="none"/>
                      <w:lang w:val="en-US" w:eastAsia="zh-CN"/>
                    </w:rPr>
                    <w:t>15</w:t>
                  </w:r>
                </w:p>
              </w:tc>
              <w:tc>
                <w:tcPr>
                  <w:tcW w:w="564"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eastAsia" w:ascii="Times New Roman" w:hAnsi="Times New Roman" w:eastAsia="宋体" w:cs="Times New Roman"/>
                      <w:b w:val="0"/>
                      <w:bCs/>
                      <w:color w:val="auto"/>
                      <w:kern w:val="0"/>
                      <w:sz w:val="18"/>
                      <w:szCs w:val="18"/>
                      <w:highlight w:val="none"/>
                      <w:u w:val="none"/>
                      <w:lang w:val="en-US" w:eastAsia="zh-CN" w:bidi="ar-SA"/>
                    </w:rPr>
                  </w:pPr>
                  <w:r>
                    <w:rPr>
                      <w:rFonts w:hint="eastAsia" w:cs="Times New Roman"/>
                      <w:b w:val="0"/>
                      <w:bCs/>
                      <w:color w:val="auto"/>
                      <w:sz w:val="18"/>
                      <w:szCs w:val="18"/>
                      <w:highlight w:val="none"/>
                      <w:u w:val="none"/>
                      <w:lang w:val="en-US" w:eastAsia="zh-CN"/>
                    </w:rPr>
                    <w:t>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0" w:type="pct"/>
                  <w:gridSpan w:val="3"/>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eastAsia" w:cs="Times New Roman"/>
                      <w:color w:val="auto"/>
                      <w:sz w:val="18"/>
                      <w:szCs w:val="18"/>
                      <w:highlight w:val="none"/>
                      <w:lang w:val="en-US" w:eastAsia="zh-CN"/>
                    </w:rPr>
                    <w:t>凤泉区污水处理厂处理后污染物排放量（t/a）</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 xml:space="preserve">0.0115 </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 xml:space="preserve">0.0029 </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 xml:space="preserve">0.0006 </w:t>
                  </w:r>
                </w:p>
              </w:tc>
              <w:tc>
                <w:tcPr>
                  <w:tcW w:w="556"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 xml:space="preserve">0.0043 </w:t>
                  </w:r>
                </w:p>
              </w:tc>
              <w:tc>
                <w:tcPr>
                  <w:tcW w:w="564" w:type="pct"/>
                  <w:vAlign w:val="center"/>
                </w:tcPr>
                <w:p>
                  <w:pPr>
                    <w:pStyle w:val="19"/>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 xml:space="preserve">0.0001 </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eastAsia"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由上表可知，</w:t>
            </w:r>
            <w:r>
              <w:rPr>
                <w:rFonts w:hint="eastAsia" w:cs="Times New Roman"/>
                <w:bCs/>
                <w:color w:val="auto"/>
                <w:kern w:val="0"/>
                <w:sz w:val="21"/>
                <w:szCs w:val="21"/>
                <w:highlight w:val="none"/>
                <w:lang w:val="en-US" w:eastAsia="zh-CN"/>
              </w:rPr>
              <w:t>项目生活污水排放</w:t>
            </w:r>
            <w:r>
              <w:rPr>
                <w:rFonts w:hint="default" w:ascii="Times New Roman" w:hAnsi="Times New Roman" w:cs="Times New Roman"/>
                <w:bCs/>
                <w:color w:val="auto"/>
                <w:kern w:val="0"/>
                <w:sz w:val="21"/>
                <w:szCs w:val="21"/>
                <w:highlight w:val="none"/>
                <w:lang w:val="en-US" w:eastAsia="zh-CN"/>
              </w:rPr>
              <w:t>能够满足《电池工业污染物排放标准》（GB30848-2013）表2间接排放标准要求（COD</w:t>
            </w:r>
            <w:r>
              <w:rPr>
                <w:rFonts w:hint="eastAsia" w:cs="Times New Roman"/>
                <w:bCs/>
                <w:color w:val="auto"/>
                <w:kern w:val="0"/>
                <w:sz w:val="21"/>
                <w:szCs w:val="21"/>
                <w:highlight w:val="none"/>
                <w:lang w:val="en-US" w:eastAsia="zh-CN"/>
              </w:rPr>
              <w:t>150</w:t>
            </w:r>
            <w:r>
              <w:rPr>
                <w:rFonts w:hint="default" w:ascii="Times New Roman" w:hAnsi="Times New Roman" w:cs="Times New Roman"/>
                <w:bCs/>
                <w:color w:val="auto"/>
                <w:kern w:val="0"/>
                <w:sz w:val="21"/>
                <w:szCs w:val="21"/>
                <w:highlight w:val="none"/>
                <w:lang w:val="en-US" w:eastAsia="zh-CN"/>
              </w:rPr>
              <w:t>mg/L、SS</w:t>
            </w:r>
            <w:r>
              <w:rPr>
                <w:rFonts w:hint="eastAsia" w:cs="Times New Roman"/>
                <w:bCs/>
                <w:color w:val="auto"/>
                <w:kern w:val="0"/>
                <w:sz w:val="21"/>
                <w:szCs w:val="21"/>
                <w:highlight w:val="none"/>
                <w:lang w:val="en-US" w:eastAsia="zh-CN"/>
              </w:rPr>
              <w:t>140</w:t>
            </w:r>
            <w:r>
              <w:rPr>
                <w:rFonts w:hint="default" w:ascii="Times New Roman" w:hAnsi="Times New Roman" w:cs="Times New Roman"/>
                <w:bCs/>
                <w:color w:val="auto"/>
                <w:kern w:val="0"/>
                <w:sz w:val="21"/>
                <w:szCs w:val="21"/>
                <w:highlight w:val="none"/>
                <w:lang w:val="en-US" w:eastAsia="zh-CN"/>
              </w:rPr>
              <w:t>mg/L</w:t>
            </w:r>
            <w:r>
              <w:rPr>
                <w:rFonts w:hint="eastAsia" w:cs="Times New Roman"/>
                <w:bCs/>
                <w:color w:val="auto"/>
                <w:kern w:val="0"/>
                <w:sz w:val="21"/>
                <w:szCs w:val="21"/>
                <w:highlight w:val="none"/>
                <w:lang w:val="en-US" w:eastAsia="zh-CN"/>
              </w:rPr>
              <w:t>、NH</w:t>
            </w:r>
            <w:r>
              <w:rPr>
                <w:rFonts w:hint="eastAsia" w:cs="Times New Roman"/>
                <w:bCs/>
                <w:color w:val="auto"/>
                <w:kern w:val="0"/>
                <w:sz w:val="21"/>
                <w:szCs w:val="21"/>
                <w:highlight w:val="none"/>
                <w:vertAlign w:val="subscript"/>
                <w:lang w:val="en-US" w:eastAsia="zh-CN"/>
              </w:rPr>
              <w:t>3</w:t>
            </w:r>
            <w:r>
              <w:rPr>
                <w:rFonts w:hint="eastAsia" w:cs="Times New Roman"/>
                <w:bCs/>
                <w:color w:val="auto"/>
                <w:kern w:val="0"/>
                <w:sz w:val="21"/>
                <w:szCs w:val="21"/>
                <w:highlight w:val="none"/>
                <w:lang w:val="en-US" w:eastAsia="zh-CN"/>
              </w:rPr>
              <w:t>-N30mg/L、TP2.0mg/L、TN40mg/L</w:t>
            </w:r>
            <w:r>
              <w:rPr>
                <w:rFonts w:hint="default" w:ascii="Times New Roman" w:hAnsi="Times New Roman" w:cs="Times New Roman"/>
                <w:bCs/>
                <w:color w:val="auto"/>
                <w:kern w:val="0"/>
                <w:sz w:val="21"/>
                <w:szCs w:val="21"/>
                <w:highlight w:val="none"/>
                <w:lang w:val="en-US" w:eastAsia="zh-CN"/>
              </w:rPr>
              <w:t>）</w:t>
            </w:r>
            <w:r>
              <w:rPr>
                <w:rFonts w:hint="eastAsia" w:cs="Times New Roman"/>
                <w:bCs/>
                <w:color w:val="auto"/>
                <w:kern w:val="0"/>
                <w:sz w:val="21"/>
                <w:szCs w:val="21"/>
                <w:highlight w:val="none"/>
                <w:lang w:val="en-US" w:eastAsia="zh-CN"/>
              </w:rPr>
              <w:t>以及新乡市凤泉区</w:t>
            </w:r>
            <w:r>
              <w:rPr>
                <w:rFonts w:hint="default" w:ascii="Times New Roman" w:hAnsi="Times New Roman" w:cs="Times New Roman"/>
                <w:bCs/>
                <w:color w:val="auto"/>
                <w:kern w:val="0"/>
                <w:sz w:val="21"/>
                <w:szCs w:val="21"/>
                <w:highlight w:val="none"/>
                <w:lang w:val="en-US" w:eastAsia="zh-CN"/>
              </w:rPr>
              <w:t>污水处理厂收水标准要求（</w:t>
            </w:r>
            <w:r>
              <w:rPr>
                <w:rFonts w:hint="eastAsia" w:ascii="Times New Roman" w:hAnsi="Times New Roman" w:eastAsia="宋体" w:cs="Times New Roman"/>
                <w:color w:val="auto"/>
                <w:kern w:val="2"/>
                <w:sz w:val="21"/>
                <w:szCs w:val="21"/>
                <w:highlight w:val="none"/>
                <w:lang w:val="en-US" w:eastAsia="zh-CN" w:bidi="ar-SA"/>
              </w:rPr>
              <w:t>COD350mg/L、SS</w:t>
            </w:r>
            <w:r>
              <w:rPr>
                <w:rFonts w:hint="eastAsia" w:cs="Times New Roman"/>
                <w:color w:val="auto"/>
                <w:kern w:val="2"/>
                <w:sz w:val="21"/>
                <w:szCs w:val="21"/>
                <w:highlight w:val="none"/>
                <w:lang w:val="en-US" w:eastAsia="zh-CN" w:bidi="ar-SA"/>
              </w:rPr>
              <w:t>24</w:t>
            </w:r>
            <w:r>
              <w:rPr>
                <w:rFonts w:hint="eastAsia" w:ascii="Times New Roman" w:hAnsi="Times New Roman" w:eastAsia="宋体" w:cs="Times New Roman"/>
                <w:color w:val="auto"/>
                <w:kern w:val="2"/>
                <w:sz w:val="21"/>
                <w:szCs w:val="21"/>
                <w:highlight w:val="none"/>
                <w:lang w:val="en-US" w:eastAsia="zh-CN" w:bidi="ar-SA"/>
              </w:rPr>
              <w:t>0mg/L、NH</w:t>
            </w:r>
            <w:r>
              <w:rPr>
                <w:rFonts w:hint="eastAsia" w:ascii="Times New Roman" w:hAnsi="Times New Roman" w:eastAsia="宋体" w:cs="Times New Roman"/>
                <w:color w:val="auto"/>
                <w:kern w:val="2"/>
                <w:sz w:val="21"/>
                <w:szCs w:val="21"/>
                <w:highlight w:val="none"/>
                <w:vertAlign w:val="subscript"/>
                <w:lang w:val="en-US" w:eastAsia="zh-CN" w:bidi="ar-SA"/>
              </w:rPr>
              <w:t>3</w:t>
            </w:r>
            <w:r>
              <w:rPr>
                <w:rFonts w:hint="eastAsia" w:ascii="Times New Roman" w:hAnsi="Times New Roman" w:eastAsia="宋体" w:cs="Times New Roman"/>
                <w:color w:val="auto"/>
                <w:kern w:val="2"/>
                <w:sz w:val="21"/>
                <w:szCs w:val="21"/>
                <w:highlight w:val="none"/>
                <w:lang w:val="en-US" w:eastAsia="zh-CN" w:bidi="ar-SA"/>
              </w:rPr>
              <w:t>-N35mg/L、TP4mg/L、TN</w:t>
            </w:r>
            <w:r>
              <w:rPr>
                <w:rFonts w:hint="eastAsia" w:cs="Times New Roman"/>
                <w:color w:val="auto"/>
                <w:kern w:val="2"/>
                <w:sz w:val="21"/>
                <w:szCs w:val="21"/>
                <w:highlight w:val="none"/>
                <w:lang w:val="en-US" w:eastAsia="zh-CN" w:bidi="ar-SA"/>
              </w:rPr>
              <w:t>55</w:t>
            </w:r>
            <w:r>
              <w:rPr>
                <w:rFonts w:hint="eastAsia" w:ascii="Times New Roman" w:hAnsi="Times New Roman" w:eastAsia="宋体" w:cs="Times New Roman"/>
                <w:color w:val="auto"/>
                <w:kern w:val="2"/>
                <w:sz w:val="21"/>
                <w:szCs w:val="21"/>
                <w:highlight w:val="none"/>
                <w:lang w:val="en-US" w:eastAsia="zh-CN" w:bidi="ar-SA"/>
              </w:rPr>
              <w:t>mg/L</w:t>
            </w:r>
            <w:r>
              <w:rPr>
                <w:rFonts w:hint="default" w:ascii="Times New Roman" w:hAnsi="Times New Roman" w:cs="Times New Roman"/>
                <w:bCs/>
                <w:color w:val="auto"/>
                <w:kern w:val="0"/>
                <w:sz w:val="21"/>
                <w:szCs w:val="21"/>
                <w:highlight w:val="none"/>
                <w:lang w:val="en-US" w:eastAsia="zh-CN"/>
              </w:rPr>
              <w:t>）</w:t>
            </w:r>
            <w:r>
              <w:rPr>
                <w:rFonts w:hint="eastAsia" w:cs="Times New Roman"/>
                <w:bCs/>
                <w:color w:val="auto"/>
                <w:kern w:val="0"/>
                <w:sz w:val="21"/>
                <w:szCs w:val="21"/>
                <w:highlight w:val="none"/>
                <w:lang w:val="en-US" w:eastAsia="zh-CN"/>
              </w:rPr>
              <w:t>和小尚庄凤泉区</w:t>
            </w:r>
            <w:r>
              <w:rPr>
                <w:rFonts w:hint="default" w:ascii="Times New Roman" w:hAnsi="Times New Roman" w:cs="Times New Roman"/>
                <w:bCs/>
                <w:color w:val="auto"/>
                <w:kern w:val="0"/>
                <w:sz w:val="21"/>
                <w:szCs w:val="21"/>
                <w:highlight w:val="none"/>
                <w:lang w:val="en-US" w:eastAsia="zh-CN"/>
              </w:rPr>
              <w:t>污水处理厂收水标准要求（</w:t>
            </w:r>
            <w:r>
              <w:rPr>
                <w:rFonts w:hint="eastAsia" w:ascii="Times New Roman" w:hAnsi="Times New Roman" w:eastAsia="宋体" w:cs="Times New Roman"/>
                <w:color w:val="auto"/>
                <w:kern w:val="2"/>
                <w:sz w:val="21"/>
                <w:szCs w:val="21"/>
                <w:highlight w:val="none"/>
                <w:lang w:val="en-US" w:eastAsia="zh-CN" w:bidi="ar-SA"/>
              </w:rPr>
              <w:t>COD350mg/L、SS</w:t>
            </w:r>
            <w:r>
              <w:rPr>
                <w:rFonts w:hint="eastAsia" w:cs="Times New Roman"/>
                <w:color w:val="auto"/>
                <w:kern w:val="2"/>
                <w:sz w:val="21"/>
                <w:szCs w:val="21"/>
                <w:highlight w:val="none"/>
                <w:lang w:val="en-US" w:eastAsia="zh-CN" w:bidi="ar-SA"/>
              </w:rPr>
              <w:t>25</w:t>
            </w:r>
            <w:r>
              <w:rPr>
                <w:rFonts w:hint="eastAsia" w:ascii="Times New Roman" w:hAnsi="Times New Roman" w:eastAsia="宋体" w:cs="Times New Roman"/>
                <w:color w:val="auto"/>
                <w:kern w:val="2"/>
                <w:sz w:val="21"/>
                <w:szCs w:val="21"/>
                <w:highlight w:val="none"/>
                <w:lang w:val="en-US" w:eastAsia="zh-CN" w:bidi="ar-SA"/>
              </w:rPr>
              <w:t>0mg/L、NH</w:t>
            </w:r>
            <w:r>
              <w:rPr>
                <w:rFonts w:hint="eastAsia" w:ascii="Times New Roman" w:hAnsi="Times New Roman" w:eastAsia="宋体" w:cs="Times New Roman"/>
                <w:color w:val="auto"/>
                <w:kern w:val="2"/>
                <w:sz w:val="21"/>
                <w:szCs w:val="21"/>
                <w:highlight w:val="none"/>
                <w:vertAlign w:val="subscript"/>
                <w:lang w:val="en-US" w:eastAsia="zh-CN" w:bidi="ar-SA"/>
              </w:rPr>
              <w:t>3</w:t>
            </w:r>
            <w:r>
              <w:rPr>
                <w:rFonts w:hint="eastAsia" w:ascii="Times New Roman" w:hAnsi="Times New Roman" w:eastAsia="宋体" w:cs="Times New Roman"/>
                <w:color w:val="auto"/>
                <w:kern w:val="2"/>
                <w:sz w:val="21"/>
                <w:szCs w:val="21"/>
                <w:highlight w:val="none"/>
                <w:lang w:val="en-US" w:eastAsia="zh-CN" w:bidi="ar-SA"/>
              </w:rPr>
              <w:t>-N</w:t>
            </w:r>
            <w:r>
              <w:rPr>
                <w:rFonts w:hint="eastAsia" w:cs="Times New Roman"/>
                <w:color w:val="auto"/>
                <w:kern w:val="2"/>
                <w:sz w:val="21"/>
                <w:szCs w:val="21"/>
                <w:highlight w:val="none"/>
                <w:lang w:val="en-US" w:eastAsia="zh-CN" w:bidi="ar-SA"/>
              </w:rPr>
              <w:t>30</w:t>
            </w:r>
            <w:r>
              <w:rPr>
                <w:rFonts w:hint="eastAsia" w:ascii="Times New Roman" w:hAnsi="Times New Roman" w:eastAsia="宋体" w:cs="Times New Roman"/>
                <w:color w:val="auto"/>
                <w:kern w:val="2"/>
                <w:sz w:val="21"/>
                <w:szCs w:val="21"/>
                <w:highlight w:val="none"/>
                <w:lang w:val="en-US" w:eastAsia="zh-CN" w:bidi="ar-SA"/>
              </w:rPr>
              <w:t>mg/L、TP</w:t>
            </w:r>
            <w:r>
              <w:rPr>
                <w:rFonts w:hint="eastAsia" w:cs="Times New Roman"/>
                <w:color w:val="auto"/>
                <w:kern w:val="2"/>
                <w:sz w:val="21"/>
                <w:szCs w:val="21"/>
                <w:highlight w:val="none"/>
                <w:lang w:val="en-US" w:eastAsia="zh-CN" w:bidi="ar-SA"/>
              </w:rPr>
              <w:t>3</w:t>
            </w:r>
            <w:r>
              <w:rPr>
                <w:rFonts w:hint="eastAsia" w:ascii="Times New Roman" w:hAnsi="Times New Roman" w:eastAsia="宋体" w:cs="Times New Roman"/>
                <w:color w:val="auto"/>
                <w:kern w:val="2"/>
                <w:sz w:val="21"/>
                <w:szCs w:val="21"/>
                <w:highlight w:val="none"/>
                <w:lang w:val="en-US" w:eastAsia="zh-CN" w:bidi="ar-SA"/>
              </w:rPr>
              <w:t>mg/L、TN</w:t>
            </w:r>
            <w:r>
              <w:rPr>
                <w:rFonts w:hint="eastAsia" w:cs="Times New Roman"/>
                <w:color w:val="auto"/>
                <w:kern w:val="2"/>
                <w:sz w:val="21"/>
                <w:szCs w:val="21"/>
                <w:highlight w:val="none"/>
                <w:lang w:val="en-US" w:eastAsia="zh-CN" w:bidi="ar-SA"/>
              </w:rPr>
              <w:t>40</w:t>
            </w:r>
            <w:r>
              <w:rPr>
                <w:rFonts w:hint="eastAsia" w:ascii="Times New Roman" w:hAnsi="Times New Roman" w:eastAsia="宋体" w:cs="Times New Roman"/>
                <w:color w:val="auto"/>
                <w:kern w:val="2"/>
                <w:sz w:val="21"/>
                <w:szCs w:val="21"/>
                <w:highlight w:val="none"/>
                <w:lang w:val="en-US" w:eastAsia="zh-CN" w:bidi="ar-SA"/>
              </w:rPr>
              <w:t>mg/L</w:t>
            </w:r>
            <w:r>
              <w:rPr>
                <w:rFonts w:hint="default" w:ascii="Times New Roman" w:hAnsi="Times New Roman" w:cs="Times New Roman"/>
                <w:bCs/>
                <w:color w:val="auto"/>
                <w:kern w:val="0"/>
                <w:sz w:val="21"/>
                <w:szCs w:val="21"/>
                <w:highlight w:val="none"/>
                <w:lang w:val="en-US" w:eastAsia="zh-CN"/>
              </w:rPr>
              <w:t>）</w:t>
            </w:r>
            <w:r>
              <w:rPr>
                <w:rFonts w:hint="eastAsia" w:cs="Times New Roman"/>
                <w:bCs/>
                <w:color w:val="auto"/>
                <w:kern w:val="0"/>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eastAsia"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目前项目废水经处理后均排入新乡市小尚庄污水处理厂处理，最终排入卫河。新乡市小尚庄污水处理厂出水水质COD、NH</w:t>
            </w:r>
            <w:r>
              <w:rPr>
                <w:rFonts w:hint="eastAsia" w:cs="Times New Roman"/>
                <w:bCs/>
                <w:color w:val="auto"/>
                <w:kern w:val="0"/>
                <w:sz w:val="21"/>
                <w:szCs w:val="21"/>
                <w:highlight w:val="none"/>
                <w:vertAlign w:val="subscript"/>
                <w:lang w:val="en-US" w:eastAsia="zh-CN"/>
              </w:rPr>
              <w:t>3</w:t>
            </w:r>
            <w:r>
              <w:rPr>
                <w:rFonts w:hint="eastAsia" w:cs="Times New Roman"/>
                <w:bCs/>
                <w:color w:val="auto"/>
                <w:kern w:val="0"/>
                <w:sz w:val="21"/>
                <w:szCs w:val="21"/>
                <w:highlight w:val="none"/>
                <w:lang w:val="en-US" w:eastAsia="zh-CN"/>
              </w:rPr>
              <w:t>-N、TP能够满足《地表水环境质量标准》（GB3838-2002）V类标准要求（COD 40mg/L、氨氮2mg/L、总磷0.4mg/L），</w:t>
            </w:r>
            <w:r>
              <w:rPr>
                <w:rFonts w:hint="eastAsia" w:cs="Times New Roman"/>
                <w:color w:val="auto"/>
                <w:kern w:val="2"/>
                <w:sz w:val="21"/>
                <w:szCs w:val="21"/>
                <w:highlight w:val="none"/>
                <w:lang w:val="en-US" w:eastAsia="zh-CN" w:bidi="ar-SA"/>
              </w:rPr>
              <w:t>SS、</w:t>
            </w:r>
            <w:r>
              <w:rPr>
                <w:rFonts w:hint="eastAsia" w:cs="Times New Roman"/>
                <w:bCs/>
                <w:color w:val="auto"/>
                <w:kern w:val="0"/>
                <w:sz w:val="21"/>
                <w:szCs w:val="21"/>
                <w:highlight w:val="none"/>
                <w:lang w:val="en-US" w:eastAsia="zh-CN"/>
              </w:rPr>
              <w:t>TN能够满足《城镇污水处理厂污染物排放标准》（GB18918-2002）表1一级A标准（</w:t>
            </w:r>
            <w:r>
              <w:rPr>
                <w:rFonts w:hint="eastAsia" w:cs="Times New Roman"/>
                <w:color w:val="auto"/>
                <w:kern w:val="2"/>
                <w:sz w:val="21"/>
                <w:szCs w:val="21"/>
                <w:highlight w:val="none"/>
                <w:lang w:val="en-US" w:eastAsia="zh-CN" w:bidi="ar-SA"/>
              </w:rPr>
              <w:t>SS10mg/L、</w:t>
            </w:r>
            <w:r>
              <w:rPr>
                <w:rFonts w:hint="eastAsia" w:cs="Times New Roman"/>
                <w:bCs/>
                <w:color w:val="auto"/>
                <w:kern w:val="0"/>
                <w:sz w:val="21"/>
                <w:szCs w:val="21"/>
                <w:highlight w:val="none"/>
                <w:lang w:val="en-US" w:eastAsia="zh-CN"/>
              </w:rPr>
              <w:t>总氮15mg/L）。</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远期待所在区域规划的新乡市凤泉区污水处理厂建成后</w:t>
            </w:r>
            <w:r>
              <w:rPr>
                <w:rFonts w:hint="default" w:ascii="Times New Roman" w:hAnsi="Times New Roman" w:cs="Times New Roman"/>
                <w:bCs/>
                <w:color w:val="auto"/>
                <w:kern w:val="0"/>
                <w:sz w:val="21"/>
                <w:szCs w:val="21"/>
                <w:highlight w:val="none"/>
                <w:lang w:val="en-US" w:eastAsia="zh-CN"/>
              </w:rPr>
              <w:t>，</w:t>
            </w:r>
            <w:r>
              <w:rPr>
                <w:rFonts w:hint="eastAsia" w:ascii="Times New Roman" w:hAnsi="Times New Roman" w:cs="Times New Roman"/>
                <w:bCs/>
                <w:color w:val="auto"/>
                <w:kern w:val="0"/>
                <w:sz w:val="21"/>
                <w:szCs w:val="21"/>
                <w:highlight w:val="none"/>
                <w:lang w:val="en-US" w:eastAsia="zh-CN"/>
              </w:rPr>
              <w:t>则</w:t>
            </w:r>
            <w:r>
              <w:rPr>
                <w:rFonts w:hint="default" w:ascii="Times New Roman" w:hAnsi="Times New Roman" w:cs="Times New Roman"/>
                <w:bCs/>
                <w:color w:val="auto"/>
                <w:kern w:val="0"/>
                <w:sz w:val="21"/>
                <w:szCs w:val="21"/>
                <w:highlight w:val="none"/>
                <w:lang w:val="en-US" w:eastAsia="zh-CN"/>
              </w:rPr>
              <w:t>通过区域污水管网排入</w:t>
            </w:r>
            <w:r>
              <w:rPr>
                <w:rFonts w:hint="eastAsia" w:cs="Times New Roman"/>
                <w:bCs/>
                <w:color w:val="auto"/>
                <w:kern w:val="0"/>
                <w:sz w:val="21"/>
                <w:szCs w:val="21"/>
                <w:highlight w:val="none"/>
                <w:lang w:val="en-US" w:eastAsia="zh-CN"/>
              </w:rPr>
              <w:t>新乡市凤泉区污水处理厂</w:t>
            </w:r>
            <w:r>
              <w:rPr>
                <w:rFonts w:hint="default" w:ascii="Times New Roman" w:hAnsi="Times New Roman" w:cs="Times New Roman"/>
                <w:bCs/>
                <w:color w:val="auto"/>
                <w:kern w:val="0"/>
                <w:sz w:val="21"/>
                <w:szCs w:val="21"/>
                <w:highlight w:val="none"/>
                <w:lang w:val="en-US" w:eastAsia="zh-CN"/>
              </w:rPr>
              <w:t>进一步处理</w:t>
            </w:r>
            <w:r>
              <w:rPr>
                <w:rFonts w:hint="eastAsia" w:ascii="Times New Roman" w:hAnsi="Times New Roman" w:cs="Times New Roman"/>
                <w:bCs/>
                <w:color w:val="auto"/>
                <w:kern w:val="0"/>
                <w:sz w:val="21"/>
                <w:szCs w:val="21"/>
                <w:highlight w:val="none"/>
                <w:lang w:val="en-US" w:eastAsia="zh-CN"/>
              </w:rPr>
              <w:t>后，</w:t>
            </w:r>
            <w:r>
              <w:rPr>
                <w:rFonts w:hint="default" w:ascii="Times New Roman" w:hAnsi="Times New Roman" w:cs="Times New Roman"/>
                <w:color w:val="auto"/>
                <w:sz w:val="21"/>
                <w:szCs w:val="21"/>
                <w:highlight w:val="none"/>
                <w:lang w:eastAsia="zh-CN"/>
              </w:rPr>
              <w:t>经民生渠排入共产主义渠</w:t>
            </w:r>
            <w:r>
              <w:rPr>
                <w:rFonts w:hint="default" w:ascii="Times New Roman" w:hAnsi="Times New Roman" w:cs="Times New Roman"/>
                <w:bCs/>
                <w:color w:val="auto"/>
                <w:kern w:val="0"/>
                <w:sz w:val="21"/>
                <w:szCs w:val="21"/>
                <w:highlight w:val="none"/>
                <w:lang w:val="en-US" w:eastAsia="zh-CN"/>
              </w:rPr>
              <w:t>，</w:t>
            </w:r>
            <w:r>
              <w:rPr>
                <w:rFonts w:hint="eastAsia" w:cs="Times New Roman"/>
                <w:bCs/>
                <w:color w:val="auto"/>
                <w:kern w:val="0"/>
                <w:sz w:val="21"/>
                <w:szCs w:val="21"/>
                <w:highlight w:val="none"/>
                <w:lang w:val="en-US" w:eastAsia="zh-CN"/>
              </w:rPr>
              <w:t xml:space="preserve"> 新乡市凤泉区</w:t>
            </w:r>
            <w:r>
              <w:rPr>
                <w:rFonts w:hint="default" w:ascii="Times New Roman" w:hAnsi="Times New Roman" w:cs="Times New Roman"/>
                <w:bCs/>
                <w:color w:val="auto"/>
                <w:kern w:val="0"/>
                <w:sz w:val="21"/>
                <w:szCs w:val="21"/>
                <w:highlight w:val="none"/>
                <w:lang w:val="en-US" w:eastAsia="zh-CN"/>
              </w:rPr>
              <w:t>污水处理厂</w:t>
            </w:r>
            <w:r>
              <w:rPr>
                <w:rFonts w:hint="eastAsia" w:ascii="Times New Roman" w:hAnsi="Times New Roman" w:eastAsia="宋体" w:cs="Times New Roman"/>
                <w:color w:val="auto"/>
                <w:kern w:val="2"/>
                <w:sz w:val="21"/>
                <w:szCs w:val="21"/>
                <w:highlight w:val="none"/>
                <w:lang w:val="en-US" w:eastAsia="zh-CN" w:bidi="ar-SA"/>
              </w:rPr>
              <w:t>出水水质COD、NH</w:t>
            </w:r>
            <w:r>
              <w:rPr>
                <w:rFonts w:hint="eastAsia" w:ascii="Times New Roman" w:hAnsi="Times New Roman" w:eastAsia="宋体" w:cs="Times New Roman"/>
                <w:color w:val="auto"/>
                <w:kern w:val="2"/>
                <w:sz w:val="21"/>
                <w:szCs w:val="21"/>
                <w:highlight w:val="none"/>
                <w:vertAlign w:val="subscript"/>
                <w:lang w:val="en-US" w:eastAsia="zh-CN" w:bidi="ar-SA"/>
              </w:rPr>
              <w:t>3</w:t>
            </w:r>
            <w:r>
              <w:rPr>
                <w:rFonts w:hint="eastAsia" w:ascii="Times New Roman" w:hAnsi="Times New Roman" w:eastAsia="宋体" w:cs="Times New Roman"/>
                <w:color w:val="auto"/>
                <w:kern w:val="2"/>
                <w:sz w:val="21"/>
                <w:szCs w:val="21"/>
                <w:highlight w:val="none"/>
                <w:lang w:val="en-US" w:eastAsia="zh-CN" w:bidi="ar-SA"/>
              </w:rPr>
              <w:t>-N、TP指标执行《地表水环境质量标准》（GB3838-2002）V类标准</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COD</w:t>
            </w:r>
            <w:r>
              <w:rPr>
                <w:rFonts w:hint="eastAsia" w:cs="Times New Roman"/>
                <w:color w:val="auto"/>
                <w:kern w:val="2"/>
                <w:sz w:val="21"/>
                <w:szCs w:val="21"/>
                <w:highlight w:val="none"/>
                <w:lang w:val="en-US" w:eastAsia="zh-CN" w:bidi="ar-SA"/>
              </w:rPr>
              <w:t>40mg/L</w:t>
            </w:r>
            <w:r>
              <w:rPr>
                <w:rFonts w:hint="eastAsia" w:ascii="Times New Roman" w:hAnsi="Times New Roman" w:eastAsia="宋体" w:cs="Times New Roman"/>
                <w:color w:val="auto"/>
                <w:kern w:val="2"/>
                <w:sz w:val="21"/>
                <w:szCs w:val="21"/>
                <w:highlight w:val="none"/>
                <w:lang w:val="en-US" w:eastAsia="zh-CN" w:bidi="ar-SA"/>
              </w:rPr>
              <w:t>、NH</w:t>
            </w:r>
            <w:r>
              <w:rPr>
                <w:rFonts w:hint="eastAsia" w:ascii="Times New Roman" w:hAnsi="Times New Roman" w:eastAsia="宋体" w:cs="Times New Roman"/>
                <w:color w:val="auto"/>
                <w:kern w:val="2"/>
                <w:sz w:val="21"/>
                <w:szCs w:val="21"/>
                <w:highlight w:val="none"/>
                <w:vertAlign w:val="subscript"/>
                <w:lang w:val="en-US" w:eastAsia="zh-CN" w:bidi="ar-SA"/>
              </w:rPr>
              <w:t>3</w:t>
            </w:r>
            <w:r>
              <w:rPr>
                <w:rFonts w:hint="eastAsia" w:ascii="Times New Roman" w:hAnsi="Times New Roman" w:eastAsia="宋体" w:cs="Times New Roman"/>
                <w:color w:val="auto"/>
                <w:kern w:val="2"/>
                <w:sz w:val="21"/>
                <w:szCs w:val="21"/>
                <w:highlight w:val="none"/>
                <w:lang w:val="en-US" w:eastAsia="zh-CN" w:bidi="ar-SA"/>
              </w:rPr>
              <w:t>-N</w:t>
            </w:r>
            <w:r>
              <w:rPr>
                <w:rFonts w:hint="eastAsia" w:cs="Times New Roman"/>
                <w:color w:val="auto"/>
                <w:kern w:val="2"/>
                <w:sz w:val="21"/>
                <w:szCs w:val="21"/>
                <w:highlight w:val="none"/>
                <w:lang w:val="en-US" w:eastAsia="zh-CN" w:bidi="ar-SA"/>
              </w:rPr>
              <w:t>2.0mg/L</w:t>
            </w:r>
            <w:r>
              <w:rPr>
                <w:rFonts w:hint="eastAsia" w:ascii="Times New Roman" w:hAnsi="Times New Roman" w:eastAsia="宋体" w:cs="Times New Roman"/>
                <w:color w:val="auto"/>
                <w:kern w:val="2"/>
                <w:sz w:val="21"/>
                <w:szCs w:val="21"/>
                <w:highlight w:val="none"/>
                <w:lang w:val="en-US" w:eastAsia="zh-CN" w:bidi="ar-SA"/>
              </w:rPr>
              <w:t>、TP</w:t>
            </w:r>
            <w:r>
              <w:rPr>
                <w:rFonts w:hint="eastAsia" w:cs="Times New Roman"/>
                <w:color w:val="auto"/>
                <w:kern w:val="2"/>
                <w:sz w:val="21"/>
                <w:szCs w:val="21"/>
                <w:highlight w:val="none"/>
                <w:lang w:val="en-US" w:eastAsia="zh-CN" w:bidi="ar-SA"/>
              </w:rPr>
              <w:t>0.4mg/L）</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SS、</w:t>
            </w:r>
            <w:r>
              <w:rPr>
                <w:rFonts w:hint="eastAsia" w:ascii="Times New Roman" w:hAnsi="Times New Roman" w:eastAsia="宋体" w:cs="Times New Roman"/>
                <w:color w:val="auto"/>
                <w:kern w:val="2"/>
                <w:sz w:val="21"/>
                <w:szCs w:val="21"/>
                <w:highlight w:val="none"/>
                <w:lang w:val="en-US" w:eastAsia="zh-CN" w:bidi="ar-SA"/>
              </w:rPr>
              <w:t>TN执行《城镇污水处理厂污染物排放标准》（GB18918-2002）表1一级A标准</w:t>
            </w:r>
            <w:r>
              <w:rPr>
                <w:rFonts w:hint="eastAsia" w:cs="Times New Roman"/>
                <w:color w:val="auto"/>
                <w:kern w:val="2"/>
                <w:sz w:val="21"/>
                <w:szCs w:val="21"/>
                <w:highlight w:val="none"/>
                <w:lang w:val="en-US" w:eastAsia="zh-CN" w:bidi="ar-SA"/>
              </w:rPr>
              <w:t>（SS10mg/L、</w:t>
            </w:r>
            <w:r>
              <w:rPr>
                <w:rFonts w:hint="eastAsia" w:ascii="Times New Roman" w:hAnsi="Times New Roman" w:eastAsia="宋体" w:cs="Times New Roman"/>
                <w:color w:val="auto"/>
                <w:kern w:val="2"/>
                <w:sz w:val="21"/>
                <w:szCs w:val="21"/>
                <w:highlight w:val="none"/>
                <w:lang w:val="en-US" w:eastAsia="zh-CN" w:bidi="ar-SA"/>
              </w:rPr>
              <w:t>TN</w:t>
            </w:r>
            <w:r>
              <w:rPr>
                <w:rFonts w:hint="eastAsia" w:cs="Times New Roman"/>
                <w:color w:val="auto"/>
                <w:kern w:val="2"/>
                <w:sz w:val="21"/>
                <w:szCs w:val="21"/>
                <w:highlight w:val="none"/>
                <w:lang w:val="en-US" w:eastAsia="zh-CN" w:bidi="ar-SA"/>
              </w:rPr>
              <w:t>15mg/L）</w:t>
            </w:r>
            <w:r>
              <w:rPr>
                <w:rFonts w:hint="default" w:ascii="Times New Roman" w:hAnsi="Times New Roman" w:cs="Times New Roman"/>
                <w:bCs/>
                <w:color w:val="auto"/>
                <w:kern w:val="0"/>
                <w:sz w:val="21"/>
                <w:szCs w:val="21"/>
                <w:highlight w:val="none"/>
                <w:shd w:val="clear"/>
                <w:lang w:val="en-US" w:eastAsia="zh-CN"/>
              </w:rPr>
              <w:t>。</w:t>
            </w:r>
          </w:p>
          <w:p>
            <w:pPr>
              <w:pStyle w:val="3"/>
              <w:keepNext w:val="0"/>
              <w:keepLines w:val="0"/>
              <w:pageBreakBefore w:val="0"/>
              <w:widowControl w:val="0"/>
              <w:numPr>
                <w:ilvl w:val="0"/>
                <w:numId w:val="0"/>
              </w:numPr>
              <w:kinsoku/>
              <w:wordWrap/>
              <w:overflowPunct/>
              <w:topLinePunct w:val="0"/>
              <w:bidi w:val="0"/>
              <w:adjustRightInd/>
              <w:snapToGrid/>
              <w:spacing w:before="0" w:after="0" w:line="360" w:lineRule="auto"/>
              <w:ind w:right="0"/>
              <w:textAlignment w:val="auto"/>
              <w:rPr>
                <w:rFonts w:hint="eastAsia" w:cs="Times New Roman"/>
                <w:b/>
                <w:bCs w:val="0"/>
                <w:color w:val="auto"/>
                <w:spacing w:val="-4"/>
                <w:sz w:val="21"/>
                <w:szCs w:val="21"/>
                <w:highlight w:val="none"/>
                <w:lang w:val="en-US" w:eastAsia="zh-CN"/>
              </w:rPr>
            </w:pPr>
            <w:r>
              <w:rPr>
                <w:rFonts w:hint="eastAsia" w:cs="Times New Roman"/>
                <w:b/>
                <w:bCs w:val="0"/>
                <w:color w:val="auto"/>
                <w:spacing w:val="-4"/>
                <w:sz w:val="21"/>
                <w:szCs w:val="21"/>
                <w:highlight w:val="none"/>
                <w:lang w:val="en-US" w:eastAsia="zh-CN"/>
              </w:rPr>
              <w:t>2.3近期废水排入新乡市小尚庄污水处理厂可行性</w:t>
            </w:r>
          </w:p>
          <w:p>
            <w:pPr>
              <w:rPr>
                <w:rFonts w:hint="default"/>
                <w:lang w:val="en-US" w:eastAsia="zh-CN"/>
              </w:rPr>
            </w:pPr>
            <w:r>
              <w:rPr>
                <w:rFonts w:hint="default"/>
                <w:lang w:val="en-US" w:eastAsia="zh-CN"/>
              </w:rPr>
              <w:t>目前该项目区域污水管网已建成，本项目废水经园区污水管网入新乡市小尚庄污水处理厂经二次处理后，排入卫河。</w:t>
            </w:r>
          </w:p>
          <w:p>
            <w:pPr>
              <w:pStyle w:val="11"/>
              <w:rPr>
                <w:rFonts w:hint="default" w:ascii="Times New Roman" w:hAnsi="Times New Roman" w:cs="Times New Roman"/>
                <w:b/>
                <w:bCs/>
                <w:lang w:val="en-US" w:eastAsia="zh-CN"/>
              </w:rPr>
            </w:pPr>
            <w:r>
              <w:rPr>
                <w:rFonts w:hint="default" w:ascii="Times New Roman" w:hAnsi="Times New Roman" w:cs="Times New Roman"/>
                <w:b/>
                <w:bCs/>
                <w:lang w:val="en-US" w:eastAsia="zh-CN"/>
              </w:rPr>
              <w:t>（1）新乡市小尚庄污水处理厂概况</w:t>
            </w:r>
          </w:p>
          <w:p>
            <w:pPr>
              <w:pStyle w:val="11"/>
              <w:rPr>
                <w:rFonts w:hint="default" w:ascii="Times New Roman" w:hAnsi="Times New Roman" w:cs="Times New Roman"/>
                <w:lang w:val="en-US" w:eastAsia="zh-CN"/>
              </w:rPr>
            </w:pPr>
            <w:r>
              <w:rPr>
                <w:rFonts w:hint="default" w:ascii="Times New Roman" w:hAnsi="Times New Roman" w:cs="Times New Roman"/>
                <w:lang w:val="en-US" w:eastAsia="zh-CN"/>
              </w:rPr>
              <w:t>新乡市小尚庄污水处理厂位于新乡市北环路、牧野路东南角，新乡市小尚庄污水处理厂设计污水处理能力25万m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/d，污水处理厂分两期建设，一期处理能力15万m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/d，二期处理能力10万m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目前一期运行正常，二期尚未建设。新乡市小尚庄污水处理厂收水范围为卫河以北市政管网污水、凤泉区市政管网污水、卫河暗涵污水、电子工业园区污水、民生渠部分污水等五部分，服务面积59平方公里，采用“粗格栅+细格栅+旋流沉砂池+A</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O+二沉池+次氯酸钠消毒”处理工艺，出水经管网最终排入卫河。新乡市小尚庄污水处理厂收水标准为COD≤350mg/L、SS≤250mg/L、NH3-N≤30mg/L、TN≤40mg/L、TP≤3.0mg/L，出水标准执行COD、氨氮、总磷满足《地表水环境质量标准》（GB 3838-2002）Ⅴ类标准（COD 40mg/L、氨氮2mg/L、总磷0.4mg/L），总氮满足《城镇污水处理厂污染物排放标准》（GB18918-2002）一级A标准要求（总氮15mg/L）。</w:t>
            </w:r>
          </w:p>
          <w:p>
            <w:pPr>
              <w:pStyle w:val="11"/>
              <w:numPr>
                <w:ilvl w:val="0"/>
                <w:numId w:val="0"/>
              </w:numPr>
              <w:ind w:leftChars="200"/>
              <w:rPr>
                <w:rFonts w:hint="default" w:ascii="Times New Roman" w:hAnsi="Times New Roman" w:cs="Times New Roman"/>
                <w:b/>
                <w:bCs/>
                <w:lang w:val="en-US" w:eastAsia="zh-CN"/>
              </w:rPr>
            </w:pPr>
            <w:r>
              <w:rPr>
                <w:rFonts w:hint="default" w:ascii="Times New Roman" w:hAnsi="Times New Roman" w:cs="Times New Roman"/>
                <w:b/>
                <w:bCs/>
                <w:lang w:val="en-US" w:eastAsia="zh-CN"/>
              </w:rPr>
              <w:t>（2）收水</w:t>
            </w:r>
            <w:r>
              <w:rPr>
                <w:rFonts w:hint="eastAsia" w:ascii="Times New Roman" w:hAnsi="Times New Roman" w:cs="Times New Roman"/>
                <w:b/>
                <w:bCs/>
                <w:lang w:val="en-US" w:eastAsia="zh-CN"/>
              </w:rPr>
              <w:t>量和</w:t>
            </w:r>
            <w:r>
              <w:rPr>
                <w:rFonts w:hint="default" w:ascii="Times New Roman" w:hAnsi="Times New Roman" w:cs="Times New Roman"/>
                <w:b/>
                <w:bCs/>
                <w:lang w:val="en-US" w:eastAsia="zh-CN"/>
              </w:rPr>
              <w:t>水质</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kern w:val="0"/>
                <w:sz w:val="21"/>
                <w:szCs w:val="21"/>
                <w:highlight w:val="none"/>
                <w:lang w:eastAsia="zh-CN"/>
              </w:rPr>
              <w:t>本项目废水</w:t>
            </w:r>
            <w:r>
              <w:rPr>
                <w:rFonts w:hint="default" w:ascii="Times New Roman" w:hAnsi="Times New Roman" w:eastAsia="宋体" w:cs="Times New Roman"/>
                <w:bCs/>
                <w:color w:val="auto"/>
                <w:kern w:val="0"/>
                <w:sz w:val="21"/>
                <w:szCs w:val="21"/>
                <w:highlight w:val="none"/>
              </w:rPr>
              <w:t>排水量为</w:t>
            </w:r>
            <w:r>
              <w:rPr>
                <w:rFonts w:hint="eastAsia" w:cs="Times New Roman"/>
                <w:color w:val="auto"/>
                <w:sz w:val="21"/>
                <w:szCs w:val="21"/>
                <w:highlight w:val="none"/>
                <w:lang w:val="en-US" w:eastAsia="zh-CN"/>
              </w:rPr>
              <w:t>0.96</w:t>
            </w:r>
            <w:r>
              <w:rPr>
                <w:rFonts w:hint="default" w:ascii="Times New Roman" w:hAnsi="Times New Roman"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vertAlign w:val="superscript"/>
              </w:rPr>
              <w:t>3</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d（</w:t>
            </w:r>
            <w:r>
              <w:rPr>
                <w:rFonts w:hint="eastAsia" w:cs="Times New Roman"/>
                <w:bCs/>
                <w:color w:val="auto"/>
                <w:kern w:val="0"/>
                <w:sz w:val="21"/>
                <w:szCs w:val="21"/>
                <w:highlight w:val="none"/>
                <w:lang w:val="en-US" w:eastAsia="zh-CN"/>
              </w:rPr>
              <w:t>288</w:t>
            </w:r>
            <w:r>
              <w:rPr>
                <w:rFonts w:hint="default" w:ascii="Times New Roman" w:hAnsi="Times New Roman"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vertAlign w:val="superscript"/>
              </w:rPr>
              <w:t>3</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a）</w:t>
            </w:r>
            <w:r>
              <w:rPr>
                <w:rFonts w:hint="default" w:ascii="Times New Roman" w:hAnsi="Times New Roman" w:cs="Times New Roman"/>
                <w:bCs/>
                <w:color w:val="auto"/>
                <w:sz w:val="21"/>
                <w:szCs w:val="21"/>
                <w:highlight w:val="none"/>
                <w:lang w:eastAsia="zh-CN"/>
              </w:rPr>
              <w:t>，外排</w:t>
            </w:r>
            <w:r>
              <w:rPr>
                <w:rFonts w:hint="default" w:ascii="Times New Roman" w:hAnsi="Times New Roman" w:cs="Times New Roman"/>
                <w:color w:val="auto"/>
                <w:sz w:val="21"/>
                <w:szCs w:val="21"/>
                <w:highlight w:val="none"/>
                <w:lang w:eastAsia="zh-CN"/>
              </w:rPr>
              <w:t>废水</w:t>
            </w:r>
            <w:r>
              <w:rPr>
                <w:rFonts w:hint="default" w:ascii="Times New Roman" w:hAnsi="Times New Roman" w:cs="Times New Roman"/>
                <w:color w:val="auto"/>
                <w:sz w:val="21"/>
                <w:szCs w:val="21"/>
                <w:highlight w:val="none"/>
              </w:rPr>
              <w:t>水质</w:t>
            </w:r>
            <w:r>
              <w:rPr>
                <w:rFonts w:hint="default" w:ascii="Times New Roman" w:hAnsi="Times New Roman" w:eastAsia="宋体" w:cs="Times New Roman"/>
                <w:bCs/>
                <w:color w:val="auto"/>
                <w:kern w:val="0"/>
                <w:sz w:val="21"/>
                <w:szCs w:val="21"/>
                <w:highlight w:val="none"/>
              </w:rPr>
              <w:t>能够满足</w:t>
            </w:r>
            <w:r>
              <w:rPr>
                <w:rFonts w:hint="default" w:ascii="Times New Roman" w:hAnsi="Times New Roman" w:cs="Times New Roman"/>
                <w:lang w:val="en-US" w:eastAsia="zh-CN"/>
              </w:rPr>
              <w:t>新乡市小尚庄污水处理厂</w:t>
            </w:r>
            <w:r>
              <w:rPr>
                <w:rFonts w:hint="default" w:ascii="Times New Roman" w:hAnsi="Times New Roman" w:eastAsia="宋体" w:cs="Times New Roman"/>
                <w:bCs/>
                <w:color w:val="auto"/>
                <w:kern w:val="0"/>
                <w:sz w:val="21"/>
                <w:szCs w:val="21"/>
                <w:highlight w:val="none"/>
              </w:rPr>
              <w:t>设计进水水质要求（</w:t>
            </w:r>
            <w:r>
              <w:rPr>
                <w:rFonts w:hint="default" w:ascii="Times New Roman" w:hAnsi="Times New Roman" w:eastAsia="宋体" w:cs="Times New Roman"/>
                <w:bCs/>
                <w:color w:val="auto"/>
                <w:kern w:val="2"/>
                <w:sz w:val="21"/>
                <w:szCs w:val="21"/>
                <w:highlight w:val="none"/>
              </w:rPr>
              <w:t>COD</w:t>
            </w:r>
            <w:r>
              <w:rPr>
                <w:rFonts w:hint="default" w:ascii="Times New Roman" w:hAnsi="Times New Roman" w:eastAsia="宋体" w:cs="Times New Roman"/>
                <w:bCs/>
                <w:color w:val="auto"/>
                <w:kern w:val="2"/>
                <w:sz w:val="21"/>
                <w:szCs w:val="21"/>
                <w:highlight w:val="none"/>
                <w:lang w:val="en-US" w:eastAsia="zh-CN"/>
              </w:rPr>
              <w:t>350</w:t>
            </w:r>
            <w:r>
              <w:rPr>
                <w:rFonts w:hint="default" w:ascii="Times New Roman" w:hAnsi="Times New Roman" w:eastAsia="宋体" w:cs="Times New Roman"/>
                <w:bCs/>
                <w:color w:val="auto"/>
                <w:kern w:val="2"/>
                <w:sz w:val="21"/>
                <w:szCs w:val="21"/>
                <w:highlight w:val="none"/>
              </w:rPr>
              <w:t>mg/L</w:t>
            </w:r>
            <w:r>
              <w:rPr>
                <w:rFonts w:hint="default" w:ascii="Times New Roman" w:hAnsi="Times New Roman" w:cs="Times New Roman"/>
                <w:bCs/>
                <w:color w:val="auto"/>
                <w:kern w:val="2"/>
                <w:sz w:val="21"/>
                <w:szCs w:val="21"/>
                <w:highlight w:val="none"/>
                <w:lang w:eastAsia="zh-CN"/>
              </w:rPr>
              <w:t>、</w:t>
            </w:r>
            <w:r>
              <w:rPr>
                <w:rFonts w:hint="default" w:ascii="Times New Roman" w:hAnsi="Times New Roman" w:eastAsia="宋体" w:cs="Times New Roman"/>
                <w:bCs/>
                <w:color w:val="auto"/>
                <w:kern w:val="2"/>
                <w:sz w:val="21"/>
                <w:szCs w:val="21"/>
                <w:highlight w:val="none"/>
              </w:rPr>
              <w:t>SS</w:t>
            </w:r>
            <w:r>
              <w:rPr>
                <w:rFonts w:hint="eastAsia" w:cs="Times New Roman"/>
                <w:bCs/>
                <w:color w:val="auto"/>
                <w:kern w:val="2"/>
                <w:sz w:val="21"/>
                <w:szCs w:val="21"/>
                <w:highlight w:val="none"/>
                <w:lang w:val="en-US" w:eastAsia="zh-CN"/>
              </w:rPr>
              <w:t>250</w:t>
            </w:r>
            <w:r>
              <w:rPr>
                <w:rFonts w:hint="default" w:ascii="Times New Roman" w:hAnsi="Times New Roman" w:eastAsia="宋体" w:cs="Times New Roman"/>
                <w:bCs/>
                <w:color w:val="auto"/>
                <w:kern w:val="2"/>
                <w:sz w:val="21"/>
                <w:szCs w:val="21"/>
                <w:highlight w:val="none"/>
              </w:rPr>
              <w:t>mg/L、氨氮</w:t>
            </w:r>
            <w:r>
              <w:rPr>
                <w:rFonts w:hint="eastAsia" w:cs="Times New Roman"/>
                <w:bCs/>
                <w:color w:val="auto"/>
                <w:kern w:val="2"/>
                <w:sz w:val="21"/>
                <w:szCs w:val="21"/>
                <w:highlight w:val="none"/>
                <w:lang w:val="en-US" w:eastAsia="zh-CN"/>
              </w:rPr>
              <w:t>30</w:t>
            </w:r>
            <w:r>
              <w:rPr>
                <w:rFonts w:hint="default" w:ascii="Times New Roman" w:hAnsi="Times New Roman" w:eastAsia="宋体" w:cs="Times New Roman"/>
                <w:bCs/>
                <w:color w:val="auto"/>
                <w:kern w:val="2"/>
                <w:sz w:val="21"/>
                <w:szCs w:val="21"/>
                <w:highlight w:val="none"/>
              </w:rPr>
              <w:t>mg/L</w:t>
            </w:r>
            <w:r>
              <w:rPr>
                <w:rFonts w:hint="default" w:ascii="Times New Roman" w:hAnsi="Times New Roman" w:eastAsia="宋体" w:cs="Times New Roman"/>
                <w:bCs/>
                <w:color w:val="auto"/>
                <w:kern w:val="2"/>
                <w:sz w:val="21"/>
                <w:szCs w:val="21"/>
                <w:highlight w:val="none"/>
                <w:lang w:eastAsia="zh-CN"/>
              </w:rPr>
              <w:t>、总磷</w:t>
            </w:r>
            <w:r>
              <w:rPr>
                <w:rFonts w:hint="eastAsia" w:cs="Times New Roman"/>
                <w:bCs/>
                <w:color w:val="auto"/>
                <w:kern w:val="2"/>
                <w:sz w:val="21"/>
                <w:szCs w:val="21"/>
                <w:highlight w:val="none"/>
                <w:lang w:val="en-US" w:eastAsia="zh-CN"/>
              </w:rPr>
              <w:t>3</w:t>
            </w:r>
            <w:r>
              <w:rPr>
                <w:rFonts w:hint="default" w:ascii="Times New Roman" w:hAnsi="Times New Roman" w:eastAsia="宋体" w:cs="Times New Roman"/>
                <w:bCs/>
                <w:color w:val="auto"/>
                <w:kern w:val="2"/>
                <w:sz w:val="21"/>
                <w:szCs w:val="21"/>
                <w:highlight w:val="none"/>
              </w:rPr>
              <w:t>mg/L</w:t>
            </w:r>
            <w:r>
              <w:rPr>
                <w:rFonts w:hint="eastAsia" w:cs="Times New Roman"/>
                <w:bCs/>
                <w:color w:val="auto"/>
                <w:kern w:val="2"/>
                <w:sz w:val="21"/>
                <w:szCs w:val="21"/>
                <w:highlight w:val="none"/>
                <w:lang w:eastAsia="zh-CN"/>
              </w:rPr>
              <w:t>、总氮</w:t>
            </w:r>
            <w:r>
              <w:rPr>
                <w:rFonts w:hint="eastAsia" w:cs="Times New Roman"/>
                <w:bCs/>
                <w:color w:val="auto"/>
                <w:kern w:val="2"/>
                <w:sz w:val="21"/>
                <w:szCs w:val="21"/>
                <w:highlight w:val="none"/>
                <w:lang w:val="en-US" w:eastAsia="zh-CN"/>
              </w:rPr>
              <w:t>40</w:t>
            </w:r>
            <w:r>
              <w:rPr>
                <w:rFonts w:hint="default" w:ascii="Times New Roman" w:hAnsi="Times New Roman" w:eastAsia="宋体" w:cs="Times New Roman"/>
                <w:bCs/>
                <w:color w:val="auto"/>
                <w:kern w:val="2"/>
                <w:sz w:val="21"/>
                <w:szCs w:val="21"/>
                <w:highlight w:val="none"/>
              </w:rPr>
              <w:t>mg/L</w:t>
            </w:r>
            <w:r>
              <w:rPr>
                <w:rFonts w:hint="default" w:ascii="Times New Roman" w:hAnsi="Times New Roman" w:eastAsia="宋体" w:cs="Times New Roman"/>
                <w:bCs/>
                <w:color w:val="auto"/>
                <w:kern w:val="0"/>
                <w:sz w:val="21"/>
                <w:szCs w:val="21"/>
                <w:highlight w:val="none"/>
              </w:rPr>
              <w:t>）。</w:t>
            </w:r>
            <w:r>
              <w:rPr>
                <w:rFonts w:hint="default" w:ascii="Times New Roman" w:hAnsi="Times New Roman" w:eastAsia="宋体" w:cs="Times New Roman"/>
                <w:bCs/>
                <w:color w:val="auto"/>
                <w:kern w:val="0"/>
                <w:sz w:val="21"/>
                <w:szCs w:val="21"/>
                <w:highlight w:val="none"/>
                <w:lang w:eastAsia="zh-CN"/>
              </w:rPr>
              <w:t>且</w:t>
            </w:r>
            <w:r>
              <w:rPr>
                <w:rFonts w:hint="default" w:ascii="Times New Roman" w:hAnsi="Times New Roman" w:eastAsia="宋体" w:cs="Times New Roman"/>
                <w:bCs/>
                <w:color w:val="auto"/>
                <w:kern w:val="0"/>
                <w:sz w:val="21"/>
                <w:szCs w:val="21"/>
                <w:highlight w:val="none"/>
              </w:rPr>
              <w:t>项目</w:t>
            </w:r>
            <w:r>
              <w:rPr>
                <w:rFonts w:hint="default" w:ascii="Times New Roman" w:hAnsi="Times New Roman" w:eastAsia="宋体" w:cs="Times New Roman"/>
                <w:bCs/>
                <w:color w:val="auto"/>
                <w:kern w:val="0"/>
                <w:sz w:val="21"/>
                <w:szCs w:val="21"/>
                <w:highlight w:val="none"/>
                <w:lang w:eastAsia="zh-CN"/>
              </w:rPr>
              <w:t>废水</w:t>
            </w:r>
            <w:r>
              <w:rPr>
                <w:rFonts w:hint="default" w:ascii="Times New Roman" w:hAnsi="Times New Roman" w:eastAsia="宋体" w:cs="Times New Roman"/>
                <w:bCs/>
                <w:color w:val="auto"/>
                <w:kern w:val="0"/>
                <w:sz w:val="21"/>
                <w:szCs w:val="21"/>
                <w:highlight w:val="none"/>
              </w:rPr>
              <w:t>水质简单，</w:t>
            </w:r>
            <w:r>
              <w:rPr>
                <w:rFonts w:hint="default" w:ascii="Times New Roman" w:hAnsi="Times New Roman" w:eastAsia="宋体" w:cs="Times New Roman"/>
                <w:bCs/>
                <w:color w:val="auto"/>
                <w:kern w:val="2"/>
                <w:sz w:val="21"/>
                <w:szCs w:val="21"/>
                <w:highlight w:val="none"/>
              </w:rPr>
              <w:t>废水没有生物毒性，</w:t>
            </w:r>
            <w:r>
              <w:rPr>
                <w:rFonts w:hint="default" w:ascii="Times New Roman" w:hAnsi="Times New Roman" w:eastAsia="宋体" w:cs="Times New Roman"/>
                <w:bCs/>
                <w:color w:val="auto"/>
                <w:kern w:val="0"/>
                <w:sz w:val="21"/>
                <w:szCs w:val="21"/>
                <w:highlight w:val="none"/>
              </w:rPr>
              <w:t>与污水处理厂其他废水混合后不会对污水处理厂的生化工艺造成不利影响。</w:t>
            </w:r>
            <w:r>
              <w:rPr>
                <w:rFonts w:hint="eastAsia" w:ascii="宋体" w:hAnsi="宋体" w:cs="宋体"/>
                <w:bCs/>
                <w:color w:val="auto"/>
              </w:rPr>
              <w:t>新乡市小尚庄污水处理厂设计污水处理能力</w:t>
            </w:r>
            <w:r>
              <w:rPr>
                <w:bCs/>
                <w:color w:val="auto"/>
              </w:rPr>
              <w:t>25</w:t>
            </w:r>
            <w:r>
              <w:rPr>
                <w:rFonts w:hint="eastAsia" w:ascii="宋体" w:hAnsi="宋体" w:cs="宋体"/>
                <w:bCs/>
                <w:color w:val="auto"/>
              </w:rPr>
              <w:t>万</w:t>
            </w:r>
            <w:r>
              <w:rPr>
                <w:bCs/>
                <w:color w:val="auto"/>
              </w:rPr>
              <w:t>m</w:t>
            </w:r>
            <w:r>
              <w:rPr>
                <w:bCs/>
                <w:color w:val="auto"/>
                <w:vertAlign w:val="superscript"/>
              </w:rPr>
              <w:t>3</w:t>
            </w:r>
            <w:r>
              <w:rPr>
                <w:bCs/>
                <w:color w:val="auto"/>
              </w:rPr>
              <w:t>/d</w:t>
            </w:r>
            <w:r>
              <w:rPr>
                <w:rFonts w:hint="eastAsia" w:ascii="宋体" w:hAnsi="宋体" w:cs="宋体"/>
                <w:bCs/>
                <w:color w:val="auto"/>
              </w:rPr>
              <w:t>，污水处理厂分两期建设，一期处理能力</w:t>
            </w:r>
            <w:r>
              <w:rPr>
                <w:bCs/>
                <w:color w:val="auto"/>
              </w:rPr>
              <w:t>15</w:t>
            </w:r>
            <w:r>
              <w:rPr>
                <w:rFonts w:hint="eastAsia" w:ascii="宋体" w:hAnsi="宋体" w:cs="宋体"/>
                <w:bCs/>
                <w:color w:val="auto"/>
              </w:rPr>
              <w:t>万</w:t>
            </w:r>
            <w:r>
              <w:rPr>
                <w:bCs/>
                <w:color w:val="auto"/>
              </w:rPr>
              <w:t>m</w:t>
            </w:r>
            <w:r>
              <w:rPr>
                <w:bCs/>
                <w:color w:val="auto"/>
                <w:vertAlign w:val="superscript"/>
              </w:rPr>
              <w:t>3</w:t>
            </w:r>
            <w:r>
              <w:rPr>
                <w:bCs/>
                <w:color w:val="auto"/>
              </w:rPr>
              <w:t>/d</w:t>
            </w:r>
            <w:r>
              <w:rPr>
                <w:rFonts w:hint="eastAsia" w:ascii="宋体" w:hAnsi="宋体" w:cs="宋体"/>
                <w:bCs/>
                <w:color w:val="auto"/>
              </w:rPr>
              <w:t>，二期处理能力</w:t>
            </w:r>
            <w:r>
              <w:rPr>
                <w:bCs/>
                <w:color w:val="auto"/>
              </w:rPr>
              <w:t>10</w:t>
            </w:r>
            <w:r>
              <w:rPr>
                <w:rFonts w:hint="eastAsia" w:ascii="宋体" w:hAnsi="宋体" w:cs="宋体"/>
                <w:bCs/>
                <w:color w:val="auto"/>
              </w:rPr>
              <w:t>万</w:t>
            </w:r>
            <w:r>
              <w:rPr>
                <w:bCs/>
                <w:color w:val="auto"/>
              </w:rPr>
              <w:t>m</w:t>
            </w:r>
            <w:r>
              <w:rPr>
                <w:bCs/>
                <w:color w:val="auto"/>
                <w:vertAlign w:val="superscript"/>
              </w:rPr>
              <w:t>3</w:t>
            </w:r>
            <w:r>
              <w:rPr>
                <w:bCs/>
                <w:color w:val="auto"/>
              </w:rPr>
              <w:t>/d</w:t>
            </w:r>
            <w:r>
              <w:rPr>
                <w:rFonts w:hint="eastAsia" w:ascii="宋体" w:hAnsi="宋体" w:cs="宋体"/>
                <w:bCs/>
                <w:color w:val="auto"/>
              </w:rPr>
              <w:t>，目前一期运行正常，二期尚未</w:t>
            </w:r>
            <w:r>
              <w:rPr>
                <w:rFonts w:hint="eastAsia" w:ascii="宋体" w:hAnsi="宋体" w:cs="宋体"/>
                <w:bCs/>
                <w:color w:val="auto"/>
                <w:highlight w:val="none"/>
              </w:rPr>
              <w:t>建设。</w:t>
            </w:r>
            <w:r>
              <w:rPr>
                <w:color w:val="auto"/>
                <w:highlight w:val="none"/>
              </w:rPr>
              <w:t>根据</w:t>
            </w:r>
            <w:r>
              <w:rPr>
                <w:rFonts w:hint="eastAsia" w:ascii="宋体" w:hAnsi="宋体" w:cs="宋体"/>
                <w:bCs/>
                <w:color w:val="auto"/>
                <w:highlight w:val="none"/>
              </w:rPr>
              <w:t>新乡市小尚庄污水处理厂</w:t>
            </w:r>
            <w:r>
              <w:rPr>
                <w:color w:val="auto"/>
                <w:highlight w:val="none"/>
              </w:rPr>
              <w:t>2022年4-6月在线监测数据</w:t>
            </w:r>
            <w:r>
              <w:rPr>
                <w:rFonts w:hint="eastAsia"/>
                <w:color w:val="auto"/>
                <w:highlight w:val="none"/>
              </w:rPr>
              <w:t>可知</w:t>
            </w:r>
            <w:r>
              <w:rPr>
                <w:color w:val="auto"/>
                <w:highlight w:val="none"/>
              </w:rPr>
              <w:t>，</w:t>
            </w:r>
            <w:r>
              <w:rPr>
                <w:rFonts w:hint="eastAsia" w:ascii="宋体" w:hAnsi="宋体" w:cs="宋体"/>
                <w:bCs/>
                <w:color w:val="auto"/>
                <w:highlight w:val="none"/>
              </w:rPr>
              <w:t>新乡市小尚庄污水处理厂</w:t>
            </w:r>
            <w:r>
              <w:rPr>
                <w:rFonts w:hint="eastAsia"/>
                <w:color w:val="auto"/>
                <w:highlight w:val="none"/>
              </w:rPr>
              <w:t>废水量均值为117473.3</w:t>
            </w:r>
            <w:r>
              <w:rPr>
                <w:color w:val="auto"/>
                <w:highlight w:val="none"/>
              </w:rPr>
              <w:t>1</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ascii="宋体" w:hAnsi="宋体" w:cs="宋体"/>
                <w:bCs/>
                <w:color w:val="auto"/>
                <w:highlight w:val="none"/>
              </w:rPr>
              <w:t>新乡市小尚庄</w:t>
            </w:r>
            <w:r>
              <w:rPr>
                <w:rFonts w:hint="eastAsia"/>
                <w:color w:val="auto"/>
                <w:highlight w:val="none"/>
              </w:rPr>
              <w:t>污水处理厂剩余处理能力约为</w:t>
            </w:r>
            <w:r>
              <w:rPr>
                <w:color w:val="auto"/>
                <w:highlight w:val="none"/>
              </w:rPr>
              <w:t>3.25</w:t>
            </w:r>
            <w:r>
              <w:rPr>
                <w:rFonts w:hint="eastAsia"/>
                <w:color w:val="auto"/>
                <w:highlight w:val="none"/>
              </w:rPr>
              <w:t>万m</w:t>
            </w:r>
            <w:r>
              <w:rPr>
                <w:rFonts w:hint="eastAsia"/>
                <w:color w:val="auto"/>
                <w:highlight w:val="none"/>
                <w:vertAlign w:val="superscript"/>
              </w:rPr>
              <w:t>3</w:t>
            </w:r>
            <w:r>
              <w:rPr>
                <w:rFonts w:hint="eastAsia"/>
                <w:color w:val="auto"/>
                <w:highlight w:val="none"/>
              </w:rPr>
              <w:t>/d。</w:t>
            </w:r>
            <w:r>
              <w:rPr>
                <w:rFonts w:hint="default" w:ascii="Times New Roman" w:hAnsi="Times New Roman" w:eastAsia="宋体" w:cs="Times New Roman"/>
                <w:bCs/>
                <w:color w:val="auto"/>
                <w:kern w:val="0"/>
                <w:sz w:val="21"/>
                <w:szCs w:val="21"/>
                <w:highlight w:val="none"/>
              </w:rPr>
              <w:t>本项目外排废水量为</w:t>
            </w:r>
            <w:r>
              <w:rPr>
                <w:rFonts w:hint="eastAsia" w:cs="Times New Roman"/>
                <w:bCs/>
                <w:color w:val="auto"/>
                <w:kern w:val="0"/>
                <w:sz w:val="21"/>
                <w:szCs w:val="21"/>
                <w:highlight w:val="none"/>
                <w:lang w:val="en-US" w:eastAsia="zh-CN"/>
              </w:rPr>
              <w:t>0.96</w:t>
            </w:r>
            <w:r>
              <w:rPr>
                <w:rFonts w:hint="default" w:ascii="Times New Roman" w:hAnsi="Times New Roman" w:eastAsia="宋体" w:cs="Times New Roman"/>
                <w:bCs/>
                <w:color w:val="auto"/>
                <w:kern w:val="0"/>
                <w:sz w:val="21"/>
                <w:szCs w:val="21"/>
                <w:highlight w:val="none"/>
              </w:rPr>
              <w:t>m</w:t>
            </w:r>
            <w:r>
              <w:rPr>
                <w:rFonts w:hint="default" w:ascii="Times New Roman" w:hAnsi="Times New Roman" w:eastAsia="宋体" w:cs="Times New Roman"/>
                <w:bCs/>
                <w:color w:val="auto"/>
                <w:kern w:val="0"/>
                <w:sz w:val="21"/>
                <w:szCs w:val="21"/>
                <w:highlight w:val="none"/>
                <w:vertAlign w:val="superscript"/>
              </w:rPr>
              <w:t>3</w:t>
            </w:r>
            <w:r>
              <w:rPr>
                <w:rFonts w:hint="default" w:ascii="Times New Roman" w:hAnsi="Times New Roman" w:eastAsia="宋体" w:cs="Times New Roman"/>
                <w:bCs/>
                <w:color w:val="auto"/>
                <w:kern w:val="0"/>
                <w:sz w:val="21"/>
                <w:szCs w:val="21"/>
                <w:highlight w:val="none"/>
              </w:rPr>
              <w:t>/d，仅占其剩余处理能力的</w:t>
            </w:r>
            <w:r>
              <w:rPr>
                <w:rFonts w:hint="eastAsia" w:cs="Times New Roman"/>
                <w:bCs/>
                <w:color w:val="auto"/>
                <w:kern w:val="0"/>
                <w:sz w:val="21"/>
                <w:szCs w:val="21"/>
                <w:highlight w:val="none"/>
                <w:lang w:val="en-US" w:eastAsia="zh-CN"/>
              </w:rPr>
              <w:t>0.0029</w:t>
            </w:r>
            <w:r>
              <w:rPr>
                <w:rFonts w:hint="default" w:ascii="Times New Roman" w:hAnsi="Times New Roman" w:eastAsia="宋体" w:cs="Times New Roman"/>
                <w:bCs/>
                <w:color w:val="auto"/>
                <w:kern w:val="0"/>
                <w:sz w:val="21"/>
                <w:szCs w:val="21"/>
                <w:highlight w:val="none"/>
              </w:rPr>
              <w:t>%，不会对污水处理厂造成冲击，评价认为本项目生活污水</w:t>
            </w:r>
            <w:r>
              <w:rPr>
                <w:rFonts w:hint="eastAsia" w:cs="Times New Roman"/>
                <w:bCs/>
                <w:color w:val="auto"/>
                <w:kern w:val="0"/>
                <w:sz w:val="21"/>
                <w:szCs w:val="21"/>
                <w:highlight w:val="none"/>
                <w:lang w:eastAsia="zh-CN"/>
              </w:rPr>
              <w:t>近期</w:t>
            </w:r>
            <w:r>
              <w:rPr>
                <w:rFonts w:hint="default" w:ascii="Times New Roman" w:hAnsi="Times New Roman" w:eastAsia="宋体" w:cs="Times New Roman"/>
                <w:bCs/>
                <w:color w:val="auto"/>
                <w:kern w:val="0"/>
                <w:sz w:val="21"/>
                <w:szCs w:val="21"/>
                <w:highlight w:val="none"/>
              </w:rPr>
              <w:t>排入</w:t>
            </w:r>
            <w:r>
              <w:rPr>
                <w:rFonts w:hint="default" w:ascii="Times New Roman" w:hAnsi="Times New Roman" w:cs="Times New Roman"/>
                <w:highlight w:val="none"/>
                <w:lang w:val="en-US" w:eastAsia="zh-CN"/>
              </w:rPr>
              <w:t>新乡市小尚庄污水处理厂</w:t>
            </w:r>
            <w:r>
              <w:rPr>
                <w:rFonts w:hint="default" w:ascii="Times New Roman" w:hAnsi="Times New Roman" w:eastAsia="宋体" w:cs="Times New Roman"/>
                <w:bCs/>
                <w:color w:val="auto"/>
                <w:kern w:val="0"/>
                <w:sz w:val="21"/>
                <w:szCs w:val="21"/>
                <w:highlight w:val="none"/>
              </w:rPr>
              <w:t>是可行的。</w:t>
            </w:r>
          </w:p>
          <w:p>
            <w:pPr>
              <w:pStyle w:val="3"/>
              <w:keepNext w:val="0"/>
              <w:keepLines w:val="0"/>
              <w:pageBreakBefore w:val="0"/>
              <w:widowControl w:val="0"/>
              <w:numPr>
                <w:ilvl w:val="0"/>
                <w:numId w:val="0"/>
              </w:numPr>
              <w:kinsoku/>
              <w:wordWrap/>
              <w:overflowPunct/>
              <w:topLinePunct w:val="0"/>
              <w:bidi w:val="0"/>
              <w:adjustRightInd/>
              <w:snapToGrid/>
              <w:spacing w:before="0" w:after="0" w:line="360" w:lineRule="auto"/>
              <w:ind w:right="0"/>
              <w:textAlignment w:val="auto"/>
              <w:rPr>
                <w:rFonts w:hint="default" w:ascii="Times New Roman" w:hAnsi="Times New Roman" w:cs="Times New Roman"/>
                <w:b/>
                <w:bCs w:val="0"/>
                <w:snapToGrid/>
                <w:color w:val="auto"/>
                <w:kern w:val="2"/>
                <w:sz w:val="21"/>
                <w:szCs w:val="21"/>
                <w:highlight w:val="none"/>
              </w:rPr>
            </w:pPr>
            <w:r>
              <w:rPr>
                <w:rFonts w:hint="eastAsia" w:cs="Times New Roman"/>
                <w:b/>
                <w:bCs w:val="0"/>
                <w:color w:val="auto"/>
                <w:spacing w:val="-4"/>
                <w:sz w:val="21"/>
                <w:szCs w:val="21"/>
                <w:highlight w:val="none"/>
                <w:lang w:val="en-US" w:eastAsia="zh-CN"/>
              </w:rPr>
              <w:t>2.4</w:t>
            </w:r>
            <w:r>
              <w:rPr>
                <w:rFonts w:hint="eastAsia" w:cs="Times New Roman"/>
                <w:b/>
                <w:bCs w:val="0"/>
                <w:color w:val="auto"/>
                <w:spacing w:val="-4"/>
                <w:sz w:val="21"/>
                <w:szCs w:val="21"/>
                <w:highlight w:val="none"/>
                <w:lang w:eastAsia="zh-CN"/>
              </w:rPr>
              <w:t>远期</w:t>
            </w:r>
            <w:r>
              <w:rPr>
                <w:rFonts w:hint="default" w:ascii="Times New Roman" w:hAnsi="Times New Roman" w:cs="Times New Roman"/>
                <w:b/>
                <w:bCs w:val="0"/>
                <w:color w:val="auto"/>
                <w:spacing w:val="-4"/>
                <w:sz w:val="21"/>
                <w:szCs w:val="21"/>
                <w:highlight w:val="none"/>
              </w:rPr>
              <w:t>废水进入</w:t>
            </w:r>
            <w:r>
              <w:rPr>
                <w:rFonts w:hint="eastAsia" w:cs="Times New Roman"/>
                <w:b/>
                <w:bCs w:val="0"/>
                <w:color w:val="auto"/>
                <w:spacing w:val="-4"/>
                <w:sz w:val="21"/>
                <w:szCs w:val="21"/>
                <w:highlight w:val="none"/>
                <w:lang w:eastAsia="zh-CN"/>
              </w:rPr>
              <w:t>新乡市凤泉区</w:t>
            </w:r>
            <w:r>
              <w:rPr>
                <w:rFonts w:hint="default" w:ascii="Times New Roman" w:hAnsi="Times New Roman" w:cs="Times New Roman"/>
                <w:b/>
                <w:bCs w:val="0"/>
                <w:color w:val="auto"/>
                <w:spacing w:val="-4"/>
                <w:sz w:val="21"/>
                <w:szCs w:val="21"/>
                <w:highlight w:val="none"/>
              </w:rPr>
              <w:t>污水处理厂的可行性</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20" w:firstLineChars="200"/>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项目位于新乡市凤泉区河南省新乡市凤泉区产业集聚区28#厂房一层</w:t>
            </w:r>
            <w:r>
              <w:rPr>
                <w:rFonts w:hint="eastAsia" w:ascii="Times New Roman" w:hAnsi="Times New Roman" w:cs="Times New Roman"/>
                <w:color w:val="auto"/>
                <w:sz w:val="21"/>
                <w:szCs w:val="21"/>
                <w:highlight w:val="none"/>
                <w:lang w:eastAsia="zh-CN"/>
              </w:rPr>
              <w:t>（</w:t>
            </w:r>
            <w:r>
              <w:rPr>
                <w:rFonts w:hint="eastAsia" w:cs="Times New Roman"/>
                <w:color w:val="auto"/>
                <w:sz w:val="21"/>
                <w:szCs w:val="21"/>
                <w:highlight w:val="none"/>
                <w:lang w:eastAsia="zh-CN"/>
              </w:rPr>
              <w:t>选址</w:t>
            </w:r>
            <w:r>
              <w:rPr>
                <w:rFonts w:hint="eastAsia" w:ascii="Times New Roman" w:hAnsi="Times New Roman" w:cs="Times New Roman"/>
                <w:color w:val="auto"/>
                <w:sz w:val="21"/>
                <w:szCs w:val="21"/>
                <w:highlight w:val="none"/>
                <w:lang w:eastAsia="zh-CN"/>
              </w:rPr>
              <w:t>位于新乡市新能源电池专业园区</w:t>
            </w:r>
            <w:r>
              <w:rPr>
                <w:rFonts w:hint="eastAsia" w:cs="Times New Roman"/>
                <w:color w:val="auto"/>
                <w:sz w:val="21"/>
                <w:szCs w:val="21"/>
                <w:highlight w:val="none"/>
                <w:lang w:eastAsia="zh-CN"/>
              </w:rPr>
              <w:t>东</w:t>
            </w:r>
            <w:r>
              <w:rPr>
                <w:rFonts w:hint="eastAsia" w:ascii="Times New Roman" w:hAnsi="Times New Roman" w:cs="Times New Roman"/>
                <w:color w:val="auto"/>
                <w:sz w:val="21"/>
                <w:szCs w:val="21"/>
                <w:highlight w:val="none"/>
                <w:lang w:eastAsia="zh-CN"/>
              </w:rPr>
              <w:t>片区）</w:t>
            </w:r>
            <w:r>
              <w:rPr>
                <w:rFonts w:hint="default" w:ascii="Times New Roman" w:hAnsi="Times New Roman" w:cs="Times New Roman"/>
                <w:color w:val="auto"/>
                <w:sz w:val="21"/>
                <w:szCs w:val="21"/>
                <w:highlight w:val="none"/>
                <w:lang w:eastAsia="zh-CN"/>
              </w:rPr>
              <w:t>，根据</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eastAsia="zh-CN"/>
              </w:rPr>
              <w:t>新乡市新能源电池专业园区发展规划（2022-2035年）环境影响报告书</w:t>
            </w:r>
            <w:r>
              <w:rPr>
                <w:rFonts w:hint="eastAsia" w:cs="Times New Roman"/>
                <w:color w:val="auto"/>
                <w:sz w:val="21"/>
                <w:szCs w:val="21"/>
                <w:highlight w:val="none"/>
                <w:lang w:eastAsia="zh-CN"/>
              </w:rPr>
              <w:t>》相关内容：“</w:t>
            </w:r>
            <w:r>
              <w:rPr>
                <w:rFonts w:hint="default" w:ascii="Times New Roman" w:hAnsi="Times New Roman" w:cs="Times New Roman"/>
                <w:color w:val="auto"/>
                <w:sz w:val="21"/>
                <w:szCs w:val="21"/>
                <w:highlight w:val="none"/>
                <w:lang w:eastAsia="zh-CN"/>
              </w:rPr>
              <w:t>规划东片区、北片区和新辉公路以东的西片区污水由拟建的凤泉污水处理厂进行处理</w:t>
            </w:r>
            <w:r>
              <w:rPr>
                <w:rFonts w:hint="eastAsia" w:cs="Times New Roman"/>
                <w:color w:val="auto"/>
                <w:sz w:val="21"/>
                <w:szCs w:val="21"/>
                <w:highlight w:val="none"/>
                <w:lang w:eastAsia="zh-CN"/>
              </w:rPr>
              <w:t>”，本项目位于</w:t>
            </w:r>
            <w:r>
              <w:rPr>
                <w:rFonts w:hint="eastAsia" w:ascii="Times New Roman" w:hAnsi="Times New Roman" w:cs="Times New Roman"/>
                <w:color w:val="auto"/>
                <w:sz w:val="21"/>
                <w:szCs w:val="21"/>
                <w:highlight w:val="none"/>
                <w:lang w:eastAsia="zh-CN"/>
              </w:rPr>
              <w:t>新乡市新能源电池专业园区</w:t>
            </w:r>
            <w:r>
              <w:rPr>
                <w:rFonts w:hint="eastAsia" w:cs="Times New Roman"/>
                <w:color w:val="auto"/>
                <w:sz w:val="21"/>
                <w:szCs w:val="21"/>
                <w:highlight w:val="none"/>
                <w:lang w:eastAsia="zh-CN"/>
              </w:rPr>
              <w:t>东片区长济高速已北区域</w:t>
            </w:r>
            <w:r>
              <w:rPr>
                <w:rFonts w:hint="eastAsia" w:ascii="Times New Roman" w:hAnsi="Times New Roman" w:cs="Times New Roman"/>
                <w:color w:val="auto"/>
                <w:sz w:val="21"/>
                <w:szCs w:val="21"/>
                <w:highlight w:val="none"/>
                <w:lang w:eastAsia="zh-CN"/>
              </w:rPr>
              <w:t>，</w:t>
            </w:r>
            <w:r>
              <w:rPr>
                <w:rFonts w:hint="eastAsia" w:cs="Times New Roman"/>
                <w:color w:val="auto"/>
                <w:sz w:val="21"/>
                <w:szCs w:val="21"/>
                <w:highlight w:val="none"/>
                <w:lang w:eastAsia="zh-CN"/>
              </w:rPr>
              <w:t>因此</w:t>
            </w:r>
            <w:r>
              <w:rPr>
                <w:rFonts w:hint="default" w:ascii="Times New Roman" w:hAnsi="Times New Roman" w:cs="Times New Roman"/>
                <w:color w:val="auto"/>
                <w:sz w:val="21"/>
                <w:szCs w:val="21"/>
                <w:highlight w:val="none"/>
                <w:lang w:eastAsia="zh-CN"/>
              </w:rPr>
              <w:t>本项目位于新乡市凤泉区污水处理厂规划收水范围内。根据调查，</w:t>
            </w:r>
            <w:r>
              <w:rPr>
                <w:rFonts w:hint="eastAsia" w:cs="Times New Roman"/>
                <w:color w:val="auto"/>
                <w:sz w:val="21"/>
                <w:szCs w:val="21"/>
                <w:highlight w:val="none"/>
                <w:lang w:eastAsia="zh-CN"/>
              </w:rPr>
              <w:t>新乡市凤泉区</w:t>
            </w:r>
            <w:r>
              <w:rPr>
                <w:rFonts w:hint="default" w:ascii="Times New Roman" w:hAnsi="Times New Roman" w:cs="Times New Roman"/>
                <w:color w:val="auto"/>
                <w:sz w:val="21"/>
                <w:szCs w:val="21"/>
                <w:highlight w:val="none"/>
                <w:lang w:eastAsia="zh-CN"/>
              </w:rPr>
              <w:t>污水处理厂目前</w:t>
            </w:r>
            <w:r>
              <w:rPr>
                <w:rFonts w:hint="eastAsia" w:cs="Times New Roman"/>
                <w:color w:val="auto"/>
                <w:sz w:val="21"/>
                <w:szCs w:val="21"/>
                <w:highlight w:val="none"/>
                <w:lang w:eastAsia="zh-CN"/>
              </w:rPr>
              <w:t>暂未建设（目前处于筹备阶段）</w:t>
            </w:r>
            <w:r>
              <w:rPr>
                <w:rFonts w:hint="default" w:ascii="Times New Roman" w:hAnsi="Times New Roman" w:cs="Times New Roman"/>
                <w:color w:val="auto"/>
                <w:sz w:val="21"/>
                <w:szCs w:val="21"/>
                <w:highlight w:val="none"/>
                <w:lang w:eastAsia="zh-CN"/>
              </w:rPr>
              <w:t>，</w:t>
            </w:r>
            <w:r>
              <w:rPr>
                <w:rFonts w:hint="eastAsia" w:cs="Times New Roman"/>
                <w:color w:val="auto"/>
                <w:sz w:val="21"/>
                <w:szCs w:val="21"/>
                <w:highlight w:val="none"/>
                <w:lang w:eastAsia="zh-CN"/>
              </w:rPr>
              <w:t>且本项目场址所在</w:t>
            </w:r>
            <w:r>
              <w:rPr>
                <w:rFonts w:hint="default" w:ascii="Times New Roman" w:hAnsi="Times New Roman" w:cs="Times New Roman"/>
                <w:color w:val="auto"/>
                <w:sz w:val="21"/>
                <w:szCs w:val="21"/>
                <w:highlight w:val="none"/>
                <w:lang w:eastAsia="zh-CN"/>
              </w:rPr>
              <w:t>区域污水管网尚不完善</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eastAsia="zh-CN"/>
              </w:rPr>
              <w:t>根据项目所在地实际情况，项目</w:t>
            </w:r>
            <w:r>
              <w:rPr>
                <w:rFonts w:hint="eastAsia" w:cs="Times New Roman"/>
                <w:color w:val="auto"/>
                <w:sz w:val="21"/>
                <w:szCs w:val="21"/>
                <w:highlight w:val="none"/>
                <w:lang w:eastAsia="zh-CN"/>
              </w:rPr>
              <w:t>建成后</w:t>
            </w:r>
            <w:r>
              <w:rPr>
                <w:rFonts w:hint="default" w:ascii="Times New Roman" w:hAnsi="Times New Roman" w:cs="Times New Roman"/>
                <w:color w:val="auto"/>
                <w:sz w:val="21"/>
                <w:szCs w:val="21"/>
                <w:highlight w:val="none"/>
                <w:lang w:eastAsia="zh-CN"/>
              </w:rPr>
              <w:t>的生活污水前期</w:t>
            </w:r>
            <w:r>
              <w:rPr>
                <w:rFonts w:hint="eastAsia" w:cs="Times New Roman"/>
                <w:color w:val="auto"/>
                <w:sz w:val="21"/>
                <w:szCs w:val="21"/>
                <w:highlight w:val="none"/>
                <w:lang w:eastAsia="zh-CN"/>
              </w:rPr>
              <w:t>均</w:t>
            </w:r>
            <w:r>
              <w:rPr>
                <w:rFonts w:hint="default" w:ascii="Times New Roman" w:hAnsi="Times New Roman" w:cs="Times New Roman"/>
                <w:color w:val="auto"/>
                <w:sz w:val="21"/>
                <w:szCs w:val="21"/>
                <w:highlight w:val="none"/>
                <w:lang w:eastAsia="zh-CN"/>
              </w:rPr>
              <w:t>经</w:t>
            </w:r>
            <w:r>
              <w:rPr>
                <w:rFonts w:hint="eastAsia" w:cs="Times New Roman"/>
                <w:color w:val="auto"/>
                <w:sz w:val="21"/>
                <w:szCs w:val="21"/>
                <w:highlight w:val="none"/>
                <w:lang w:eastAsia="zh-CN"/>
              </w:rPr>
              <w:t>自建污水处理设施</w:t>
            </w:r>
            <w:r>
              <w:rPr>
                <w:rFonts w:hint="default" w:ascii="Times New Roman" w:hAnsi="Times New Roman" w:cs="Times New Roman"/>
                <w:color w:val="auto"/>
                <w:sz w:val="21"/>
                <w:szCs w:val="21"/>
                <w:highlight w:val="none"/>
                <w:lang w:eastAsia="zh-CN"/>
              </w:rPr>
              <w:t>处理后定期清运，待</w:t>
            </w:r>
            <w:r>
              <w:rPr>
                <w:rFonts w:hint="eastAsia" w:cs="Times New Roman"/>
                <w:color w:val="auto"/>
                <w:sz w:val="21"/>
                <w:szCs w:val="21"/>
                <w:highlight w:val="none"/>
                <w:lang w:eastAsia="zh-CN"/>
              </w:rPr>
              <w:t>规划的污水处理厂建设完成，且区域污水管网铺设完成后</w:t>
            </w:r>
            <w:r>
              <w:rPr>
                <w:rFonts w:hint="default" w:ascii="Times New Roman" w:hAnsi="Times New Roman" w:cs="Times New Roman"/>
                <w:color w:val="auto"/>
                <w:sz w:val="21"/>
                <w:szCs w:val="21"/>
                <w:highlight w:val="none"/>
                <w:lang w:eastAsia="zh-CN"/>
              </w:rPr>
              <w:t>，</w:t>
            </w:r>
            <w:r>
              <w:rPr>
                <w:rFonts w:hint="eastAsia" w:cs="Times New Roman"/>
                <w:color w:val="auto"/>
                <w:sz w:val="21"/>
                <w:szCs w:val="21"/>
                <w:highlight w:val="none"/>
                <w:lang w:eastAsia="zh-CN"/>
              </w:rPr>
              <w:t>项目生活污水可</w:t>
            </w:r>
            <w:r>
              <w:rPr>
                <w:rFonts w:hint="default" w:ascii="Times New Roman" w:hAnsi="Times New Roman" w:cs="Times New Roman"/>
                <w:color w:val="auto"/>
                <w:sz w:val="21"/>
                <w:szCs w:val="21"/>
                <w:highlight w:val="none"/>
                <w:lang w:eastAsia="zh-CN"/>
              </w:rPr>
              <w:t>经</w:t>
            </w:r>
            <w:r>
              <w:rPr>
                <w:rFonts w:hint="eastAsia" w:cs="Times New Roman"/>
                <w:color w:val="auto"/>
                <w:sz w:val="21"/>
                <w:szCs w:val="21"/>
                <w:highlight w:val="none"/>
                <w:lang w:eastAsia="zh-CN"/>
              </w:rPr>
              <w:t>污水</w:t>
            </w:r>
            <w:r>
              <w:rPr>
                <w:rFonts w:hint="default" w:ascii="Times New Roman" w:hAnsi="Times New Roman" w:cs="Times New Roman"/>
                <w:color w:val="auto"/>
                <w:sz w:val="21"/>
                <w:szCs w:val="21"/>
                <w:highlight w:val="none"/>
                <w:lang w:eastAsia="zh-CN"/>
              </w:rPr>
              <w:t>管网</w:t>
            </w:r>
            <w:r>
              <w:rPr>
                <w:rFonts w:hint="eastAsia" w:cs="Times New Roman"/>
                <w:color w:val="auto"/>
                <w:sz w:val="21"/>
                <w:szCs w:val="21"/>
                <w:highlight w:val="none"/>
                <w:lang w:eastAsia="zh-CN"/>
              </w:rPr>
              <w:t>排</w:t>
            </w:r>
            <w:r>
              <w:rPr>
                <w:rFonts w:hint="default" w:ascii="Times New Roman" w:hAnsi="Times New Roman" w:cs="Times New Roman"/>
                <w:color w:val="auto"/>
                <w:sz w:val="21"/>
                <w:szCs w:val="21"/>
                <w:highlight w:val="none"/>
                <w:lang w:eastAsia="zh-CN"/>
              </w:rPr>
              <w:t>入</w:t>
            </w:r>
            <w:r>
              <w:rPr>
                <w:rFonts w:hint="eastAsia" w:cs="Times New Roman"/>
                <w:color w:val="auto"/>
                <w:sz w:val="21"/>
                <w:szCs w:val="21"/>
                <w:highlight w:val="none"/>
                <w:lang w:eastAsia="zh-CN"/>
              </w:rPr>
              <w:t>新乡市凤泉区</w:t>
            </w:r>
            <w:r>
              <w:rPr>
                <w:rFonts w:hint="default" w:ascii="Times New Roman" w:hAnsi="Times New Roman" w:cs="Times New Roman"/>
                <w:color w:val="auto"/>
                <w:sz w:val="21"/>
                <w:szCs w:val="21"/>
                <w:highlight w:val="none"/>
                <w:lang w:eastAsia="zh-CN"/>
              </w:rPr>
              <w:t>污水处理厂进行二次处理，</w:t>
            </w:r>
            <w:r>
              <w:rPr>
                <w:rFonts w:hint="eastAsia" w:cs="Times New Roman"/>
                <w:color w:val="auto"/>
                <w:sz w:val="21"/>
                <w:szCs w:val="21"/>
                <w:highlight w:val="none"/>
                <w:lang w:eastAsia="zh-CN"/>
              </w:rPr>
              <w:t>最终</w:t>
            </w:r>
            <w:r>
              <w:rPr>
                <w:rFonts w:hint="default" w:ascii="Times New Roman" w:hAnsi="Times New Roman" w:cs="Times New Roman"/>
                <w:color w:val="auto"/>
                <w:sz w:val="21"/>
                <w:szCs w:val="21"/>
                <w:highlight w:val="none"/>
                <w:lang w:eastAsia="zh-CN"/>
              </w:rPr>
              <w:t>经民生渠排入共产主义渠。</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22" w:firstLineChars="200"/>
              <w:textAlignment w:val="auto"/>
              <w:rPr>
                <w:rFonts w:hint="default" w:ascii="Times New Roman" w:hAnsi="Times New Roman" w:cs="Times New Roman"/>
                <w:b/>
                <w:bCs/>
                <w:color w:val="auto"/>
                <w:sz w:val="21"/>
                <w:szCs w:val="21"/>
                <w:highlight w:val="none"/>
                <w:lang w:eastAsia="zh-CN"/>
              </w:rPr>
            </w:pPr>
            <w:r>
              <w:rPr>
                <w:rFonts w:hint="eastAsia" w:cs="Times New Roman"/>
                <w:b/>
                <w:bCs/>
                <w:color w:val="auto"/>
                <w:sz w:val="21"/>
                <w:szCs w:val="21"/>
                <w:highlight w:val="none"/>
                <w:lang w:eastAsia="zh-CN"/>
              </w:rPr>
              <w:t>（</w:t>
            </w:r>
            <w:r>
              <w:rPr>
                <w:rFonts w:hint="eastAsia" w:cs="Times New Roman"/>
                <w:b/>
                <w:bCs/>
                <w:color w:val="auto"/>
                <w:sz w:val="21"/>
                <w:szCs w:val="21"/>
                <w:highlight w:val="none"/>
                <w:lang w:val="en-US" w:eastAsia="zh-CN"/>
              </w:rPr>
              <w:t>1</w:t>
            </w:r>
            <w:r>
              <w:rPr>
                <w:rFonts w:hint="eastAsia" w:cs="Times New Roman"/>
                <w:b/>
                <w:bCs/>
                <w:color w:val="auto"/>
                <w:sz w:val="21"/>
                <w:szCs w:val="21"/>
                <w:highlight w:val="none"/>
                <w:lang w:eastAsia="zh-CN"/>
              </w:rPr>
              <w:t>）新乡市凤泉区</w:t>
            </w:r>
            <w:r>
              <w:rPr>
                <w:rFonts w:hint="default" w:ascii="Times New Roman" w:hAnsi="Times New Roman" w:cs="Times New Roman"/>
                <w:b/>
                <w:bCs/>
                <w:color w:val="auto"/>
                <w:kern w:val="2"/>
                <w:sz w:val="21"/>
                <w:szCs w:val="21"/>
                <w:highlight w:val="none"/>
                <w:lang w:eastAsia="zh-CN"/>
              </w:rPr>
              <w:t>污水处理厂概况</w:t>
            </w:r>
          </w:p>
          <w:p>
            <w:pPr>
              <w:pStyle w:val="7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新乡市凤泉区</w:t>
            </w:r>
            <w:r>
              <w:rPr>
                <w:rFonts w:hint="eastAsia" w:ascii="Times New Roman" w:hAnsi="Times New Roman" w:eastAsia="宋体" w:cs="Times New Roman"/>
                <w:color w:val="auto"/>
                <w:kern w:val="2"/>
                <w:sz w:val="21"/>
                <w:szCs w:val="21"/>
                <w:highlight w:val="none"/>
                <w:lang w:val="en-US" w:eastAsia="zh-CN" w:bidi="ar-SA"/>
              </w:rPr>
              <w:t>污水处理厂</w:t>
            </w:r>
            <w:r>
              <w:rPr>
                <w:rFonts w:hint="eastAsia" w:cs="Times New Roman"/>
                <w:color w:val="auto"/>
                <w:kern w:val="2"/>
                <w:sz w:val="21"/>
                <w:szCs w:val="21"/>
                <w:highlight w:val="none"/>
                <w:lang w:val="en-US" w:eastAsia="zh-CN" w:bidi="ar-SA"/>
              </w:rPr>
              <w:t>选址</w:t>
            </w:r>
            <w:r>
              <w:rPr>
                <w:rFonts w:hint="eastAsia" w:ascii="Times New Roman" w:hAnsi="Times New Roman" w:eastAsia="宋体" w:cs="Times New Roman"/>
                <w:color w:val="auto"/>
                <w:kern w:val="2"/>
                <w:sz w:val="21"/>
                <w:szCs w:val="21"/>
                <w:highlight w:val="none"/>
                <w:lang w:val="en-US" w:eastAsia="zh-CN" w:bidi="ar-SA"/>
              </w:rPr>
              <w:t>位于</w:t>
            </w:r>
            <w:r>
              <w:rPr>
                <w:rFonts w:hint="eastAsia" w:cs="Times New Roman"/>
                <w:color w:val="auto"/>
                <w:kern w:val="2"/>
                <w:sz w:val="21"/>
                <w:szCs w:val="21"/>
                <w:highlight w:val="none"/>
                <w:lang w:val="en-US" w:eastAsia="zh-CN" w:bidi="ar-SA"/>
              </w:rPr>
              <w:t>新乡市凤泉区新中大道与京广铁路东南角</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目前还未开工建设，规划</w:t>
            </w:r>
            <w:r>
              <w:rPr>
                <w:rFonts w:hint="eastAsia" w:ascii="Times New Roman" w:hAnsi="Times New Roman" w:eastAsia="宋体" w:cs="Times New Roman"/>
                <w:color w:val="auto"/>
                <w:kern w:val="2"/>
                <w:sz w:val="21"/>
                <w:szCs w:val="21"/>
                <w:highlight w:val="none"/>
                <w:lang w:val="en-US" w:eastAsia="zh-CN" w:bidi="ar-SA"/>
              </w:rPr>
              <w:t>占地面积</w:t>
            </w:r>
            <w:r>
              <w:rPr>
                <w:rFonts w:hint="eastAsia" w:cs="Times New Roman"/>
                <w:color w:val="auto"/>
                <w:kern w:val="2"/>
                <w:sz w:val="21"/>
                <w:szCs w:val="21"/>
                <w:highlight w:val="none"/>
                <w:lang w:val="en-US" w:eastAsia="zh-CN" w:bidi="ar-SA"/>
              </w:rPr>
              <w:t>105亩</w:t>
            </w:r>
            <w:r>
              <w:rPr>
                <w:rFonts w:hint="eastAsia" w:ascii="Times New Roman" w:hAnsi="Times New Roman" w:eastAsia="宋体" w:cs="Times New Roman"/>
                <w:color w:val="auto"/>
                <w:kern w:val="2"/>
                <w:sz w:val="21"/>
                <w:szCs w:val="21"/>
                <w:highlight w:val="none"/>
                <w:lang w:val="en-US" w:eastAsia="zh-CN" w:bidi="ar-SA"/>
              </w:rPr>
              <w:t>，设计处理规模为3万m</w:t>
            </w:r>
            <w:r>
              <w:rPr>
                <w:rFonts w:hint="eastAsia" w:ascii="Times New Roman" w:hAnsi="Times New Roman" w:eastAsia="宋体" w:cs="Times New Roman"/>
                <w:color w:val="auto"/>
                <w:kern w:val="2"/>
                <w:sz w:val="21"/>
                <w:szCs w:val="21"/>
                <w:highlight w:val="none"/>
                <w:vertAlign w:val="superscript"/>
                <w:lang w:val="en-US" w:eastAsia="zh-CN" w:bidi="ar-SA"/>
              </w:rPr>
              <w:t>3</w:t>
            </w:r>
            <w:r>
              <w:rPr>
                <w:rFonts w:hint="eastAsia" w:ascii="Times New Roman" w:hAnsi="Times New Roman" w:eastAsia="宋体" w:cs="Times New Roman"/>
                <w:color w:val="auto"/>
                <w:kern w:val="2"/>
                <w:sz w:val="21"/>
                <w:szCs w:val="21"/>
                <w:highlight w:val="none"/>
                <w:lang w:val="en-US" w:eastAsia="zh-CN" w:bidi="ar-SA"/>
              </w:rPr>
              <w:t>/d，采用的工艺为“粗格栅+</w:t>
            </w:r>
            <w:r>
              <w:rPr>
                <w:rFonts w:hint="eastAsia" w:cs="Times New Roman"/>
                <w:color w:val="auto"/>
                <w:kern w:val="2"/>
                <w:sz w:val="21"/>
                <w:szCs w:val="21"/>
                <w:highlight w:val="none"/>
                <w:lang w:val="en-US" w:eastAsia="zh-CN" w:bidi="ar-SA"/>
              </w:rPr>
              <w:t>细格栅+</w:t>
            </w:r>
            <w:r>
              <w:rPr>
                <w:rFonts w:hint="eastAsia" w:ascii="Times New Roman" w:hAnsi="Times New Roman" w:eastAsia="宋体" w:cs="Times New Roman"/>
                <w:color w:val="auto"/>
                <w:kern w:val="2"/>
                <w:sz w:val="21"/>
                <w:szCs w:val="21"/>
                <w:highlight w:val="none"/>
                <w:lang w:val="en-US" w:eastAsia="zh-CN" w:bidi="ar-SA"/>
              </w:rPr>
              <w:t>调节池+</w:t>
            </w:r>
            <w:r>
              <w:rPr>
                <w:rFonts w:hint="eastAsia" w:cs="Times New Roman"/>
                <w:color w:val="auto"/>
                <w:kern w:val="2"/>
                <w:sz w:val="21"/>
                <w:szCs w:val="21"/>
                <w:highlight w:val="none"/>
                <w:lang w:val="en-US" w:eastAsia="zh-CN" w:bidi="ar-SA"/>
              </w:rPr>
              <w:t>旋流沉砂池</w:t>
            </w:r>
            <w:r>
              <w:rPr>
                <w:rFonts w:hint="eastAsia" w:ascii="Times New Roman" w:hAnsi="Times New Roman" w:eastAsia="宋体" w:cs="Times New Roman"/>
                <w:color w:val="auto"/>
                <w:kern w:val="2"/>
                <w:sz w:val="21"/>
                <w:szCs w:val="21"/>
                <w:highlight w:val="none"/>
                <w:lang w:val="en-US" w:eastAsia="zh-CN" w:bidi="ar-SA"/>
              </w:rPr>
              <w:t>+A</w:t>
            </w:r>
            <w:r>
              <w:rPr>
                <w:rFonts w:hint="eastAsia" w:ascii="Times New Roman" w:hAnsi="Times New Roman" w:eastAsia="宋体" w:cs="Times New Roman"/>
                <w:color w:val="auto"/>
                <w:kern w:val="2"/>
                <w:sz w:val="21"/>
                <w:szCs w:val="21"/>
                <w:highlight w:val="none"/>
                <w:vertAlign w:val="superscript"/>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O+MBR+</w:t>
            </w:r>
            <w:r>
              <w:rPr>
                <w:rFonts w:hint="eastAsia" w:cs="Times New Roman"/>
                <w:color w:val="auto"/>
                <w:kern w:val="2"/>
                <w:sz w:val="21"/>
                <w:szCs w:val="21"/>
                <w:highlight w:val="none"/>
                <w:lang w:val="en-US" w:eastAsia="zh-CN" w:bidi="ar-SA"/>
              </w:rPr>
              <w:t>二沉池+高效沉淀池+</w:t>
            </w:r>
            <w:r>
              <w:rPr>
                <w:rFonts w:hint="eastAsia" w:ascii="Times New Roman" w:hAnsi="Times New Roman" w:eastAsia="宋体" w:cs="Times New Roman"/>
                <w:color w:val="auto"/>
                <w:kern w:val="2"/>
                <w:sz w:val="21"/>
                <w:szCs w:val="21"/>
                <w:highlight w:val="none"/>
                <w:lang w:val="en-US" w:eastAsia="zh-CN" w:bidi="ar-SA"/>
              </w:rPr>
              <w:t>次氯酸钠消毒工艺”，设计进水水质为COD350mg/L、SS</w:t>
            </w:r>
            <w:r>
              <w:rPr>
                <w:rFonts w:hint="eastAsia" w:cs="Times New Roman"/>
                <w:color w:val="auto"/>
                <w:kern w:val="2"/>
                <w:sz w:val="21"/>
                <w:szCs w:val="21"/>
                <w:highlight w:val="none"/>
                <w:lang w:val="en-US" w:eastAsia="zh-CN" w:bidi="ar-SA"/>
              </w:rPr>
              <w:t>240</w:t>
            </w:r>
            <w:r>
              <w:rPr>
                <w:rFonts w:hint="eastAsia" w:ascii="Times New Roman" w:hAnsi="Times New Roman" w:eastAsia="宋体" w:cs="Times New Roman"/>
                <w:color w:val="auto"/>
                <w:kern w:val="2"/>
                <w:sz w:val="21"/>
                <w:szCs w:val="21"/>
                <w:highlight w:val="none"/>
                <w:lang w:val="en-US" w:eastAsia="zh-CN" w:bidi="ar-SA"/>
              </w:rPr>
              <w:t>mg/L、NH</w:t>
            </w:r>
            <w:r>
              <w:rPr>
                <w:rFonts w:hint="eastAsia" w:ascii="Times New Roman" w:hAnsi="Times New Roman" w:eastAsia="宋体" w:cs="Times New Roman"/>
                <w:color w:val="auto"/>
                <w:kern w:val="2"/>
                <w:sz w:val="21"/>
                <w:szCs w:val="21"/>
                <w:highlight w:val="none"/>
                <w:vertAlign w:val="subscript"/>
                <w:lang w:val="en-US" w:eastAsia="zh-CN" w:bidi="ar-SA"/>
              </w:rPr>
              <w:t>3</w:t>
            </w:r>
            <w:r>
              <w:rPr>
                <w:rFonts w:hint="eastAsia" w:ascii="Times New Roman" w:hAnsi="Times New Roman" w:eastAsia="宋体" w:cs="Times New Roman"/>
                <w:color w:val="auto"/>
                <w:kern w:val="2"/>
                <w:sz w:val="21"/>
                <w:szCs w:val="21"/>
                <w:highlight w:val="none"/>
                <w:lang w:val="en-US" w:eastAsia="zh-CN" w:bidi="ar-SA"/>
              </w:rPr>
              <w:t>-N35mg/L、TP4mg/L、TN</w:t>
            </w:r>
            <w:r>
              <w:rPr>
                <w:rFonts w:hint="eastAsia" w:cs="Times New Roman"/>
                <w:color w:val="auto"/>
                <w:kern w:val="2"/>
                <w:sz w:val="21"/>
                <w:szCs w:val="21"/>
                <w:highlight w:val="none"/>
                <w:lang w:val="en-US" w:eastAsia="zh-CN" w:bidi="ar-SA"/>
              </w:rPr>
              <w:t>55</w:t>
            </w:r>
            <w:r>
              <w:rPr>
                <w:rFonts w:hint="eastAsia" w:ascii="Times New Roman" w:hAnsi="Times New Roman" w:eastAsia="宋体" w:cs="Times New Roman"/>
                <w:color w:val="auto"/>
                <w:kern w:val="2"/>
                <w:sz w:val="21"/>
                <w:szCs w:val="21"/>
                <w:highlight w:val="none"/>
                <w:lang w:val="en-US" w:eastAsia="zh-CN" w:bidi="ar-SA"/>
              </w:rPr>
              <w:t>mg/L，</w:t>
            </w:r>
            <w:r>
              <w:rPr>
                <w:rFonts w:hint="eastAsia" w:cs="Times New Roman"/>
                <w:color w:val="auto"/>
                <w:kern w:val="2"/>
                <w:sz w:val="21"/>
                <w:szCs w:val="21"/>
                <w:highlight w:val="none"/>
                <w:lang w:val="en-US" w:eastAsia="zh-CN" w:bidi="ar-SA"/>
              </w:rPr>
              <w:t>设计</w:t>
            </w:r>
            <w:r>
              <w:rPr>
                <w:rFonts w:hint="eastAsia" w:ascii="Times New Roman" w:hAnsi="Times New Roman" w:eastAsia="宋体" w:cs="Times New Roman"/>
                <w:color w:val="auto"/>
                <w:kern w:val="2"/>
                <w:sz w:val="21"/>
                <w:szCs w:val="21"/>
                <w:highlight w:val="none"/>
                <w:lang w:val="en-US" w:eastAsia="zh-CN" w:bidi="ar-SA"/>
              </w:rPr>
              <w:t>出水水质COD、NH</w:t>
            </w:r>
            <w:r>
              <w:rPr>
                <w:rFonts w:hint="eastAsia" w:ascii="Times New Roman" w:hAnsi="Times New Roman" w:eastAsia="宋体" w:cs="Times New Roman"/>
                <w:color w:val="auto"/>
                <w:kern w:val="2"/>
                <w:sz w:val="21"/>
                <w:szCs w:val="21"/>
                <w:highlight w:val="none"/>
                <w:vertAlign w:val="subscript"/>
                <w:lang w:val="en-US" w:eastAsia="zh-CN" w:bidi="ar-SA"/>
              </w:rPr>
              <w:t>3</w:t>
            </w:r>
            <w:r>
              <w:rPr>
                <w:rFonts w:hint="eastAsia" w:ascii="Times New Roman" w:hAnsi="Times New Roman" w:eastAsia="宋体" w:cs="Times New Roman"/>
                <w:color w:val="auto"/>
                <w:kern w:val="2"/>
                <w:sz w:val="21"/>
                <w:szCs w:val="21"/>
                <w:highlight w:val="none"/>
                <w:lang w:val="en-US" w:eastAsia="zh-CN" w:bidi="ar-SA"/>
              </w:rPr>
              <w:t>-N、TP指标执行《地表水环境质量标准》（GB3838-2002）V类标准，</w:t>
            </w:r>
            <w:r>
              <w:rPr>
                <w:rFonts w:hint="eastAsia" w:cs="Times New Roman"/>
                <w:color w:val="auto"/>
                <w:kern w:val="2"/>
                <w:sz w:val="21"/>
                <w:szCs w:val="21"/>
                <w:highlight w:val="none"/>
                <w:lang w:val="en-US" w:eastAsia="zh-CN" w:bidi="ar-SA"/>
              </w:rPr>
              <w:t>SS、</w:t>
            </w:r>
            <w:r>
              <w:rPr>
                <w:rFonts w:hint="eastAsia" w:ascii="Times New Roman" w:hAnsi="Times New Roman" w:eastAsia="宋体" w:cs="Times New Roman"/>
                <w:color w:val="auto"/>
                <w:kern w:val="2"/>
                <w:sz w:val="21"/>
                <w:szCs w:val="21"/>
                <w:highlight w:val="none"/>
                <w:lang w:val="en-US" w:eastAsia="zh-CN" w:bidi="ar-SA"/>
              </w:rPr>
              <w:t>TN执行《城镇污水处理厂污染物排放标准》（GB18918-2002）表1一级A标准，</w:t>
            </w:r>
            <w:r>
              <w:rPr>
                <w:rFonts w:hint="eastAsia" w:cs="Times New Roman"/>
                <w:color w:val="auto"/>
                <w:kern w:val="2"/>
                <w:sz w:val="21"/>
                <w:szCs w:val="21"/>
                <w:highlight w:val="none"/>
                <w:lang w:val="en-US" w:eastAsia="zh-CN" w:bidi="ar-SA"/>
              </w:rPr>
              <w:t>出水</w:t>
            </w:r>
            <w:r>
              <w:rPr>
                <w:rFonts w:hint="eastAsia" w:ascii="Times New Roman" w:hAnsi="Times New Roman" w:eastAsia="宋体" w:cs="Times New Roman"/>
                <w:color w:val="auto"/>
                <w:kern w:val="2"/>
                <w:sz w:val="21"/>
                <w:szCs w:val="21"/>
                <w:highlight w:val="none"/>
                <w:lang w:val="en-US" w:eastAsia="zh-CN" w:bidi="ar-SA"/>
              </w:rPr>
              <w:t>经民生渠最终排入</w:t>
            </w:r>
            <w:r>
              <w:rPr>
                <w:rFonts w:hint="eastAsia" w:cs="Times New Roman"/>
                <w:color w:val="auto"/>
                <w:kern w:val="2"/>
                <w:sz w:val="21"/>
                <w:szCs w:val="21"/>
                <w:highlight w:val="none"/>
                <w:lang w:val="en-US" w:eastAsia="zh-CN" w:bidi="ar-SA"/>
              </w:rPr>
              <w:t>共产主义渠</w:t>
            </w:r>
            <w:r>
              <w:rPr>
                <w:rFonts w:hint="eastAsia" w:ascii="Times New Roman" w:hAnsi="Times New Roman" w:eastAsia="宋体" w:cs="Times New Roman"/>
                <w:color w:val="auto"/>
                <w:kern w:val="2"/>
                <w:sz w:val="21"/>
                <w:szCs w:val="21"/>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22" w:firstLineChars="200"/>
              <w:textAlignment w:val="auto"/>
              <w:rPr>
                <w:rFonts w:hint="default" w:ascii="Times New Roman" w:hAnsi="Times New Roman" w:cs="Times New Roman"/>
                <w:b/>
                <w:bCs/>
                <w:color w:val="auto"/>
                <w:sz w:val="21"/>
                <w:szCs w:val="21"/>
                <w:highlight w:val="none"/>
                <w:lang w:eastAsia="zh-CN"/>
              </w:rPr>
            </w:pPr>
            <w:r>
              <w:rPr>
                <w:rFonts w:hint="eastAsia" w:cs="Times New Roman"/>
                <w:b/>
                <w:bCs/>
                <w:color w:val="auto"/>
                <w:sz w:val="21"/>
                <w:szCs w:val="21"/>
                <w:highlight w:val="none"/>
                <w:lang w:eastAsia="zh-CN"/>
              </w:rPr>
              <w:t>（</w:t>
            </w:r>
            <w:r>
              <w:rPr>
                <w:rFonts w:hint="eastAsia" w:cs="Times New Roman"/>
                <w:b/>
                <w:bCs/>
                <w:color w:val="auto"/>
                <w:sz w:val="21"/>
                <w:szCs w:val="21"/>
                <w:highlight w:val="none"/>
                <w:lang w:val="en-US" w:eastAsia="zh-CN"/>
              </w:rPr>
              <w:t>2</w:t>
            </w:r>
            <w:r>
              <w:rPr>
                <w:rFonts w:hint="eastAsia"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lang w:eastAsia="zh-CN"/>
              </w:rPr>
              <w:t>收水水质</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20" w:firstLineChars="200"/>
              <w:textAlignment w:val="auto"/>
              <w:rPr>
                <w:rFonts w:hint="default" w:ascii="Times New Roman" w:hAnsi="Times New Roman" w:eastAsia="宋体" w:cs="Times New Roman"/>
                <w:color w:val="auto"/>
                <w:sz w:val="21"/>
                <w:szCs w:val="21"/>
                <w:highlight w:val="green"/>
                <w:lang w:eastAsia="zh-CN"/>
              </w:rPr>
            </w:pPr>
            <w:r>
              <w:rPr>
                <w:rFonts w:hint="default" w:ascii="Times New Roman" w:hAnsi="Times New Roman" w:eastAsia="宋体" w:cs="Times New Roman"/>
                <w:bCs/>
                <w:color w:val="auto"/>
                <w:kern w:val="0"/>
                <w:sz w:val="21"/>
                <w:szCs w:val="21"/>
                <w:highlight w:val="none"/>
                <w:lang w:eastAsia="zh-CN"/>
              </w:rPr>
              <w:t>本项目废水</w:t>
            </w:r>
            <w:r>
              <w:rPr>
                <w:rFonts w:hint="default" w:ascii="Times New Roman" w:hAnsi="Times New Roman" w:eastAsia="宋体" w:cs="Times New Roman"/>
                <w:bCs/>
                <w:color w:val="auto"/>
                <w:kern w:val="0"/>
                <w:sz w:val="21"/>
                <w:szCs w:val="21"/>
                <w:highlight w:val="none"/>
              </w:rPr>
              <w:t>排水量为</w:t>
            </w:r>
            <w:r>
              <w:rPr>
                <w:rFonts w:hint="eastAsia" w:cs="Times New Roman"/>
                <w:color w:val="auto"/>
                <w:sz w:val="21"/>
                <w:szCs w:val="21"/>
                <w:highlight w:val="none"/>
                <w:lang w:val="en-US" w:eastAsia="zh-CN"/>
              </w:rPr>
              <w:t>0.96</w:t>
            </w:r>
            <w:r>
              <w:rPr>
                <w:rFonts w:hint="default" w:ascii="Times New Roman" w:hAnsi="Times New Roman"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vertAlign w:val="superscript"/>
              </w:rPr>
              <w:t>3</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d（</w:t>
            </w:r>
            <w:r>
              <w:rPr>
                <w:rFonts w:hint="eastAsia" w:cs="Times New Roman"/>
                <w:bCs/>
                <w:color w:val="auto"/>
                <w:kern w:val="0"/>
                <w:sz w:val="21"/>
                <w:szCs w:val="21"/>
                <w:highlight w:val="none"/>
                <w:lang w:val="en-US" w:eastAsia="zh-CN"/>
              </w:rPr>
              <w:t>288</w:t>
            </w:r>
            <w:r>
              <w:rPr>
                <w:rFonts w:hint="default" w:ascii="Times New Roman" w:hAnsi="Times New Roman"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vertAlign w:val="superscript"/>
              </w:rPr>
              <w:t>3</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a）</w:t>
            </w:r>
            <w:r>
              <w:rPr>
                <w:rFonts w:hint="default" w:ascii="Times New Roman" w:hAnsi="Times New Roman" w:cs="Times New Roman"/>
                <w:bCs/>
                <w:color w:val="auto"/>
                <w:sz w:val="21"/>
                <w:szCs w:val="21"/>
                <w:highlight w:val="none"/>
                <w:lang w:eastAsia="zh-CN"/>
              </w:rPr>
              <w:t>，外排</w:t>
            </w:r>
            <w:r>
              <w:rPr>
                <w:rFonts w:hint="default" w:ascii="Times New Roman" w:hAnsi="Times New Roman" w:cs="Times New Roman"/>
                <w:color w:val="auto"/>
                <w:sz w:val="21"/>
                <w:szCs w:val="21"/>
                <w:highlight w:val="none"/>
                <w:lang w:eastAsia="zh-CN"/>
              </w:rPr>
              <w:t>废水</w:t>
            </w:r>
            <w:r>
              <w:rPr>
                <w:rFonts w:hint="default" w:ascii="Times New Roman" w:hAnsi="Times New Roman" w:cs="Times New Roman"/>
                <w:color w:val="auto"/>
                <w:sz w:val="21"/>
                <w:szCs w:val="21"/>
                <w:highlight w:val="none"/>
              </w:rPr>
              <w:t>水质</w:t>
            </w:r>
            <w:r>
              <w:rPr>
                <w:rFonts w:hint="default" w:ascii="Times New Roman" w:hAnsi="Times New Roman" w:eastAsia="宋体" w:cs="Times New Roman"/>
                <w:bCs/>
                <w:color w:val="auto"/>
                <w:kern w:val="0"/>
                <w:sz w:val="21"/>
                <w:szCs w:val="21"/>
                <w:highlight w:val="none"/>
              </w:rPr>
              <w:t>能够满足</w:t>
            </w:r>
            <w:r>
              <w:rPr>
                <w:rFonts w:hint="eastAsia" w:cs="Times New Roman"/>
                <w:bCs/>
                <w:color w:val="auto"/>
                <w:kern w:val="0"/>
                <w:sz w:val="21"/>
                <w:szCs w:val="21"/>
                <w:highlight w:val="none"/>
                <w:lang w:eastAsia="zh-CN"/>
              </w:rPr>
              <w:t>新乡市凤泉区</w:t>
            </w:r>
            <w:r>
              <w:rPr>
                <w:rFonts w:hint="default" w:ascii="Times New Roman" w:hAnsi="Times New Roman" w:eastAsia="宋体" w:cs="Times New Roman"/>
                <w:bCs/>
                <w:color w:val="auto"/>
                <w:kern w:val="0"/>
                <w:sz w:val="21"/>
                <w:szCs w:val="21"/>
                <w:highlight w:val="none"/>
              </w:rPr>
              <w:t>污水处理厂设计进水水质要求（</w:t>
            </w:r>
            <w:r>
              <w:rPr>
                <w:rFonts w:hint="default" w:ascii="Times New Roman" w:hAnsi="Times New Roman" w:eastAsia="宋体" w:cs="Times New Roman"/>
                <w:bCs/>
                <w:color w:val="auto"/>
                <w:kern w:val="2"/>
                <w:sz w:val="21"/>
                <w:szCs w:val="21"/>
                <w:highlight w:val="none"/>
              </w:rPr>
              <w:t>COD</w:t>
            </w:r>
            <w:r>
              <w:rPr>
                <w:rFonts w:hint="default" w:ascii="Times New Roman" w:hAnsi="Times New Roman" w:eastAsia="宋体" w:cs="Times New Roman"/>
                <w:bCs/>
                <w:color w:val="auto"/>
                <w:kern w:val="2"/>
                <w:sz w:val="21"/>
                <w:szCs w:val="21"/>
                <w:highlight w:val="none"/>
                <w:lang w:val="en-US" w:eastAsia="zh-CN"/>
              </w:rPr>
              <w:t>350</w:t>
            </w:r>
            <w:r>
              <w:rPr>
                <w:rFonts w:hint="default" w:ascii="Times New Roman" w:hAnsi="Times New Roman" w:eastAsia="宋体" w:cs="Times New Roman"/>
                <w:bCs/>
                <w:color w:val="auto"/>
                <w:kern w:val="2"/>
                <w:sz w:val="21"/>
                <w:szCs w:val="21"/>
                <w:highlight w:val="none"/>
              </w:rPr>
              <w:t>mg/L</w:t>
            </w:r>
            <w:r>
              <w:rPr>
                <w:rFonts w:hint="default" w:ascii="Times New Roman" w:hAnsi="Times New Roman" w:cs="Times New Roman"/>
                <w:bCs/>
                <w:color w:val="auto"/>
                <w:kern w:val="2"/>
                <w:sz w:val="21"/>
                <w:szCs w:val="21"/>
                <w:highlight w:val="none"/>
                <w:lang w:eastAsia="zh-CN"/>
              </w:rPr>
              <w:t>、</w:t>
            </w:r>
            <w:r>
              <w:rPr>
                <w:rFonts w:hint="default" w:ascii="Times New Roman" w:hAnsi="Times New Roman" w:eastAsia="宋体" w:cs="Times New Roman"/>
                <w:bCs/>
                <w:color w:val="auto"/>
                <w:kern w:val="2"/>
                <w:sz w:val="21"/>
                <w:szCs w:val="21"/>
                <w:highlight w:val="none"/>
              </w:rPr>
              <w:t>SS</w:t>
            </w:r>
            <w:r>
              <w:rPr>
                <w:rFonts w:hint="eastAsia" w:cs="Times New Roman"/>
                <w:bCs/>
                <w:color w:val="auto"/>
                <w:kern w:val="2"/>
                <w:sz w:val="21"/>
                <w:szCs w:val="21"/>
                <w:highlight w:val="none"/>
                <w:lang w:val="en-US" w:eastAsia="zh-CN"/>
              </w:rPr>
              <w:t>240</w:t>
            </w:r>
            <w:r>
              <w:rPr>
                <w:rFonts w:hint="default" w:ascii="Times New Roman" w:hAnsi="Times New Roman" w:eastAsia="宋体" w:cs="Times New Roman"/>
                <w:bCs/>
                <w:color w:val="auto"/>
                <w:kern w:val="2"/>
                <w:sz w:val="21"/>
                <w:szCs w:val="21"/>
                <w:highlight w:val="none"/>
              </w:rPr>
              <w:t>mg/L、氨氮</w:t>
            </w:r>
            <w:r>
              <w:rPr>
                <w:rFonts w:hint="eastAsia" w:cs="Times New Roman"/>
                <w:bCs/>
                <w:color w:val="auto"/>
                <w:kern w:val="2"/>
                <w:sz w:val="21"/>
                <w:szCs w:val="21"/>
                <w:highlight w:val="none"/>
                <w:lang w:val="en-US" w:eastAsia="zh-CN"/>
              </w:rPr>
              <w:t>35</w:t>
            </w:r>
            <w:r>
              <w:rPr>
                <w:rFonts w:hint="default" w:ascii="Times New Roman" w:hAnsi="Times New Roman" w:eastAsia="宋体" w:cs="Times New Roman"/>
                <w:bCs/>
                <w:color w:val="auto"/>
                <w:kern w:val="2"/>
                <w:sz w:val="21"/>
                <w:szCs w:val="21"/>
                <w:highlight w:val="none"/>
              </w:rPr>
              <w:t>mg/L</w:t>
            </w:r>
            <w:r>
              <w:rPr>
                <w:rFonts w:hint="default" w:ascii="Times New Roman" w:hAnsi="Times New Roman" w:eastAsia="宋体" w:cs="Times New Roman"/>
                <w:bCs/>
                <w:color w:val="auto"/>
                <w:kern w:val="2"/>
                <w:sz w:val="21"/>
                <w:szCs w:val="21"/>
                <w:highlight w:val="none"/>
                <w:lang w:eastAsia="zh-CN"/>
              </w:rPr>
              <w:t>、总磷</w:t>
            </w:r>
            <w:r>
              <w:rPr>
                <w:rFonts w:hint="eastAsia" w:cs="Times New Roman"/>
                <w:bCs/>
                <w:color w:val="auto"/>
                <w:kern w:val="2"/>
                <w:sz w:val="21"/>
                <w:szCs w:val="21"/>
                <w:highlight w:val="none"/>
                <w:lang w:val="en-US" w:eastAsia="zh-CN"/>
              </w:rPr>
              <w:t>4</w:t>
            </w:r>
            <w:r>
              <w:rPr>
                <w:rFonts w:hint="default" w:ascii="Times New Roman" w:hAnsi="Times New Roman" w:eastAsia="宋体" w:cs="Times New Roman"/>
                <w:bCs/>
                <w:color w:val="auto"/>
                <w:kern w:val="2"/>
                <w:sz w:val="21"/>
                <w:szCs w:val="21"/>
                <w:highlight w:val="none"/>
              </w:rPr>
              <w:t>mg/L</w:t>
            </w:r>
            <w:r>
              <w:rPr>
                <w:rFonts w:hint="default" w:ascii="Times New Roman" w:hAnsi="Times New Roman" w:eastAsia="宋体" w:cs="Times New Roman"/>
                <w:bCs/>
                <w:color w:val="auto"/>
                <w:kern w:val="0"/>
                <w:sz w:val="21"/>
                <w:szCs w:val="21"/>
                <w:highlight w:val="none"/>
              </w:rPr>
              <w:t>）。</w:t>
            </w:r>
            <w:r>
              <w:rPr>
                <w:rFonts w:hint="default" w:ascii="Times New Roman" w:hAnsi="Times New Roman" w:eastAsia="宋体" w:cs="Times New Roman"/>
                <w:bCs/>
                <w:color w:val="auto"/>
                <w:kern w:val="0"/>
                <w:sz w:val="21"/>
                <w:szCs w:val="21"/>
                <w:highlight w:val="none"/>
                <w:lang w:eastAsia="zh-CN"/>
              </w:rPr>
              <w:t>且</w:t>
            </w:r>
            <w:r>
              <w:rPr>
                <w:rFonts w:hint="default" w:ascii="Times New Roman" w:hAnsi="Times New Roman" w:eastAsia="宋体" w:cs="Times New Roman"/>
                <w:bCs/>
                <w:color w:val="auto"/>
                <w:kern w:val="0"/>
                <w:sz w:val="21"/>
                <w:szCs w:val="21"/>
                <w:highlight w:val="none"/>
              </w:rPr>
              <w:t>项目</w:t>
            </w:r>
            <w:r>
              <w:rPr>
                <w:rFonts w:hint="default" w:ascii="Times New Roman" w:hAnsi="Times New Roman" w:eastAsia="宋体" w:cs="Times New Roman"/>
                <w:bCs/>
                <w:color w:val="auto"/>
                <w:kern w:val="0"/>
                <w:sz w:val="21"/>
                <w:szCs w:val="21"/>
                <w:highlight w:val="none"/>
                <w:lang w:eastAsia="zh-CN"/>
              </w:rPr>
              <w:t>废水</w:t>
            </w:r>
            <w:r>
              <w:rPr>
                <w:rFonts w:hint="default" w:ascii="Times New Roman" w:hAnsi="Times New Roman" w:eastAsia="宋体" w:cs="Times New Roman"/>
                <w:bCs/>
                <w:color w:val="auto"/>
                <w:kern w:val="0"/>
                <w:sz w:val="21"/>
                <w:szCs w:val="21"/>
                <w:highlight w:val="none"/>
              </w:rPr>
              <w:t>水质简单，</w:t>
            </w:r>
            <w:r>
              <w:rPr>
                <w:rFonts w:hint="default" w:ascii="Times New Roman" w:hAnsi="Times New Roman" w:eastAsia="宋体" w:cs="Times New Roman"/>
                <w:bCs/>
                <w:color w:val="auto"/>
                <w:kern w:val="2"/>
                <w:sz w:val="21"/>
                <w:szCs w:val="21"/>
                <w:highlight w:val="none"/>
              </w:rPr>
              <w:t>废水没有生物毒性，</w:t>
            </w:r>
            <w:r>
              <w:rPr>
                <w:rFonts w:hint="default" w:ascii="Times New Roman" w:hAnsi="Times New Roman" w:eastAsia="宋体" w:cs="Times New Roman"/>
                <w:bCs/>
                <w:color w:val="auto"/>
                <w:kern w:val="0"/>
                <w:sz w:val="21"/>
                <w:szCs w:val="21"/>
                <w:highlight w:val="none"/>
              </w:rPr>
              <w:t>与污水处理厂其他废水混合后不会对污水处理厂的生化工艺造成不利影响。</w:t>
            </w:r>
            <w:r>
              <w:rPr>
                <w:rFonts w:hint="eastAsia" w:cs="Times New Roman"/>
                <w:bCs/>
                <w:color w:val="auto"/>
                <w:kern w:val="0"/>
                <w:sz w:val="21"/>
                <w:szCs w:val="21"/>
                <w:highlight w:val="none"/>
                <w:lang w:eastAsia="zh-CN"/>
              </w:rPr>
              <w:t>新乡市凤泉区</w:t>
            </w:r>
            <w:r>
              <w:rPr>
                <w:rFonts w:hint="default" w:ascii="Times New Roman" w:hAnsi="Times New Roman" w:eastAsia="宋体" w:cs="Times New Roman"/>
                <w:bCs/>
                <w:color w:val="auto"/>
                <w:kern w:val="0"/>
                <w:sz w:val="21"/>
                <w:szCs w:val="21"/>
                <w:highlight w:val="none"/>
              </w:rPr>
              <w:t>污水处理厂</w:t>
            </w:r>
            <w:r>
              <w:rPr>
                <w:rFonts w:hint="eastAsia" w:cs="Times New Roman"/>
                <w:bCs/>
                <w:color w:val="auto"/>
                <w:kern w:val="0"/>
                <w:sz w:val="21"/>
                <w:szCs w:val="21"/>
                <w:highlight w:val="none"/>
                <w:lang w:eastAsia="zh-CN"/>
              </w:rPr>
              <w:t>目前暂未建设</w:t>
            </w:r>
            <w:r>
              <w:rPr>
                <w:rFonts w:hint="default" w:ascii="Times New Roman" w:hAnsi="Times New Roman" w:eastAsia="宋体" w:cs="Times New Roman"/>
                <w:bCs/>
                <w:color w:val="auto"/>
                <w:kern w:val="0"/>
                <w:sz w:val="21"/>
                <w:szCs w:val="21"/>
                <w:highlight w:val="none"/>
              </w:rPr>
              <w:t>，</w:t>
            </w:r>
            <w:r>
              <w:rPr>
                <w:rFonts w:hint="eastAsia" w:cs="Times New Roman"/>
                <w:bCs/>
                <w:color w:val="auto"/>
                <w:kern w:val="0"/>
                <w:sz w:val="21"/>
                <w:szCs w:val="21"/>
                <w:highlight w:val="none"/>
                <w:lang w:eastAsia="zh-CN"/>
              </w:rPr>
              <w:t>设计</w:t>
            </w:r>
            <w:r>
              <w:rPr>
                <w:rFonts w:hint="default" w:ascii="Times New Roman" w:hAnsi="Times New Roman" w:eastAsia="宋体" w:cs="Times New Roman"/>
                <w:bCs/>
                <w:color w:val="auto"/>
                <w:kern w:val="0"/>
                <w:sz w:val="21"/>
                <w:szCs w:val="21"/>
                <w:highlight w:val="none"/>
              </w:rPr>
              <w:t>收水量</w:t>
            </w:r>
            <w:r>
              <w:rPr>
                <w:rFonts w:hint="eastAsia" w:cs="Times New Roman"/>
                <w:bCs/>
                <w:color w:val="auto"/>
                <w:kern w:val="0"/>
                <w:sz w:val="21"/>
                <w:szCs w:val="21"/>
                <w:highlight w:val="none"/>
                <w:lang w:val="en-US" w:eastAsia="zh-CN"/>
              </w:rPr>
              <w:t>3万</w:t>
            </w:r>
            <w:r>
              <w:rPr>
                <w:rFonts w:hint="default" w:ascii="Times New Roman" w:hAnsi="Times New Roman" w:eastAsia="宋体" w:cs="Times New Roman"/>
                <w:bCs/>
                <w:color w:val="auto"/>
                <w:kern w:val="0"/>
                <w:sz w:val="21"/>
                <w:szCs w:val="21"/>
                <w:highlight w:val="none"/>
              </w:rPr>
              <w:t>m</w:t>
            </w:r>
            <w:r>
              <w:rPr>
                <w:rFonts w:hint="default" w:ascii="Times New Roman" w:hAnsi="Times New Roman" w:eastAsia="宋体" w:cs="Times New Roman"/>
                <w:bCs/>
                <w:color w:val="auto"/>
                <w:kern w:val="0"/>
                <w:sz w:val="21"/>
                <w:szCs w:val="21"/>
                <w:highlight w:val="none"/>
                <w:vertAlign w:val="superscript"/>
              </w:rPr>
              <w:t>3</w:t>
            </w:r>
            <w:r>
              <w:rPr>
                <w:rFonts w:hint="default" w:ascii="Times New Roman" w:hAnsi="Times New Roman" w:eastAsia="宋体" w:cs="Times New Roman"/>
                <w:bCs/>
                <w:color w:val="auto"/>
                <w:kern w:val="0"/>
                <w:sz w:val="21"/>
                <w:szCs w:val="21"/>
                <w:highlight w:val="none"/>
              </w:rPr>
              <w:t>/d。本项目外排废水量为</w:t>
            </w:r>
            <w:r>
              <w:rPr>
                <w:rFonts w:hint="eastAsia" w:cs="Times New Roman"/>
                <w:bCs/>
                <w:color w:val="auto"/>
                <w:kern w:val="0"/>
                <w:sz w:val="21"/>
                <w:szCs w:val="21"/>
                <w:highlight w:val="none"/>
                <w:lang w:val="en-US" w:eastAsia="zh-CN"/>
              </w:rPr>
              <w:t>0.96</w:t>
            </w:r>
            <w:r>
              <w:rPr>
                <w:rFonts w:hint="default" w:ascii="Times New Roman" w:hAnsi="Times New Roman" w:eastAsia="宋体" w:cs="Times New Roman"/>
                <w:bCs/>
                <w:color w:val="auto"/>
                <w:kern w:val="0"/>
                <w:sz w:val="21"/>
                <w:szCs w:val="21"/>
                <w:highlight w:val="none"/>
              </w:rPr>
              <w:t>m</w:t>
            </w:r>
            <w:r>
              <w:rPr>
                <w:rFonts w:hint="default" w:ascii="Times New Roman" w:hAnsi="Times New Roman" w:eastAsia="宋体" w:cs="Times New Roman"/>
                <w:bCs/>
                <w:color w:val="auto"/>
                <w:kern w:val="0"/>
                <w:sz w:val="21"/>
                <w:szCs w:val="21"/>
                <w:highlight w:val="none"/>
                <w:vertAlign w:val="superscript"/>
              </w:rPr>
              <w:t>3</w:t>
            </w:r>
            <w:r>
              <w:rPr>
                <w:rFonts w:hint="default" w:ascii="Times New Roman" w:hAnsi="Times New Roman" w:eastAsia="宋体" w:cs="Times New Roman"/>
                <w:bCs/>
                <w:color w:val="auto"/>
                <w:kern w:val="0"/>
                <w:sz w:val="21"/>
                <w:szCs w:val="21"/>
                <w:highlight w:val="none"/>
              </w:rPr>
              <w:t>/d，仅占其剩余处理能力的</w:t>
            </w:r>
            <w:r>
              <w:rPr>
                <w:rFonts w:hint="eastAsia" w:cs="Times New Roman"/>
                <w:bCs/>
                <w:color w:val="auto"/>
                <w:kern w:val="0"/>
                <w:sz w:val="21"/>
                <w:szCs w:val="21"/>
                <w:highlight w:val="none"/>
                <w:lang w:val="en-US" w:eastAsia="zh-CN"/>
              </w:rPr>
              <w:t>0.0032</w:t>
            </w:r>
            <w:r>
              <w:rPr>
                <w:rFonts w:hint="default" w:ascii="Times New Roman" w:hAnsi="Times New Roman" w:eastAsia="宋体" w:cs="Times New Roman"/>
                <w:bCs/>
                <w:color w:val="auto"/>
                <w:kern w:val="0"/>
                <w:sz w:val="21"/>
                <w:szCs w:val="21"/>
                <w:highlight w:val="none"/>
              </w:rPr>
              <w:t>%，不会对污水处理厂造成冲击，评价认为本项目生活污水</w:t>
            </w:r>
            <w:r>
              <w:rPr>
                <w:rFonts w:hint="eastAsia" w:cs="Times New Roman"/>
                <w:bCs/>
                <w:color w:val="auto"/>
                <w:kern w:val="0"/>
                <w:sz w:val="21"/>
                <w:szCs w:val="21"/>
                <w:highlight w:val="none"/>
                <w:lang w:eastAsia="zh-CN"/>
              </w:rPr>
              <w:t>远期</w:t>
            </w:r>
            <w:r>
              <w:rPr>
                <w:rFonts w:hint="default" w:ascii="Times New Roman" w:hAnsi="Times New Roman" w:eastAsia="宋体" w:cs="Times New Roman"/>
                <w:bCs/>
                <w:color w:val="auto"/>
                <w:kern w:val="0"/>
                <w:sz w:val="21"/>
                <w:szCs w:val="21"/>
                <w:highlight w:val="none"/>
              </w:rPr>
              <w:t>排入</w:t>
            </w:r>
            <w:r>
              <w:rPr>
                <w:rFonts w:hint="eastAsia" w:cs="Times New Roman"/>
                <w:bCs/>
                <w:color w:val="auto"/>
                <w:kern w:val="0"/>
                <w:sz w:val="21"/>
                <w:szCs w:val="21"/>
                <w:highlight w:val="none"/>
                <w:lang w:eastAsia="zh-CN"/>
              </w:rPr>
              <w:t>新乡市凤泉区</w:t>
            </w:r>
            <w:r>
              <w:rPr>
                <w:rFonts w:hint="default" w:ascii="Times New Roman" w:hAnsi="Times New Roman" w:eastAsia="宋体" w:cs="Times New Roman"/>
                <w:bCs/>
                <w:color w:val="auto"/>
                <w:kern w:val="0"/>
                <w:sz w:val="21"/>
                <w:szCs w:val="21"/>
                <w:highlight w:val="none"/>
              </w:rPr>
              <w:t>污水处理厂是可行的。</w:t>
            </w:r>
          </w:p>
          <w:p>
            <w:pPr>
              <w:keepNext w:val="0"/>
              <w:keepLines w:val="0"/>
              <w:pageBreakBefore w:val="0"/>
              <w:widowControl w:val="0"/>
              <w:kinsoku/>
              <w:wordWrap/>
              <w:overflowPunct/>
              <w:topLinePunct w:val="0"/>
              <w:bidi w:val="0"/>
              <w:adjustRightInd/>
              <w:snapToGrid/>
              <w:spacing w:line="360" w:lineRule="auto"/>
              <w:ind w:left="0" w:leftChars="0" w:right="0" w:firstLine="436" w:firstLineChars="200"/>
              <w:textAlignment w:val="auto"/>
              <w:rPr>
                <w:rFonts w:hint="default" w:ascii="Times New Roman" w:hAnsi="Times New Roman" w:cs="Times New Roman"/>
                <w:b/>
                <w:bCs w:val="0"/>
                <w:color w:val="auto"/>
                <w:spacing w:val="-4"/>
                <w:sz w:val="21"/>
                <w:szCs w:val="21"/>
                <w:highlight w:val="none"/>
                <w:lang w:eastAsia="zh-CN"/>
              </w:rPr>
            </w:pPr>
            <w:r>
              <w:rPr>
                <w:rFonts w:hint="default" w:ascii="Times New Roman" w:hAnsi="Times New Roman" w:cs="Times New Roman"/>
                <w:color w:val="auto"/>
                <w:spacing w:val="4"/>
                <w:sz w:val="21"/>
                <w:szCs w:val="21"/>
                <w:highlight w:val="none"/>
              </w:rPr>
              <w:t>综上分析，本项目生活废水</w:t>
            </w:r>
            <w:r>
              <w:rPr>
                <w:rFonts w:hint="eastAsia" w:cs="Times New Roman"/>
                <w:color w:val="auto"/>
                <w:spacing w:val="4"/>
                <w:sz w:val="21"/>
                <w:szCs w:val="21"/>
                <w:highlight w:val="none"/>
                <w:lang w:eastAsia="zh-CN"/>
              </w:rPr>
              <w:t>远期可</w:t>
            </w:r>
            <w:r>
              <w:rPr>
                <w:rFonts w:hint="default" w:ascii="Times New Roman" w:hAnsi="Times New Roman" w:cs="Times New Roman"/>
                <w:color w:val="auto"/>
                <w:spacing w:val="4"/>
                <w:sz w:val="21"/>
                <w:szCs w:val="21"/>
                <w:highlight w:val="none"/>
              </w:rPr>
              <w:t>经管网排入</w:t>
            </w:r>
            <w:r>
              <w:rPr>
                <w:rFonts w:hint="eastAsia" w:cs="Times New Roman"/>
                <w:bCs/>
                <w:color w:val="auto"/>
                <w:kern w:val="0"/>
                <w:sz w:val="21"/>
                <w:szCs w:val="21"/>
                <w:highlight w:val="none"/>
                <w:lang w:eastAsia="zh-CN"/>
              </w:rPr>
              <w:t>新乡市凤泉区</w:t>
            </w:r>
            <w:r>
              <w:rPr>
                <w:rFonts w:hint="default" w:ascii="Times New Roman" w:hAnsi="Times New Roman" w:eastAsia="宋体" w:cs="Times New Roman"/>
                <w:bCs/>
                <w:color w:val="auto"/>
                <w:kern w:val="0"/>
                <w:sz w:val="21"/>
                <w:szCs w:val="21"/>
                <w:highlight w:val="none"/>
              </w:rPr>
              <w:t>污水处理厂</w:t>
            </w:r>
            <w:r>
              <w:rPr>
                <w:rFonts w:hint="default" w:ascii="Times New Roman" w:hAnsi="Times New Roman" w:cs="Times New Roman"/>
                <w:color w:val="auto"/>
                <w:spacing w:val="4"/>
                <w:sz w:val="21"/>
                <w:szCs w:val="21"/>
                <w:highlight w:val="none"/>
              </w:rPr>
              <w:t>进行统一处理，本工程废水能够满足该污水处理厂进水设计指标要求。因此本项目废水</w:t>
            </w:r>
            <w:r>
              <w:rPr>
                <w:rFonts w:hint="eastAsia" w:cs="Times New Roman"/>
                <w:color w:val="auto"/>
                <w:spacing w:val="4"/>
                <w:sz w:val="21"/>
                <w:szCs w:val="21"/>
                <w:highlight w:val="none"/>
                <w:lang w:eastAsia="zh-CN"/>
              </w:rPr>
              <w:t>远期</w:t>
            </w:r>
            <w:r>
              <w:rPr>
                <w:rFonts w:hint="default" w:ascii="Times New Roman" w:hAnsi="Times New Roman" w:cs="Times New Roman"/>
                <w:color w:val="auto"/>
                <w:spacing w:val="4"/>
                <w:sz w:val="21"/>
                <w:szCs w:val="21"/>
                <w:highlight w:val="none"/>
              </w:rPr>
              <w:t>进入</w:t>
            </w:r>
            <w:r>
              <w:rPr>
                <w:rFonts w:hint="eastAsia" w:cs="Times New Roman"/>
                <w:bCs/>
                <w:color w:val="auto"/>
                <w:kern w:val="0"/>
                <w:sz w:val="21"/>
                <w:szCs w:val="21"/>
                <w:highlight w:val="none"/>
                <w:lang w:eastAsia="zh-CN"/>
              </w:rPr>
              <w:t>新乡市凤泉区</w:t>
            </w:r>
            <w:r>
              <w:rPr>
                <w:rFonts w:hint="default" w:ascii="Times New Roman" w:hAnsi="Times New Roman" w:eastAsia="宋体" w:cs="Times New Roman"/>
                <w:bCs/>
                <w:color w:val="auto"/>
                <w:kern w:val="0"/>
                <w:sz w:val="21"/>
                <w:szCs w:val="21"/>
                <w:highlight w:val="none"/>
              </w:rPr>
              <w:t>污水处理厂</w:t>
            </w:r>
            <w:r>
              <w:rPr>
                <w:rFonts w:hint="default" w:ascii="Times New Roman" w:hAnsi="Times New Roman" w:cs="Times New Roman"/>
                <w:color w:val="auto"/>
                <w:spacing w:val="4"/>
                <w:sz w:val="21"/>
                <w:szCs w:val="21"/>
                <w:highlight w:val="none"/>
              </w:rPr>
              <w:t>是可行的。</w:t>
            </w:r>
          </w:p>
          <w:p>
            <w:pPr>
              <w:keepNext w:val="0"/>
              <w:keepLines w:val="0"/>
              <w:pageBreakBefore w:val="0"/>
              <w:widowControl w:val="0"/>
              <w:kinsoku/>
              <w:wordWrap/>
              <w:overflowPunct/>
              <w:topLinePunct w:val="0"/>
              <w:bidi w:val="0"/>
              <w:adjustRightInd/>
              <w:snapToGrid/>
              <w:spacing w:line="360" w:lineRule="auto"/>
              <w:ind w:left="0" w:leftChars="0" w:firstLine="0" w:firstLineChars="0"/>
              <w:textAlignment w:val="auto"/>
              <w:rPr>
                <w:rFonts w:hint="default" w:ascii="Times New Roman" w:hAnsi="Times New Roman" w:eastAsia="宋体" w:cs="Times New Roman"/>
                <w:b/>
                <w:bCs w:val="0"/>
                <w:color w:val="auto"/>
                <w:spacing w:val="-4"/>
                <w:szCs w:val="21"/>
                <w:highlight w:val="none"/>
              </w:rPr>
            </w:pPr>
            <w:r>
              <w:rPr>
                <w:rFonts w:hint="eastAsia" w:cs="Times New Roman"/>
                <w:b/>
                <w:bCs w:val="0"/>
                <w:color w:val="auto"/>
                <w:spacing w:val="-4"/>
                <w:szCs w:val="21"/>
                <w:highlight w:val="none"/>
                <w:lang w:val="en-US" w:eastAsia="zh-CN"/>
              </w:rPr>
              <w:t>2.5</w:t>
            </w:r>
            <w:r>
              <w:rPr>
                <w:rFonts w:hint="default" w:ascii="Times New Roman" w:hAnsi="Times New Roman" w:eastAsia="宋体" w:cs="Times New Roman"/>
                <w:b/>
                <w:bCs w:val="0"/>
                <w:color w:val="auto"/>
                <w:spacing w:val="-4"/>
                <w:szCs w:val="21"/>
                <w:highlight w:val="none"/>
              </w:rPr>
              <w:t>建设项目污染物排放信息</w:t>
            </w:r>
          </w:p>
          <w:p>
            <w:pPr>
              <w:pStyle w:val="27"/>
              <w:keepNext w:val="0"/>
              <w:keepLines w:val="0"/>
              <w:pageBreakBefore w:val="0"/>
              <w:widowControl w:val="0"/>
              <w:numPr>
                <w:ilvl w:val="0"/>
                <w:numId w:val="11"/>
              </w:numPr>
              <w:kinsoku/>
              <w:wordWrap/>
              <w:overflowPunct/>
              <w:topLinePunct w:val="0"/>
              <w:bidi w:val="0"/>
              <w:adjustRightInd/>
              <w:snapToGrid/>
              <w:spacing w:line="360" w:lineRule="auto"/>
              <w:ind w:firstLine="422" w:firstLineChars="20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废水类别、污染物及污染治理设施信息</w:t>
            </w:r>
          </w:p>
          <w:p>
            <w:pPr>
              <w:pStyle w:val="28"/>
              <w:rPr>
                <w:rFonts w:hint="default" w:ascii="Times New Roman" w:hAnsi="Times New Roman" w:eastAsia="宋体" w:cs="Times New Roman"/>
                <w:b/>
                <w:bCs/>
                <w:color w:val="auto"/>
                <w:sz w:val="21"/>
                <w:szCs w:val="21"/>
                <w:highlight w:val="none"/>
              </w:rPr>
            </w:pPr>
          </w:p>
          <w:p>
            <w:pPr>
              <w:rPr>
                <w:rFonts w:hint="default" w:ascii="Times New Roman" w:hAnsi="Times New Roman" w:eastAsia="宋体" w:cs="Times New Roman"/>
                <w:b/>
                <w:bCs/>
                <w:color w:val="auto"/>
                <w:sz w:val="21"/>
                <w:szCs w:val="21"/>
                <w:highlight w:val="none"/>
              </w:rPr>
            </w:pPr>
          </w:p>
          <w:p>
            <w:pPr>
              <w:pStyle w:val="11"/>
              <w:rPr>
                <w:rFonts w:hint="default" w:ascii="Times New Roman" w:hAnsi="Times New Roman" w:eastAsia="宋体" w:cs="Times New Roman"/>
                <w:b/>
                <w:bCs/>
                <w:color w:val="auto"/>
                <w:sz w:val="21"/>
                <w:szCs w:val="21"/>
                <w:highlight w:val="none"/>
              </w:rPr>
            </w:pPr>
          </w:p>
          <w:p>
            <w:pPr>
              <w:pStyle w:val="11"/>
              <w:rPr>
                <w:rFonts w:hint="default" w:ascii="Times New Roman" w:hAnsi="Times New Roman" w:eastAsia="宋体" w:cs="Times New Roman"/>
                <w:b/>
                <w:bCs/>
                <w:color w:val="auto"/>
                <w:sz w:val="21"/>
                <w:szCs w:val="21"/>
                <w:highlight w:val="none"/>
              </w:rPr>
            </w:pPr>
          </w:p>
          <w:p>
            <w:pPr>
              <w:pStyle w:val="11"/>
              <w:rPr>
                <w:rFonts w:hint="default" w:ascii="Times New Roman" w:hAnsi="Times New Roman" w:eastAsia="宋体" w:cs="Times New Roman"/>
                <w:b/>
                <w:bCs/>
                <w:color w:val="auto"/>
                <w:sz w:val="21"/>
                <w:szCs w:val="21"/>
                <w:highlight w:val="none"/>
              </w:rPr>
            </w:pPr>
          </w:p>
          <w:p>
            <w:pPr>
              <w:pStyle w:val="11"/>
              <w:rPr>
                <w:rFonts w:hint="default" w:ascii="Times New Roman" w:hAnsi="Times New Roman" w:eastAsia="宋体" w:cs="Times New Roman"/>
                <w:b/>
                <w:bCs/>
                <w:color w:val="auto"/>
                <w:sz w:val="21"/>
                <w:szCs w:val="21"/>
                <w:highlight w:val="none"/>
              </w:rPr>
            </w:pPr>
          </w:p>
          <w:p>
            <w:pPr>
              <w:pStyle w:val="11"/>
              <w:rPr>
                <w:rFonts w:hint="default" w:ascii="Times New Roman" w:hAnsi="Times New Roman" w:eastAsia="宋体" w:cs="Times New Roman"/>
                <w:b/>
                <w:bCs/>
                <w:color w:val="auto"/>
                <w:sz w:val="21"/>
                <w:szCs w:val="21"/>
                <w:highlight w:val="none"/>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废水类别、污染物及污染治理设施信息表</w:t>
            </w:r>
          </w:p>
          <w:tbl>
            <w:tblPr>
              <w:tblStyle w:val="21"/>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684"/>
              <w:gridCol w:w="904"/>
              <w:gridCol w:w="708"/>
              <w:gridCol w:w="990"/>
              <w:gridCol w:w="632"/>
              <w:gridCol w:w="606"/>
              <w:gridCol w:w="622"/>
              <w:gridCol w:w="656"/>
              <w:gridCol w:w="674"/>
              <w:gridCol w:w="11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 w:type="pct"/>
                  <w:vMerge w:val="restar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序号</w:t>
                  </w:r>
                </w:p>
              </w:tc>
              <w:tc>
                <w:tcPr>
                  <w:tcW w:w="433" w:type="pct"/>
                  <w:vMerge w:val="restar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废水类别</w:t>
                  </w:r>
                </w:p>
              </w:tc>
              <w:tc>
                <w:tcPr>
                  <w:tcW w:w="484" w:type="pct"/>
                  <w:vMerge w:val="restar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污染物种类</w:t>
                  </w:r>
                </w:p>
              </w:tc>
              <w:tc>
                <w:tcPr>
                  <w:tcW w:w="448" w:type="pct"/>
                  <w:vMerge w:val="restar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排放去向</w:t>
                  </w:r>
                </w:p>
              </w:tc>
              <w:tc>
                <w:tcPr>
                  <w:tcW w:w="623" w:type="pct"/>
                  <w:vMerge w:val="restar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排放规律</w:t>
                  </w:r>
                </w:p>
              </w:tc>
              <w:tc>
                <w:tcPr>
                  <w:tcW w:w="1181" w:type="pct"/>
                  <w:gridSpan w:val="3"/>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污染治理设施</w:t>
                  </w:r>
                </w:p>
              </w:tc>
              <w:tc>
                <w:tcPr>
                  <w:tcW w:w="416" w:type="pct"/>
                  <w:vMerge w:val="restar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排放口编号</w:t>
                  </w:r>
                </w:p>
              </w:tc>
              <w:tc>
                <w:tcPr>
                  <w:tcW w:w="427" w:type="pct"/>
                  <w:vMerge w:val="restar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排放空间设施是否符合要求</w:t>
                  </w:r>
                </w:p>
              </w:tc>
              <w:tc>
                <w:tcPr>
                  <w:tcW w:w="745" w:type="pct"/>
                  <w:vMerge w:val="restart"/>
                  <w:noWrap w:val="0"/>
                  <w:vAlign w:val="center"/>
                </w:tcPr>
                <w:p>
                  <w:pPr>
                    <w:pStyle w:val="67"/>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排放口类型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 w:type="pct"/>
                  <w:vMerge w:val="continue"/>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p>
              </w:tc>
              <w:tc>
                <w:tcPr>
                  <w:tcW w:w="433" w:type="pct"/>
                  <w:vMerge w:val="continue"/>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p>
              </w:tc>
              <w:tc>
                <w:tcPr>
                  <w:tcW w:w="484" w:type="pct"/>
                  <w:vMerge w:val="continue"/>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p>
              </w:tc>
              <w:tc>
                <w:tcPr>
                  <w:tcW w:w="448" w:type="pct"/>
                  <w:vMerge w:val="continue"/>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p>
              </w:tc>
              <w:tc>
                <w:tcPr>
                  <w:tcW w:w="623" w:type="pct"/>
                  <w:vMerge w:val="continue"/>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p>
              </w:tc>
              <w:tc>
                <w:tcPr>
                  <w:tcW w:w="401" w:type="pc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污染治理设施编号</w:t>
                  </w:r>
                </w:p>
              </w:tc>
              <w:tc>
                <w:tcPr>
                  <w:tcW w:w="385" w:type="pc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污染治理设施名称</w:t>
                  </w:r>
                </w:p>
              </w:tc>
              <w:tc>
                <w:tcPr>
                  <w:tcW w:w="394" w:type="pc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污染治理设施工艺</w:t>
                  </w:r>
                </w:p>
              </w:tc>
              <w:tc>
                <w:tcPr>
                  <w:tcW w:w="416" w:type="pct"/>
                  <w:vMerge w:val="continue"/>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p>
              </w:tc>
              <w:tc>
                <w:tcPr>
                  <w:tcW w:w="427" w:type="pct"/>
                  <w:vMerge w:val="continue"/>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p>
              </w:tc>
              <w:tc>
                <w:tcPr>
                  <w:tcW w:w="745" w:type="pct"/>
                  <w:vMerge w:val="continue"/>
                  <w:noWrap w:val="0"/>
                  <w:vAlign w:val="center"/>
                </w:tcPr>
                <w:p>
                  <w:pPr>
                    <w:pStyle w:val="67"/>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239" w:type="pct"/>
                  <w:vMerge w:val="restar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433" w:type="pct"/>
                  <w:vMerge w:val="restar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eastAsia" w:ascii="Times New Roman" w:hAnsi="Times New Roman" w:eastAsia="宋体" w:cs="Times New Roman"/>
                      <w:color w:val="auto"/>
                      <w:sz w:val="18"/>
                      <w:szCs w:val="18"/>
                      <w:highlight w:val="none"/>
                      <w:lang w:eastAsia="zh-CN"/>
                    </w:rPr>
                  </w:pPr>
                  <w:r>
                    <w:rPr>
                      <w:rFonts w:hint="eastAsia" w:ascii="Times New Roman" w:eastAsia="宋体" w:cs="Times New Roman"/>
                      <w:color w:val="auto"/>
                      <w:sz w:val="18"/>
                      <w:szCs w:val="18"/>
                      <w:highlight w:val="none"/>
                      <w:lang w:eastAsia="zh-CN"/>
                    </w:rPr>
                    <w:t>生活污水</w:t>
                  </w:r>
                </w:p>
              </w:tc>
              <w:tc>
                <w:tcPr>
                  <w:tcW w:w="484" w:type="pct"/>
                  <w:vMerge w:val="restar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COD</w:t>
                  </w:r>
                  <w:r>
                    <w:rPr>
                      <w:rFonts w:hint="default" w:ascii="Times New Roman" w:hAnsi="Times New Roman" w:eastAsia="宋体" w:cs="Times New Roman"/>
                      <w:color w:val="auto"/>
                      <w:sz w:val="18"/>
                      <w:szCs w:val="18"/>
                      <w:highlight w:val="none"/>
                      <w:lang w:val="en-US" w:eastAsia="zh-CN"/>
                    </w:rPr>
                    <w:t>、SS、NH</w:t>
                  </w:r>
                  <w:r>
                    <w:rPr>
                      <w:rFonts w:hint="default" w:ascii="Times New Roman" w:hAnsi="Times New Roman" w:eastAsia="宋体" w:cs="Times New Roman"/>
                      <w:color w:val="auto"/>
                      <w:sz w:val="18"/>
                      <w:szCs w:val="18"/>
                      <w:highlight w:val="none"/>
                      <w:vertAlign w:val="subscript"/>
                      <w:lang w:val="en-US" w:eastAsia="zh-CN"/>
                    </w:rPr>
                    <w:t>3</w:t>
                  </w:r>
                  <w:r>
                    <w:rPr>
                      <w:rFonts w:hint="default" w:ascii="Times New Roman" w:hAnsi="Times New Roman" w:eastAsia="宋体" w:cs="Times New Roman"/>
                      <w:color w:val="auto"/>
                      <w:sz w:val="18"/>
                      <w:szCs w:val="18"/>
                      <w:highlight w:val="none"/>
                      <w:lang w:val="en-US" w:eastAsia="zh-CN"/>
                    </w:rPr>
                    <w:t>-N</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TP</w:t>
                  </w:r>
                  <w:r>
                    <w:rPr>
                      <w:rFonts w:hint="eastAsia" w:ascii="Times New Roman" w:eastAsia="宋体" w:cs="Times New Roman"/>
                      <w:color w:val="auto"/>
                      <w:sz w:val="18"/>
                      <w:szCs w:val="18"/>
                      <w:highlight w:val="none"/>
                      <w:lang w:val="en-US" w:eastAsia="zh-CN"/>
                    </w:rPr>
                    <w:t>、TN</w:t>
                  </w:r>
                </w:p>
              </w:tc>
              <w:tc>
                <w:tcPr>
                  <w:tcW w:w="448" w:type="pct"/>
                  <w:tcBorders>
                    <w:bottom w:val="single" w:color="000000" w:sz="6" w:space="0"/>
                  </w:tcBorders>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新乡市小尚庄污水处理厂</w:t>
                  </w:r>
                  <w:r>
                    <w:rPr>
                      <w:rFonts w:hint="eastAsia" w:ascii="Times New Roman" w:eastAsia="宋体" w:cs="Times New Roman"/>
                      <w:color w:val="auto"/>
                      <w:sz w:val="18"/>
                      <w:szCs w:val="18"/>
                      <w:highlight w:val="none"/>
                      <w:lang w:eastAsia="zh-CN"/>
                    </w:rPr>
                    <w:t>（近期）</w:t>
                  </w:r>
                </w:p>
              </w:tc>
              <w:tc>
                <w:tcPr>
                  <w:tcW w:w="623" w:type="pct"/>
                  <w:vMerge w:val="restar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间断排放，排放期间流量不稳定且无规律，但不属于冲击型排放</w:t>
                  </w:r>
                </w:p>
              </w:tc>
              <w:tc>
                <w:tcPr>
                  <w:tcW w:w="401" w:type="pct"/>
                  <w:vMerge w:val="restar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TW</w:t>
                  </w:r>
                </w:p>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001</w:t>
                  </w:r>
                </w:p>
              </w:tc>
              <w:tc>
                <w:tcPr>
                  <w:tcW w:w="385" w:type="pct"/>
                  <w:vMerge w:val="restar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地埋式A/O一体化污水处理设施</w:t>
                  </w:r>
                </w:p>
              </w:tc>
              <w:tc>
                <w:tcPr>
                  <w:tcW w:w="394" w:type="pct"/>
                  <w:vMerge w:val="restar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格栅+调节池+A级池+O级池+沉淀池</w:t>
                  </w:r>
                </w:p>
              </w:tc>
              <w:tc>
                <w:tcPr>
                  <w:tcW w:w="416" w:type="pct"/>
                  <w:vMerge w:val="restar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DW</w:t>
                  </w:r>
                </w:p>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001</w:t>
                  </w:r>
                </w:p>
              </w:tc>
              <w:tc>
                <w:tcPr>
                  <w:tcW w:w="427" w:type="pct"/>
                  <w:vMerge w:val="restart"/>
                  <w:noWrap w:val="0"/>
                  <w:vAlign w:val="center"/>
                </w:tcPr>
                <w:p>
                  <w:pPr>
                    <w:pStyle w:val="67"/>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sym w:font="Wingdings 2" w:char="0052"/>
                  </w:r>
                  <w:r>
                    <w:rPr>
                      <w:rFonts w:hint="default" w:ascii="Times New Roman" w:hAnsi="Times New Roman" w:cs="Times New Roman"/>
                      <w:color w:val="auto"/>
                      <w:sz w:val="18"/>
                      <w:szCs w:val="18"/>
                      <w:highlight w:val="none"/>
                    </w:rPr>
                    <w:t>是</w:t>
                  </w:r>
                </w:p>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否</w:t>
                  </w:r>
                </w:p>
              </w:tc>
              <w:tc>
                <w:tcPr>
                  <w:tcW w:w="745" w:type="pct"/>
                  <w:vMerge w:val="restart"/>
                  <w:noWrap w:val="0"/>
                  <w:vAlign w:val="center"/>
                </w:tcPr>
                <w:p>
                  <w:pPr>
                    <w:pStyle w:val="67"/>
                    <w:keepNext w:val="0"/>
                    <w:keepLines w:val="0"/>
                    <w:pageBreakBefore w:val="0"/>
                    <w:widowControl w:val="0"/>
                    <w:kinsoku/>
                    <w:wordWrap/>
                    <w:overflowPunct/>
                    <w:topLinePunct w:val="0"/>
                    <w:bidi w:val="0"/>
                    <w:adjustRightInd/>
                    <w:snapToGrid/>
                    <w:spacing w:line="320" w:lineRule="exact"/>
                    <w:ind w:firstLine="0" w:firstLineChars="0"/>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sym w:font="Wingdings 2" w:char="0052"/>
                  </w:r>
                  <w:r>
                    <w:rPr>
                      <w:rFonts w:hint="default" w:ascii="Times New Roman" w:hAnsi="Times New Roman" w:cs="Times New Roman"/>
                      <w:color w:val="auto"/>
                      <w:sz w:val="18"/>
                      <w:szCs w:val="18"/>
                      <w:highlight w:val="none"/>
                    </w:rPr>
                    <w:t>企业总排</w:t>
                  </w:r>
                </w:p>
                <w:p>
                  <w:pPr>
                    <w:pStyle w:val="67"/>
                    <w:keepNext w:val="0"/>
                    <w:keepLines w:val="0"/>
                    <w:pageBreakBefore w:val="0"/>
                    <w:widowControl w:val="0"/>
                    <w:kinsoku/>
                    <w:wordWrap/>
                    <w:overflowPunct/>
                    <w:topLinePunct w:val="0"/>
                    <w:bidi w:val="0"/>
                    <w:adjustRightInd/>
                    <w:snapToGrid/>
                    <w:spacing w:line="320" w:lineRule="exact"/>
                    <w:ind w:firstLine="0" w:firstLineChars="0"/>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sym w:font="Wingdings 2" w:char="00A3"/>
                  </w:r>
                  <w:r>
                    <w:rPr>
                      <w:rFonts w:hint="default" w:ascii="Times New Roman" w:hAnsi="Times New Roman" w:cs="Times New Roman"/>
                      <w:color w:val="auto"/>
                      <w:sz w:val="18"/>
                      <w:szCs w:val="18"/>
                      <w:highlight w:val="none"/>
                    </w:rPr>
                    <w:t>雨水排放</w:t>
                  </w:r>
                </w:p>
                <w:p>
                  <w:pPr>
                    <w:pStyle w:val="67"/>
                    <w:keepNext w:val="0"/>
                    <w:keepLines w:val="0"/>
                    <w:pageBreakBefore w:val="0"/>
                    <w:widowControl w:val="0"/>
                    <w:kinsoku/>
                    <w:wordWrap/>
                    <w:overflowPunct/>
                    <w:topLinePunct w:val="0"/>
                    <w:bidi w:val="0"/>
                    <w:adjustRightInd/>
                    <w:snapToGrid/>
                    <w:spacing w:line="320" w:lineRule="exact"/>
                    <w:ind w:firstLine="0" w:firstLineChars="0"/>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pacing w:val="-18"/>
                      <w:sz w:val="18"/>
                      <w:szCs w:val="18"/>
                      <w:highlight w:val="none"/>
                    </w:rPr>
                    <w:sym w:font="Wingdings 2" w:char="00A3"/>
                  </w:r>
                  <w:r>
                    <w:rPr>
                      <w:rFonts w:hint="default" w:ascii="Times New Roman" w:hAnsi="Times New Roman" w:cs="Times New Roman"/>
                      <w:color w:val="auto"/>
                      <w:spacing w:val="-18"/>
                      <w:sz w:val="18"/>
                      <w:szCs w:val="18"/>
                      <w:highlight w:val="none"/>
                    </w:rPr>
                    <w:t>清净下水排放</w:t>
                  </w:r>
                </w:p>
                <w:p>
                  <w:pPr>
                    <w:pStyle w:val="67"/>
                    <w:keepNext w:val="0"/>
                    <w:keepLines w:val="0"/>
                    <w:pageBreakBefore w:val="0"/>
                    <w:widowControl w:val="0"/>
                    <w:kinsoku/>
                    <w:wordWrap/>
                    <w:overflowPunct/>
                    <w:topLinePunct w:val="0"/>
                    <w:bidi w:val="0"/>
                    <w:adjustRightInd/>
                    <w:snapToGrid/>
                    <w:spacing w:line="320" w:lineRule="exact"/>
                    <w:ind w:firstLine="0" w:firstLineChars="0"/>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sym w:font="Wingdings 2" w:char="00A3"/>
                  </w:r>
                  <w:r>
                    <w:rPr>
                      <w:rFonts w:hint="default" w:ascii="Times New Roman" w:hAnsi="Times New Roman" w:cs="Times New Roman"/>
                      <w:color w:val="auto"/>
                      <w:sz w:val="18"/>
                      <w:szCs w:val="18"/>
                      <w:highlight w:val="none"/>
                    </w:rPr>
                    <w:t>温排水排放</w:t>
                  </w:r>
                </w:p>
                <w:p>
                  <w:pPr>
                    <w:pStyle w:val="27"/>
                    <w:keepNext w:val="0"/>
                    <w:keepLines w:val="0"/>
                    <w:pageBreakBefore w:val="0"/>
                    <w:widowControl w:val="0"/>
                    <w:kinsoku/>
                    <w:wordWrap/>
                    <w:overflowPunct/>
                    <w:topLinePunct w:val="0"/>
                    <w:bidi w:val="0"/>
                    <w:adjustRightInd/>
                    <w:snapToGrid/>
                    <w:spacing w:line="320" w:lineRule="exact"/>
                    <w:ind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pacing w:val="-66"/>
                      <w:sz w:val="18"/>
                      <w:szCs w:val="18"/>
                      <w:highlight w:val="none"/>
                    </w:rPr>
                    <w:t xml:space="preserve"> </w:t>
                  </w:r>
                  <w:r>
                    <w:rPr>
                      <w:rFonts w:hint="default" w:ascii="Times New Roman" w:hAnsi="Times New Roman" w:eastAsia="宋体" w:cs="Times New Roman"/>
                      <w:color w:val="auto"/>
                      <w:sz w:val="18"/>
                      <w:szCs w:val="18"/>
                      <w:highlight w:val="none"/>
                    </w:rPr>
                    <w:t>车</w:t>
                  </w:r>
                  <w:r>
                    <w:rPr>
                      <w:rFonts w:hint="default" w:ascii="Times New Roman" w:hAnsi="Times New Roman" w:eastAsia="宋体" w:cs="Times New Roman"/>
                      <w:color w:val="auto"/>
                      <w:spacing w:val="-67"/>
                      <w:sz w:val="18"/>
                      <w:szCs w:val="18"/>
                      <w:highlight w:val="none"/>
                    </w:rPr>
                    <w:t xml:space="preserve"> </w:t>
                  </w:r>
                  <w:r>
                    <w:rPr>
                      <w:rFonts w:hint="default" w:ascii="Times New Roman" w:hAnsi="Times New Roman" w:eastAsia="宋体" w:cs="Times New Roman"/>
                      <w:color w:val="auto"/>
                      <w:sz w:val="18"/>
                      <w:szCs w:val="18"/>
                      <w:highlight w:val="none"/>
                    </w:rPr>
                    <w:t>间</w:t>
                  </w:r>
                  <w:r>
                    <w:rPr>
                      <w:rFonts w:hint="default" w:ascii="Times New Roman" w:hAnsi="Times New Roman" w:eastAsia="宋体" w:cs="Times New Roman"/>
                      <w:color w:val="auto"/>
                      <w:spacing w:val="-64"/>
                      <w:sz w:val="18"/>
                      <w:szCs w:val="18"/>
                      <w:highlight w:val="none"/>
                    </w:rPr>
                    <w:t xml:space="preserve"> </w:t>
                  </w:r>
                  <w:r>
                    <w:rPr>
                      <w:rFonts w:hint="default" w:ascii="Times New Roman" w:hAnsi="Times New Roman" w:eastAsia="宋体" w:cs="Times New Roman"/>
                      <w:color w:val="auto"/>
                      <w:sz w:val="18"/>
                      <w:szCs w:val="18"/>
                      <w:highlight w:val="none"/>
                    </w:rPr>
                    <w:t>或</w:t>
                  </w:r>
                  <w:r>
                    <w:rPr>
                      <w:rFonts w:hint="default" w:ascii="Times New Roman" w:hAnsi="Times New Roman" w:eastAsia="宋体" w:cs="Times New Roman"/>
                      <w:color w:val="auto"/>
                      <w:spacing w:val="-67"/>
                      <w:sz w:val="18"/>
                      <w:szCs w:val="18"/>
                      <w:highlight w:val="none"/>
                    </w:rPr>
                    <w:t xml:space="preserve"> </w:t>
                  </w:r>
                  <w:r>
                    <w:rPr>
                      <w:rFonts w:hint="default" w:ascii="Times New Roman" w:hAnsi="Times New Roman" w:eastAsia="宋体" w:cs="Times New Roman"/>
                      <w:color w:val="auto"/>
                      <w:sz w:val="18"/>
                      <w:szCs w:val="18"/>
                      <w:highlight w:val="none"/>
                    </w:rPr>
                    <w:t>车</w:t>
                  </w:r>
                  <w:r>
                    <w:rPr>
                      <w:rFonts w:hint="default" w:ascii="Times New Roman" w:hAnsi="Times New Roman" w:eastAsia="宋体" w:cs="Times New Roman"/>
                      <w:color w:val="auto"/>
                      <w:spacing w:val="-67"/>
                      <w:sz w:val="18"/>
                      <w:szCs w:val="18"/>
                      <w:highlight w:val="none"/>
                    </w:rPr>
                    <w:t xml:space="preserve"> </w:t>
                  </w:r>
                  <w:r>
                    <w:rPr>
                      <w:rFonts w:hint="default" w:ascii="Times New Roman" w:hAnsi="Times New Roman" w:eastAsia="宋体" w:cs="Times New Roman"/>
                      <w:color w:val="auto"/>
                      <w:sz w:val="18"/>
                      <w:szCs w:val="18"/>
                      <w:highlight w:val="none"/>
                    </w:rPr>
                    <w:t>间处</w:t>
                  </w:r>
                  <w:r>
                    <w:rPr>
                      <w:rFonts w:hint="default" w:ascii="Times New Roman" w:hAnsi="Times New Roman" w:eastAsia="宋体" w:cs="Times New Roman"/>
                      <w:color w:val="auto"/>
                      <w:spacing w:val="-67"/>
                      <w:sz w:val="18"/>
                      <w:szCs w:val="18"/>
                      <w:highlight w:val="none"/>
                    </w:rPr>
                    <w:t xml:space="preserve"> </w:t>
                  </w:r>
                  <w:r>
                    <w:rPr>
                      <w:rFonts w:hint="default" w:ascii="Times New Roman" w:hAnsi="Times New Roman" w:eastAsia="宋体" w:cs="Times New Roman"/>
                      <w:color w:val="auto"/>
                      <w:sz w:val="18"/>
                      <w:szCs w:val="18"/>
                      <w:highlight w:val="none"/>
                    </w:rPr>
                    <w:t>理</w:t>
                  </w:r>
                  <w:r>
                    <w:rPr>
                      <w:rFonts w:hint="default" w:ascii="Times New Roman" w:hAnsi="Times New Roman" w:eastAsia="宋体" w:cs="Times New Roman"/>
                      <w:color w:val="auto"/>
                      <w:spacing w:val="-67"/>
                      <w:sz w:val="18"/>
                      <w:szCs w:val="18"/>
                      <w:highlight w:val="none"/>
                    </w:rPr>
                    <w:t xml:space="preserve"> </w:t>
                  </w:r>
                  <w:r>
                    <w:rPr>
                      <w:rFonts w:hint="default" w:ascii="Times New Roman" w:hAnsi="Times New Roman" w:eastAsia="宋体" w:cs="Times New Roman"/>
                      <w:color w:val="auto"/>
                      <w:sz w:val="18"/>
                      <w:szCs w:val="18"/>
                      <w:highlight w:val="none"/>
                    </w:rPr>
                    <w:t>设</w:t>
                  </w:r>
                  <w:r>
                    <w:rPr>
                      <w:rFonts w:hint="default" w:ascii="Times New Roman" w:hAnsi="Times New Roman" w:eastAsia="宋体" w:cs="Times New Roman"/>
                      <w:color w:val="auto"/>
                      <w:spacing w:val="-64"/>
                      <w:sz w:val="18"/>
                      <w:szCs w:val="18"/>
                      <w:highlight w:val="none"/>
                    </w:rPr>
                    <w:t xml:space="preserve"> </w:t>
                  </w:r>
                  <w:r>
                    <w:rPr>
                      <w:rFonts w:hint="default" w:ascii="Times New Roman" w:hAnsi="Times New Roman" w:eastAsia="宋体" w:cs="Times New Roman"/>
                      <w:color w:val="auto"/>
                      <w:sz w:val="18"/>
                      <w:szCs w:val="18"/>
                      <w:highlight w:val="none"/>
                    </w:rPr>
                    <w:t>施</w:t>
                  </w:r>
                  <w:r>
                    <w:rPr>
                      <w:rFonts w:hint="default" w:ascii="Times New Roman" w:hAnsi="Times New Roman" w:eastAsia="宋体" w:cs="Times New Roman"/>
                      <w:color w:val="auto"/>
                      <w:spacing w:val="-67"/>
                      <w:sz w:val="18"/>
                      <w:szCs w:val="18"/>
                      <w:highlight w:val="none"/>
                    </w:rPr>
                    <w:t xml:space="preserve"> </w:t>
                  </w:r>
                  <w:r>
                    <w:rPr>
                      <w:rFonts w:hint="default" w:ascii="Times New Roman" w:hAnsi="Times New Roman" w:eastAsia="宋体" w:cs="Times New Roman"/>
                      <w:color w:val="auto"/>
                      <w:sz w:val="18"/>
                      <w:szCs w:val="18"/>
                      <w:highlight w:val="none"/>
                    </w:rPr>
                    <w:t>排</w:t>
                  </w:r>
                  <w:r>
                    <w:rPr>
                      <w:rFonts w:hint="default" w:ascii="Times New Roman" w:hAnsi="Times New Roman" w:eastAsia="宋体" w:cs="Times New Roman"/>
                      <w:color w:val="auto"/>
                      <w:spacing w:val="-67"/>
                      <w:sz w:val="18"/>
                      <w:szCs w:val="18"/>
                      <w:highlight w:val="none"/>
                    </w:rPr>
                    <w:t xml:space="preserve"> </w:t>
                  </w:r>
                  <w:r>
                    <w:rPr>
                      <w:rFonts w:hint="default" w:ascii="Times New Roman" w:hAnsi="Times New Roman" w:eastAsia="宋体" w:cs="Times New Roman"/>
                      <w:color w:val="auto"/>
                      <w:sz w:val="18"/>
                      <w:szCs w:val="18"/>
                      <w:highlight w:val="none"/>
                    </w:rPr>
                    <w:t>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239" w:type="pct"/>
                  <w:vMerge w:val="continue"/>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p>
              </w:tc>
              <w:tc>
                <w:tcPr>
                  <w:tcW w:w="433" w:type="pct"/>
                  <w:vMerge w:val="continue"/>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eastAsia" w:ascii="Times New Roman" w:eastAsia="宋体" w:cs="Times New Roman"/>
                      <w:color w:val="auto"/>
                      <w:sz w:val="18"/>
                      <w:szCs w:val="18"/>
                      <w:highlight w:val="none"/>
                      <w:lang w:eastAsia="zh-CN"/>
                    </w:rPr>
                  </w:pPr>
                </w:p>
              </w:tc>
              <w:tc>
                <w:tcPr>
                  <w:tcW w:w="484" w:type="pct"/>
                  <w:vMerge w:val="continue"/>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p>
              </w:tc>
              <w:tc>
                <w:tcPr>
                  <w:tcW w:w="448" w:type="pct"/>
                  <w:tcBorders>
                    <w:top w:val="single" w:color="000000" w:sz="6" w:space="0"/>
                  </w:tcBorders>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eastAsia" w:ascii="Times New Roman" w:eastAsia="宋体" w:cs="Times New Roman"/>
                      <w:color w:val="auto"/>
                      <w:sz w:val="18"/>
                      <w:szCs w:val="18"/>
                      <w:highlight w:val="none"/>
                      <w:lang w:eastAsia="zh-CN"/>
                    </w:rPr>
                  </w:pPr>
                  <w:r>
                    <w:rPr>
                      <w:rFonts w:hint="eastAsia" w:ascii="Times New Roman" w:eastAsia="宋体" w:cs="Times New Roman"/>
                      <w:color w:val="auto"/>
                      <w:sz w:val="18"/>
                      <w:szCs w:val="18"/>
                      <w:highlight w:val="none"/>
                      <w:lang w:eastAsia="zh-CN"/>
                    </w:rPr>
                    <w:t>新乡市凤泉区</w:t>
                  </w:r>
                  <w:r>
                    <w:rPr>
                      <w:rFonts w:hint="default" w:ascii="Times New Roman" w:hAnsi="Times New Roman" w:eastAsia="宋体" w:cs="Times New Roman"/>
                      <w:color w:val="auto"/>
                      <w:sz w:val="18"/>
                      <w:szCs w:val="18"/>
                      <w:highlight w:val="none"/>
                      <w:lang w:eastAsia="zh-CN"/>
                    </w:rPr>
                    <w:t>污水处理厂</w:t>
                  </w:r>
                  <w:r>
                    <w:rPr>
                      <w:rFonts w:hint="eastAsia" w:ascii="Times New Roman" w:eastAsia="宋体" w:cs="Times New Roman"/>
                      <w:color w:val="auto"/>
                      <w:sz w:val="18"/>
                      <w:szCs w:val="18"/>
                      <w:highlight w:val="none"/>
                      <w:lang w:eastAsia="zh-CN"/>
                    </w:rPr>
                    <w:t>（远期）</w:t>
                  </w:r>
                </w:p>
              </w:tc>
              <w:tc>
                <w:tcPr>
                  <w:tcW w:w="623" w:type="pct"/>
                  <w:vMerge w:val="continue"/>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p>
              </w:tc>
              <w:tc>
                <w:tcPr>
                  <w:tcW w:w="401" w:type="pct"/>
                  <w:vMerge w:val="continue"/>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p>
              </w:tc>
              <w:tc>
                <w:tcPr>
                  <w:tcW w:w="385" w:type="pct"/>
                  <w:vMerge w:val="continue"/>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eastAsia" w:ascii="Times New Roman" w:hAnsi="Times New Roman" w:eastAsia="宋体" w:cs="Times New Roman"/>
                      <w:color w:val="auto"/>
                      <w:sz w:val="18"/>
                      <w:szCs w:val="18"/>
                      <w:highlight w:val="none"/>
                      <w:lang w:eastAsia="zh-CN"/>
                    </w:rPr>
                  </w:pPr>
                </w:p>
              </w:tc>
              <w:tc>
                <w:tcPr>
                  <w:tcW w:w="394" w:type="pct"/>
                  <w:vMerge w:val="continue"/>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p>
              </w:tc>
              <w:tc>
                <w:tcPr>
                  <w:tcW w:w="416" w:type="pct"/>
                  <w:vMerge w:val="continue"/>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p>
              </w:tc>
              <w:tc>
                <w:tcPr>
                  <w:tcW w:w="427" w:type="pct"/>
                  <w:vMerge w:val="continue"/>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p>
              </w:tc>
              <w:tc>
                <w:tcPr>
                  <w:tcW w:w="745" w:type="pct"/>
                  <w:vMerge w:val="continue"/>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jc w:val="left"/>
                    <w:textAlignment w:val="auto"/>
                    <w:rPr>
                      <w:rFonts w:hint="default" w:ascii="Times New Roman" w:hAnsi="Times New Roman" w:eastAsia="宋体" w:cs="Times New Roman"/>
                      <w:color w:val="auto"/>
                      <w:sz w:val="18"/>
                      <w:szCs w:val="18"/>
                      <w:highlight w:val="none"/>
                    </w:rPr>
                  </w:pPr>
                </w:p>
              </w:tc>
            </w:tr>
          </w:tbl>
          <w:p>
            <w:pPr>
              <w:pStyle w:val="27"/>
              <w:keepNext w:val="0"/>
              <w:keepLines w:val="0"/>
              <w:pageBreakBefore w:val="0"/>
              <w:widowControl w:val="0"/>
              <w:kinsoku/>
              <w:wordWrap/>
              <w:overflowPunct/>
              <w:topLinePunct w:val="0"/>
              <w:autoSpaceDE w:val="0"/>
              <w:autoSpaceDN w:val="0"/>
              <w:bidi w:val="0"/>
              <w:adjustRightInd/>
              <w:snapToGrid/>
              <w:spacing w:line="360" w:lineRule="auto"/>
              <w:ind w:left="0" w:leftChars="0" w:firstLine="422" w:firstLineChars="200"/>
              <w:jc w:val="both"/>
              <w:textAlignment w:val="auto"/>
              <w:rPr>
                <w:rFonts w:hint="default" w:ascii="Times New Roman" w:hAnsi="Times New Roman" w:cs="Times New Roman"/>
                <w:color w:val="auto"/>
                <w:highlight w:val="none"/>
              </w:rPr>
            </w:pPr>
            <w:r>
              <w:rPr>
                <w:rFonts w:hint="eastAsia" w:ascii="Times New Roman" w:eastAsia="宋体" w:cs="Times New Roman"/>
                <w:b/>
                <w:bCs/>
                <w:color w:val="auto"/>
                <w:sz w:val="21"/>
                <w:szCs w:val="21"/>
                <w:highlight w:val="none"/>
                <w:lang w:eastAsia="zh-CN"/>
              </w:rPr>
              <w:t>（</w:t>
            </w:r>
            <w:r>
              <w:rPr>
                <w:rFonts w:hint="eastAsia" w:ascii="Times New Roman" w:eastAsia="宋体" w:cs="Times New Roman"/>
                <w:b/>
                <w:bCs/>
                <w:color w:val="auto"/>
                <w:sz w:val="21"/>
                <w:szCs w:val="21"/>
                <w:highlight w:val="none"/>
                <w:lang w:val="en-US" w:eastAsia="zh-CN"/>
              </w:rPr>
              <w:t>2</w:t>
            </w:r>
            <w:r>
              <w:rPr>
                <w:rFonts w:hint="eastAsia" w:asci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废水间接排放口基本情况,</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废水间接排放口基本情况</w:t>
            </w:r>
          </w:p>
          <w:tbl>
            <w:tblPr>
              <w:tblStyle w:val="21"/>
              <w:tblW w:w="4998"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85"/>
              <w:gridCol w:w="626"/>
              <w:gridCol w:w="1046"/>
              <w:gridCol w:w="1055"/>
              <w:gridCol w:w="817"/>
              <w:gridCol w:w="486"/>
              <w:gridCol w:w="960"/>
              <w:gridCol w:w="500"/>
              <w:gridCol w:w="500"/>
              <w:gridCol w:w="639"/>
              <w:gridCol w:w="1249"/>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 xml:space="preserve"> </w:t>
                  </w:r>
                  <w:r>
                    <w:rPr>
                      <w:rFonts w:hint="default" w:ascii="Times New Roman" w:hAnsi="Times New Roman" w:cs="Times New Roman"/>
                      <w:color w:val="auto"/>
                      <w:sz w:val="18"/>
                      <w:szCs w:val="18"/>
                      <w:highlight w:val="none"/>
                    </w:rPr>
                    <w:t>号</w:t>
                  </w:r>
                </w:p>
              </w:tc>
              <w:tc>
                <w:tcPr>
                  <w:tcW w:w="3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排放口编号</w:t>
                  </w:r>
                </w:p>
              </w:tc>
              <w:tc>
                <w:tcPr>
                  <w:tcW w:w="130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排放口地理坐标</w:t>
                  </w:r>
                </w:p>
              </w:tc>
              <w:tc>
                <w:tcPr>
                  <w:tcW w:w="50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废水\</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排放量/</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r>
                    <w:rPr>
                      <w:rFonts w:hint="eastAsia" w:cs="Times New Roman"/>
                      <w:color w:val="auto"/>
                      <w:sz w:val="18"/>
                      <w:szCs w:val="18"/>
                      <w:highlight w:val="none"/>
                      <w:lang w:eastAsia="zh-CN"/>
                    </w:rPr>
                    <w:t>万</w:t>
                  </w:r>
                  <w:r>
                    <w:rPr>
                      <w:rFonts w:hint="default" w:ascii="Times New Roman" w:hAnsi="Times New Roman" w:cs="Times New Roman"/>
                      <w:color w:val="auto"/>
                      <w:sz w:val="18"/>
                      <w:szCs w:val="18"/>
                      <w:highlight w:val="none"/>
                    </w:rPr>
                    <w:t>t/a）</w:t>
                  </w:r>
                </w:p>
              </w:tc>
              <w:tc>
                <w:tcPr>
                  <w:tcW w:w="30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去向</w:t>
                  </w:r>
                </w:p>
              </w:tc>
              <w:tc>
                <w:tcPr>
                  <w:tcW w:w="59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规律</w:t>
                  </w:r>
                </w:p>
              </w:tc>
              <w:tc>
                <w:tcPr>
                  <w:tcW w:w="31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间歇排放时段</w:t>
                  </w:r>
                </w:p>
              </w:tc>
              <w:tc>
                <w:tcPr>
                  <w:tcW w:w="1480"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受纳污水处理厂信息</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3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64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经度</w:t>
                  </w:r>
                </w:p>
              </w:tc>
              <w:tc>
                <w:tcPr>
                  <w:tcW w:w="65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纬度</w:t>
                  </w:r>
                </w:p>
              </w:tc>
              <w:tc>
                <w:tcPr>
                  <w:tcW w:w="5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3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59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3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3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名称</w:t>
                  </w:r>
                </w:p>
              </w:tc>
              <w:tc>
                <w:tcPr>
                  <w:tcW w:w="39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污染物种类</w:t>
                  </w:r>
                </w:p>
              </w:tc>
              <w:tc>
                <w:tcPr>
                  <w:tcW w:w="77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国家或地方污染物排放标准浓度限值(mg/L)</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3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DW001</w:t>
                  </w:r>
                </w:p>
              </w:tc>
              <w:tc>
                <w:tcPr>
                  <w:tcW w:w="64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113°51′2.226″</w:t>
                  </w:r>
                </w:p>
              </w:tc>
              <w:tc>
                <w:tcPr>
                  <w:tcW w:w="65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35°21′46.501″</w:t>
                  </w:r>
                </w:p>
              </w:tc>
              <w:tc>
                <w:tcPr>
                  <w:tcW w:w="50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0.0288</w:t>
                  </w:r>
                </w:p>
              </w:tc>
              <w:tc>
                <w:tcPr>
                  <w:tcW w:w="301" w:type="pct"/>
                  <w:vMerge w:val="restar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新乡市小尚庄污水处理厂</w:t>
                  </w:r>
                  <w:r>
                    <w:rPr>
                      <w:rFonts w:hint="eastAsia" w:ascii="Times New Roman" w:eastAsia="宋体" w:cs="Times New Roman"/>
                      <w:color w:val="auto"/>
                      <w:sz w:val="18"/>
                      <w:szCs w:val="18"/>
                      <w:highlight w:val="none"/>
                      <w:lang w:eastAsia="zh-CN"/>
                    </w:rPr>
                    <w:t>（近期）</w:t>
                  </w:r>
                </w:p>
              </w:tc>
              <w:tc>
                <w:tcPr>
                  <w:tcW w:w="59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pacing w:val="-12"/>
                      <w:sz w:val="18"/>
                      <w:szCs w:val="18"/>
                      <w:highlight w:val="none"/>
                    </w:rPr>
                    <w:t>间断排放，排放期间流量不稳定且无规律，但不属于冲击型排放</w:t>
                  </w:r>
                </w:p>
              </w:tc>
              <w:tc>
                <w:tcPr>
                  <w:tcW w:w="31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31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新乡市小尚庄污水处理厂</w:t>
                  </w:r>
                </w:p>
              </w:tc>
              <w:tc>
                <w:tcPr>
                  <w:tcW w:w="396" w:type="pct"/>
                  <w:tcBorders>
                    <w:bottom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COD</w:t>
                  </w:r>
                </w:p>
              </w:tc>
              <w:tc>
                <w:tcPr>
                  <w:tcW w:w="774" w:type="pct"/>
                  <w:tcBorders>
                    <w:bottom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40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3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6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p>
              </w:tc>
              <w:tc>
                <w:tcPr>
                  <w:tcW w:w="65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p>
              </w:tc>
              <w:tc>
                <w:tcPr>
                  <w:tcW w:w="5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s="Times New Roman"/>
                      <w:color w:val="auto"/>
                      <w:sz w:val="18"/>
                      <w:szCs w:val="18"/>
                      <w:highlight w:val="none"/>
                      <w:lang w:val="en-US" w:eastAsia="zh-CN"/>
                    </w:rPr>
                  </w:pPr>
                </w:p>
              </w:tc>
              <w:tc>
                <w:tcPr>
                  <w:tcW w:w="301" w:type="pct"/>
                  <w:vMerge w:val="continue"/>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p>
              </w:tc>
              <w:tc>
                <w:tcPr>
                  <w:tcW w:w="59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pacing w:val="-12"/>
                      <w:sz w:val="18"/>
                      <w:szCs w:val="18"/>
                      <w:highlight w:val="none"/>
                    </w:rPr>
                  </w:pPr>
                </w:p>
              </w:tc>
              <w:tc>
                <w:tcPr>
                  <w:tcW w:w="3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s="Times New Roman"/>
                      <w:color w:val="auto"/>
                      <w:sz w:val="18"/>
                      <w:szCs w:val="18"/>
                      <w:highlight w:val="none"/>
                      <w:lang w:val="en-US" w:eastAsia="zh-CN"/>
                    </w:rPr>
                  </w:pPr>
                </w:p>
              </w:tc>
              <w:tc>
                <w:tcPr>
                  <w:tcW w:w="3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p>
              </w:tc>
              <w:tc>
                <w:tcPr>
                  <w:tcW w:w="396" w:type="pct"/>
                  <w:tcBorders>
                    <w:top w:val="single" w:color="000000" w:sz="6" w:space="0"/>
                    <w:bottom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SS</w:t>
                  </w:r>
                </w:p>
              </w:tc>
              <w:tc>
                <w:tcPr>
                  <w:tcW w:w="774" w:type="pct"/>
                  <w:tcBorders>
                    <w:top w:val="single" w:color="000000" w:sz="6" w:space="0"/>
                    <w:bottom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10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3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6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p>
              </w:tc>
              <w:tc>
                <w:tcPr>
                  <w:tcW w:w="65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p>
              </w:tc>
              <w:tc>
                <w:tcPr>
                  <w:tcW w:w="5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s="Times New Roman"/>
                      <w:color w:val="auto"/>
                      <w:sz w:val="18"/>
                      <w:szCs w:val="18"/>
                      <w:highlight w:val="none"/>
                      <w:lang w:val="en-US" w:eastAsia="zh-CN"/>
                    </w:rPr>
                  </w:pPr>
                </w:p>
              </w:tc>
              <w:tc>
                <w:tcPr>
                  <w:tcW w:w="301" w:type="pct"/>
                  <w:vMerge w:val="continue"/>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p>
              </w:tc>
              <w:tc>
                <w:tcPr>
                  <w:tcW w:w="59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pacing w:val="-12"/>
                      <w:sz w:val="18"/>
                      <w:szCs w:val="18"/>
                      <w:highlight w:val="none"/>
                    </w:rPr>
                  </w:pPr>
                </w:p>
              </w:tc>
              <w:tc>
                <w:tcPr>
                  <w:tcW w:w="3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s="Times New Roman"/>
                      <w:color w:val="auto"/>
                      <w:sz w:val="18"/>
                      <w:szCs w:val="18"/>
                      <w:highlight w:val="none"/>
                      <w:lang w:val="en-US" w:eastAsia="zh-CN"/>
                    </w:rPr>
                  </w:pPr>
                </w:p>
              </w:tc>
              <w:tc>
                <w:tcPr>
                  <w:tcW w:w="3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p>
              </w:tc>
              <w:tc>
                <w:tcPr>
                  <w:tcW w:w="396" w:type="pct"/>
                  <w:tcBorders>
                    <w:top w:val="single" w:color="000000" w:sz="6" w:space="0"/>
                    <w:bottom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NH</w:t>
                  </w:r>
                  <w:r>
                    <w:rPr>
                      <w:rFonts w:hint="default" w:ascii="Times New Roman" w:hAnsi="Times New Roman" w:cs="Times New Roman"/>
                      <w:color w:val="auto"/>
                      <w:kern w:val="2"/>
                      <w:sz w:val="18"/>
                      <w:szCs w:val="18"/>
                      <w:highlight w:val="none"/>
                      <w:vertAlign w:val="subscript"/>
                      <w:lang w:val="en-US" w:eastAsia="zh-CN" w:bidi="ar-SA"/>
                    </w:rPr>
                    <w:t>3</w:t>
                  </w:r>
                  <w:r>
                    <w:rPr>
                      <w:rFonts w:hint="default" w:ascii="Times New Roman" w:hAnsi="Times New Roman" w:cs="Times New Roman"/>
                      <w:color w:val="auto"/>
                      <w:kern w:val="2"/>
                      <w:sz w:val="18"/>
                      <w:szCs w:val="18"/>
                      <w:highlight w:val="none"/>
                      <w:lang w:val="en-US" w:eastAsia="zh-CN" w:bidi="ar-SA"/>
                    </w:rPr>
                    <w:t>-N</w:t>
                  </w:r>
                </w:p>
              </w:tc>
              <w:tc>
                <w:tcPr>
                  <w:tcW w:w="774" w:type="pct"/>
                  <w:tcBorders>
                    <w:top w:val="single" w:color="000000" w:sz="6" w:space="0"/>
                    <w:bottom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3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6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p>
              </w:tc>
              <w:tc>
                <w:tcPr>
                  <w:tcW w:w="65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p>
              </w:tc>
              <w:tc>
                <w:tcPr>
                  <w:tcW w:w="5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s="Times New Roman"/>
                      <w:color w:val="auto"/>
                      <w:sz w:val="18"/>
                      <w:szCs w:val="18"/>
                      <w:highlight w:val="none"/>
                      <w:lang w:val="en-US" w:eastAsia="zh-CN"/>
                    </w:rPr>
                  </w:pPr>
                </w:p>
              </w:tc>
              <w:tc>
                <w:tcPr>
                  <w:tcW w:w="301" w:type="pct"/>
                  <w:vMerge w:val="continue"/>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p>
              </w:tc>
              <w:tc>
                <w:tcPr>
                  <w:tcW w:w="59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pacing w:val="-12"/>
                      <w:sz w:val="18"/>
                      <w:szCs w:val="18"/>
                      <w:highlight w:val="none"/>
                    </w:rPr>
                  </w:pPr>
                </w:p>
              </w:tc>
              <w:tc>
                <w:tcPr>
                  <w:tcW w:w="3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s="Times New Roman"/>
                      <w:color w:val="auto"/>
                      <w:sz w:val="18"/>
                      <w:szCs w:val="18"/>
                      <w:highlight w:val="none"/>
                      <w:lang w:val="en-US" w:eastAsia="zh-CN"/>
                    </w:rPr>
                  </w:pPr>
                </w:p>
              </w:tc>
              <w:tc>
                <w:tcPr>
                  <w:tcW w:w="3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p>
              </w:tc>
              <w:tc>
                <w:tcPr>
                  <w:tcW w:w="396" w:type="pct"/>
                  <w:tcBorders>
                    <w:top w:val="single" w:color="000000" w:sz="6" w:space="0"/>
                    <w:bottom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TN</w:t>
                  </w:r>
                </w:p>
              </w:tc>
              <w:tc>
                <w:tcPr>
                  <w:tcW w:w="774" w:type="pct"/>
                  <w:tcBorders>
                    <w:top w:val="single" w:color="000000" w:sz="6" w:space="0"/>
                    <w:bottom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3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6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p>
              </w:tc>
              <w:tc>
                <w:tcPr>
                  <w:tcW w:w="65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p>
              </w:tc>
              <w:tc>
                <w:tcPr>
                  <w:tcW w:w="5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s="Times New Roman"/>
                      <w:color w:val="auto"/>
                      <w:sz w:val="18"/>
                      <w:szCs w:val="18"/>
                      <w:highlight w:val="none"/>
                      <w:lang w:val="en-US" w:eastAsia="zh-CN"/>
                    </w:rPr>
                  </w:pPr>
                </w:p>
              </w:tc>
              <w:tc>
                <w:tcPr>
                  <w:tcW w:w="301" w:type="pct"/>
                  <w:vMerge w:val="continue"/>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p>
              </w:tc>
              <w:tc>
                <w:tcPr>
                  <w:tcW w:w="59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pacing w:val="-12"/>
                      <w:sz w:val="18"/>
                      <w:szCs w:val="18"/>
                      <w:highlight w:val="none"/>
                    </w:rPr>
                  </w:pPr>
                </w:p>
              </w:tc>
              <w:tc>
                <w:tcPr>
                  <w:tcW w:w="3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s="Times New Roman"/>
                      <w:color w:val="auto"/>
                      <w:sz w:val="18"/>
                      <w:szCs w:val="18"/>
                      <w:highlight w:val="none"/>
                      <w:lang w:val="en-US" w:eastAsia="zh-CN"/>
                    </w:rPr>
                  </w:pPr>
                </w:p>
              </w:tc>
              <w:tc>
                <w:tcPr>
                  <w:tcW w:w="3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p>
              </w:tc>
              <w:tc>
                <w:tcPr>
                  <w:tcW w:w="396" w:type="pct"/>
                  <w:tcBorders>
                    <w:top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TP</w:t>
                  </w:r>
                </w:p>
              </w:tc>
              <w:tc>
                <w:tcPr>
                  <w:tcW w:w="774" w:type="pct"/>
                  <w:tcBorders>
                    <w:top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3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6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5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5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01" w:type="pct"/>
                  <w:vMerge w:val="restart"/>
                  <w:noWrap w:val="0"/>
                  <w:vAlign w:val="center"/>
                </w:tcPr>
                <w:p>
                  <w:pPr>
                    <w:pStyle w:val="27"/>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eastAsia" w:ascii="Times New Roman" w:eastAsia="宋体" w:cs="Times New Roman"/>
                      <w:color w:val="auto"/>
                      <w:sz w:val="18"/>
                      <w:szCs w:val="18"/>
                      <w:highlight w:val="none"/>
                      <w:lang w:eastAsia="zh-CN"/>
                    </w:rPr>
                    <w:t>新乡市凤泉区</w:t>
                  </w:r>
                  <w:r>
                    <w:rPr>
                      <w:rFonts w:hint="default" w:ascii="Times New Roman" w:hAnsi="Times New Roman" w:eastAsia="宋体" w:cs="Times New Roman"/>
                      <w:color w:val="auto"/>
                      <w:sz w:val="18"/>
                      <w:szCs w:val="18"/>
                      <w:highlight w:val="none"/>
                      <w:lang w:eastAsia="zh-CN"/>
                    </w:rPr>
                    <w:t>污水处理厂</w:t>
                  </w:r>
                  <w:r>
                    <w:rPr>
                      <w:rFonts w:hint="eastAsia" w:ascii="Times New Roman" w:eastAsia="宋体" w:cs="Times New Roman"/>
                      <w:color w:val="auto"/>
                      <w:sz w:val="18"/>
                      <w:szCs w:val="18"/>
                      <w:highlight w:val="none"/>
                      <w:lang w:eastAsia="zh-CN"/>
                    </w:rPr>
                    <w:t>（远期）</w:t>
                  </w:r>
                </w:p>
              </w:tc>
              <w:tc>
                <w:tcPr>
                  <w:tcW w:w="59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pacing w:val="-12"/>
                      <w:sz w:val="18"/>
                      <w:szCs w:val="18"/>
                      <w:highlight w:val="none"/>
                    </w:rPr>
                  </w:pPr>
                  <w:r>
                    <w:rPr>
                      <w:rFonts w:hint="default" w:ascii="Times New Roman" w:hAnsi="Times New Roman" w:cs="Times New Roman"/>
                      <w:color w:val="auto"/>
                      <w:spacing w:val="-12"/>
                      <w:sz w:val="18"/>
                      <w:szCs w:val="18"/>
                      <w:highlight w:val="none"/>
                    </w:rPr>
                    <w:t>间断排放，排放期间流量不稳定且无规律，但不属于冲击型排放</w:t>
                  </w:r>
                </w:p>
              </w:tc>
              <w:tc>
                <w:tcPr>
                  <w:tcW w:w="31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31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新乡市凤泉区</w:t>
                  </w:r>
                  <w:r>
                    <w:rPr>
                      <w:rFonts w:hint="default" w:ascii="Times New Roman" w:hAnsi="Times New Roman" w:eastAsia="宋体" w:cs="Times New Roman"/>
                      <w:color w:val="auto"/>
                      <w:sz w:val="18"/>
                      <w:szCs w:val="18"/>
                      <w:highlight w:val="none"/>
                      <w:lang w:eastAsia="zh-CN"/>
                    </w:rPr>
                    <w:t>污水处理厂</w:t>
                  </w:r>
                </w:p>
              </w:tc>
              <w:tc>
                <w:tcPr>
                  <w:tcW w:w="39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COD</w:t>
                  </w:r>
                </w:p>
              </w:tc>
              <w:tc>
                <w:tcPr>
                  <w:tcW w:w="77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3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6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p>
              </w:tc>
              <w:tc>
                <w:tcPr>
                  <w:tcW w:w="65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p>
              </w:tc>
              <w:tc>
                <w:tcPr>
                  <w:tcW w:w="5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cs="Times New Roman"/>
                      <w:color w:val="auto"/>
                      <w:sz w:val="18"/>
                      <w:szCs w:val="18"/>
                      <w:highlight w:val="none"/>
                      <w:lang w:val="en-US" w:eastAsia="zh-CN"/>
                    </w:rPr>
                  </w:pPr>
                </w:p>
              </w:tc>
              <w:tc>
                <w:tcPr>
                  <w:tcW w:w="3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p>
              </w:tc>
              <w:tc>
                <w:tcPr>
                  <w:tcW w:w="59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pacing w:val="-12"/>
                      <w:sz w:val="18"/>
                      <w:szCs w:val="18"/>
                      <w:highlight w:val="none"/>
                    </w:rPr>
                  </w:pPr>
                </w:p>
              </w:tc>
              <w:tc>
                <w:tcPr>
                  <w:tcW w:w="3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3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p>
              </w:tc>
              <w:tc>
                <w:tcPr>
                  <w:tcW w:w="39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SS</w:t>
                  </w:r>
                </w:p>
              </w:tc>
              <w:tc>
                <w:tcPr>
                  <w:tcW w:w="77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3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6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65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5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3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59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3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3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39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NH</w:t>
                  </w:r>
                  <w:r>
                    <w:rPr>
                      <w:rFonts w:hint="default" w:ascii="Times New Roman" w:hAnsi="Times New Roman" w:cs="Times New Roman"/>
                      <w:color w:val="auto"/>
                      <w:kern w:val="2"/>
                      <w:sz w:val="18"/>
                      <w:szCs w:val="18"/>
                      <w:highlight w:val="none"/>
                      <w:vertAlign w:val="subscript"/>
                      <w:lang w:val="en-US" w:eastAsia="zh-CN" w:bidi="ar-SA"/>
                    </w:rPr>
                    <w:t>3</w:t>
                  </w:r>
                  <w:r>
                    <w:rPr>
                      <w:rFonts w:hint="default" w:ascii="Times New Roman" w:hAnsi="Times New Roman" w:cs="Times New Roman"/>
                      <w:color w:val="auto"/>
                      <w:kern w:val="2"/>
                      <w:sz w:val="18"/>
                      <w:szCs w:val="18"/>
                      <w:highlight w:val="none"/>
                      <w:lang w:val="en-US" w:eastAsia="zh-CN" w:bidi="ar-SA"/>
                    </w:rPr>
                    <w:t>-N</w:t>
                  </w:r>
                </w:p>
              </w:tc>
              <w:tc>
                <w:tcPr>
                  <w:tcW w:w="77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3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6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65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5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3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59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3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3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39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TN</w:t>
                  </w:r>
                </w:p>
              </w:tc>
              <w:tc>
                <w:tcPr>
                  <w:tcW w:w="77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3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6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65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5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3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59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3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3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green"/>
                    </w:rPr>
                  </w:pPr>
                </w:p>
              </w:tc>
              <w:tc>
                <w:tcPr>
                  <w:tcW w:w="39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TP</w:t>
                  </w:r>
                </w:p>
              </w:tc>
              <w:tc>
                <w:tcPr>
                  <w:tcW w:w="77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0.4</w:t>
                  </w:r>
                </w:p>
              </w:tc>
            </w:tr>
          </w:tbl>
          <w:p>
            <w:pPr>
              <w:pStyle w:val="27"/>
              <w:keepNext w:val="0"/>
              <w:keepLines w:val="0"/>
              <w:pageBreakBefore w:val="0"/>
              <w:widowControl w:val="0"/>
              <w:numPr>
                <w:ilvl w:val="0"/>
                <w:numId w:val="11"/>
              </w:numPr>
              <w:kinsoku/>
              <w:wordWrap/>
              <w:overflowPunct/>
              <w:topLinePunct w:val="0"/>
              <w:autoSpaceDE w:val="0"/>
              <w:autoSpaceDN w:val="0"/>
              <w:bidi w:val="0"/>
              <w:adjustRightInd/>
              <w:snapToGrid/>
              <w:spacing w:line="360" w:lineRule="auto"/>
              <w:ind w:left="0" w:leftChars="0" w:firstLine="422" w:firstLineChars="20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废水污染物排放执行标准</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废水污染物排放执行标准表</w:t>
            </w:r>
          </w:p>
          <w:tbl>
            <w:tblPr>
              <w:tblStyle w:val="21"/>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29"/>
              <w:gridCol w:w="1047"/>
              <w:gridCol w:w="1037"/>
              <w:gridCol w:w="3274"/>
              <w:gridCol w:w="1876"/>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14" w:type="pct"/>
                  <w:vMerge w:val="restart"/>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649" w:type="pct"/>
                  <w:vMerge w:val="restart"/>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排放口编号</w:t>
                  </w:r>
                </w:p>
              </w:tc>
              <w:tc>
                <w:tcPr>
                  <w:tcW w:w="643" w:type="pct"/>
                  <w:vMerge w:val="restart"/>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污染物种类</w:t>
                  </w:r>
                </w:p>
              </w:tc>
              <w:tc>
                <w:tcPr>
                  <w:tcW w:w="3193" w:type="pct"/>
                  <w:gridSpan w:val="2"/>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国家或地方污染物排放标准及其他按规定商定的排放协议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14"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649"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643"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2030" w:type="pct"/>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名称</w:t>
                  </w:r>
                </w:p>
              </w:tc>
              <w:tc>
                <w:tcPr>
                  <w:tcW w:w="1163" w:type="pct"/>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浓度限值/</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mg/L</w:t>
                  </w:r>
                  <w:r>
                    <w:rPr>
                      <w:rFonts w:hint="eastAsia" w:cs="Times New Roman"/>
                      <w:color w:val="auto"/>
                      <w:sz w:val="18"/>
                      <w:szCs w:val="18"/>
                      <w:highlight w:val="none"/>
                      <w:lang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14" w:type="pct"/>
                  <w:vMerge w:val="restart"/>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49" w:type="pct"/>
                  <w:vMerge w:val="restart"/>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DW001</w:t>
                  </w:r>
                </w:p>
              </w:tc>
              <w:tc>
                <w:tcPr>
                  <w:tcW w:w="64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bidi="ar"/>
                    </w:rPr>
                    <w:t>COD</w:t>
                  </w:r>
                </w:p>
              </w:tc>
              <w:tc>
                <w:tcPr>
                  <w:tcW w:w="2030" w:type="pct"/>
                  <w:vMerge w:val="restart"/>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lang w:val="zh-CN"/>
                    </w:rPr>
                    <w:t>《电池工业污染物排放标准》（GB30848-2013）表2间接排放标准</w:t>
                  </w:r>
                </w:p>
              </w:tc>
              <w:tc>
                <w:tcPr>
                  <w:tcW w:w="1163" w:type="pct"/>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150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14" w:type="pct"/>
                  <w:vMerge w:val="continue"/>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green"/>
                    </w:rPr>
                  </w:pPr>
                </w:p>
              </w:tc>
              <w:tc>
                <w:tcPr>
                  <w:tcW w:w="649" w:type="pct"/>
                  <w:vMerge w:val="continue"/>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64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bidi="ar"/>
                    </w:rPr>
                    <w:t>SS</w:t>
                  </w:r>
                </w:p>
              </w:tc>
              <w:tc>
                <w:tcPr>
                  <w:tcW w:w="2030" w:type="pct"/>
                  <w:vMerge w:val="continue"/>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1163" w:type="pct"/>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140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14" w:type="pct"/>
                  <w:vMerge w:val="continue"/>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green"/>
                    </w:rPr>
                  </w:pPr>
                </w:p>
              </w:tc>
              <w:tc>
                <w:tcPr>
                  <w:tcW w:w="649" w:type="pct"/>
                  <w:vMerge w:val="continue"/>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64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lang w:val="en-US" w:eastAsia="zh-CN"/>
                    </w:rPr>
                    <w:t>NH</w:t>
                  </w:r>
                  <w:r>
                    <w:rPr>
                      <w:rFonts w:hint="default" w:ascii="Times New Roman" w:hAnsi="Times New Roman" w:cs="Times New Roman"/>
                      <w:bCs/>
                      <w:color w:val="auto"/>
                      <w:sz w:val="18"/>
                      <w:szCs w:val="18"/>
                      <w:highlight w:val="none"/>
                      <w:vertAlign w:val="subscript"/>
                      <w:lang w:val="en-US" w:eastAsia="zh-CN"/>
                    </w:rPr>
                    <w:t>3</w:t>
                  </w:r>
                  <w:r>
                    <w:rPr>
                      <w:rFonts w:hint="default" w:ascii="Times New Roman" w:hAnsi="Times New Roman" w:cs="Times New Roman"/>
                      <w:bCs/>
                      <w:color w:val="auto"/>
                      <w:sz w:val="18"/>
                      <w:szCs w:val="18"/>
                      <w:highlight w:val="none"/>
                      <w:lang w:val="en-US" w:eastAsia="zh-CN"/>
                    </w:rPr>
                    <w:t>-N</w:t>
                  </w:r>
                </w:p>
              </w:tc>
              <w:tc>
                <w:tcPr>
                  <w:tcW w:w="2030" w:type="pct"/>
                  <w:vMerge w:val="continue"/>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1163" w:type="pct"/>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14" w:type="pct"/>
                  <w:vMerge w:val="continue"/>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green"/>
                    </w:rPr>
                  </w:pPr>
                </w:p>
              </w:tc>
              <w:tc>
                <w:tcPr>
                  <w:tcW w:w="649" w:type="pct"/>
                  <w:vMerge w:val="continue"/>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64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val="en-US" w:eastAsia="zh-CN" w:bidi="ar"/>
                    </w:rPr>
                    <w:t>TP</w:t>
                  </w:r>
                </w:p>
              </w:tc>
              <w:tc>
                <w:tcPr>
                  <w:tcW w:w="2030" w:type="pct"/>
                  <w:vMerge w:val="continue"/>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1163" w:type="pct"/>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14" w:type="pct"/>
                  <w:vMerge w:val="continue"/>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green"/>
                    </w:rPr>
                  </w:pPr>
                </w:p>
              </w:tc>
              <w:tc>
                <w:tcPr>
                  <w:tcW w:w="649" w:type="pct"/>
                  <w:vMerge w:val="continue"/>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64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TN</w:t>
                  </w:r>
                </w:p>
              </w:tc>
              <w:tc>
                <w:tcPr>
                  <w:tcW w:w="2030" w:type="pct"/>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eastAsia" w:cs="Times New Roman"/>
                      <w:bCs/>
                      <w:color w:val="auto"/>
                      <w:sz w:val="18"/>
                      <w:szCs w:val="18"/>
                      <w:highlight w:val="none"/>
                      <w:lang w:val="zh-CN"/>
                    </w:rPr>
                    <w:t>新乡市凤泉区污水处理厂收水标准</w:t>
                  </w:r>
                </w:p>
              </w:tc>
              <w:tc>
                <w:tcPr>
                  <w:tcW w:w="1163" w:type="pct"/>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55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14" w:type="pct"/>
                  <w:vMerge w:val="continue"/>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green"/>
                    </w:rPr>
                  </w:pPr>
                </w:p>
              </w:tc>
              <w:tc>
                <w:tcPr>
                  <w:tcW w:w="649" w:type="pct"/>
                  <w:vMerge w:val="continue"/>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64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TN</w:t>
                  </w:r>
                </w:p>
              </w:tc>
              <w:tc>
                <w:tcPr>
                  <w:tcW w:w="2030" w:type="pct"/>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eastAsia" w:cs="Times New Roman"/>
                      <w:bCs/>
                      <w:color w:val="auto"/>
                      <w:sz w:val="18"/>
                      <w:szCs w:val="18"/>
                      <w:highlight w:val="none"/>
                      <w:lang w:val="zh-CN"/>
                    </w:rPr>
                  </w:pPr>
                  <w:r>
                    <w:rPr>
                      <w:rFonts w:hint="eastAsia" w:cs="Times New Roman"/>
                      <w:bCs/>
                      <w:color w:val="auto"/>
                      <w:sz w:val="18"/>
                      <w:szCs w:val="18"/>
                      <w:highlight w:val="none"/>
                      <w:lang w:val="zh-CN"/>
                    </w:rPr>
                    <w:t>新乡市小尚庄污水处理厂收水标准</w:t>
                  </w:r>
                </w:p>
              </w:tc>
              <w:tc>
                <w:tcPr>
                  <w:tcW w:w="1163" w:type="pct"/>
                  <w:noWrap w:val="0"/>
                  <w:vAlign w:val="center"/>
                </w:tcPr>
                <w:p>
                  <w:pPr>
                    <w:pStyle w:val="67"/>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40</w:t>
                  </w:r>
                </w:p>
              </w:tc>
            </w:tr>
          </w:tbl>
          <w:p>
            <w:pPr>
              <w:pStyle w:val="3"/>
              <w:keepNext w:val="0"/>
              <w:keepLines w:val="0"/>
              <w:pageBreakBefore w:val="0"/>
              <w:widowControl w:val="0"/>
              <w:numPr>
                <w:ilvl w:val="2"/>
                <w:numId w:val="0"/>
              </w:numPr>
              <w:kinsoku/>
              <w:wordWrap/>
              <w:overflowPunct/>
              <w:topLinePunct w:val="0"/>
              <w:autoSpaceDE/>
              <w:autoSpaceDN/>
              <w:bidi w:val="0"/>
              <w:adjustRightInd/>
              <w:snapToGrid/>
              <w:spacing w:before="0" w:after="0" w:line="360" w:lineRule="auto"/>
              <w:ind w:right="0" w:rightChars="0"/>
              <w:textAlignment w:val="auto"/>
              <w:rPr>
                <w:rFonts w:hint="default" w:ascii="Times New Roman" w:hAnsi="Times New Roman" w:cs="Times New Roman"/>
                <w:b/>
                <w:bCs w:val="0"/>
                <w:color w:val="auto"/>
                <w:spacing w:val="-4"/>
                <w:sz w:val="21"/>
                <w:szCs w:val="21"/>
                <w:highlight w:val="none"/>
                <w:lang w:eastAsia="zh-CN"/>
              </w:rPr>
            </w:pPr>
            <w:r>
              <w:rPr>
                <w:rFonts w:hint="eastAsia" w:cs="Times New Roman"/>
                <w:b/>
                <w:bCs w:val="0"/>
                <w:color w:val="auto"/>
                <w:spacing w:val="-4"/>
                <w:sz w:val="21"/>
                <w:szCs w:val="21"/>
                <w:highlight w:val="none"/>
                <w:lang w:val="en-US" w:eastAsia="zh-CN"/>
              </w:rPr>
              <w:t>2.6</w:t>
            </w:r>
            <w:r>
              <w:rPr>
                <w:rFonts w:hint="default" w:ascii="Times New Roman" w:hAnsi="Times New Roman" w:cs="Times New Roman"/>
                <w:b/>
                <w:bCs w:val="0"/>
                <w:color w:val="auto"/>
                <w:spacing w:val="-4"/>
                <w:sz w:val="21"/>
                <w:szCs w:val="21"/>
                <w:highlight w:val="none"/>
                <w:lang w:eastAsia="zh-CN"/>
              </w:rPr>
              <w:t>监测要求</w:t>
            </w:r>
          </w:p>
          <w:p>
            <w:pPr>
              <w:pStyle w:val="3"/>
              <w:keepNext w:val="0"/>
              <w:keepLines w:val="0"/>
              <w:pageBreakBefore w:val="0"/>
              <w:widowControl w:val="0"/>
              <w:numPr>
                <w:ilvl w:val="2"/>
                <w:numId w:val="0"/>
              </w:numPr>
              <w:kinsoku/>
              <w:wordWrap/>
              <w:overflowPunct/>
              <w:topLinePunct w:val="0"/>
              <w:autoSpaceDE/>
              <w:autoSpaceDN/>
              <w:bidi w:val="0"/>
              <w:adjustRightInd/>
              <w:snapToGrid/>
              <w:spacing w:before="0" w:after="0" w:line="360" w:lineRule="auto"/>
              <w:ind w:leftChars="0" w:right="0" w:rightChars="0" w:firstLine="42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b w:val="0"/>
                <w:bCs w:val="0"/>
                <w:color w:val="auto"/>
                <w:sz w:val="21"/>
                <w:szCs w:val="21"/>
                <w:highlight w:val="none"/>
                <w:vertAlign w:val="baseline"/>
                <w:lang w:eastAsia="zh-CN"/>
              </w:rPr>
              <w:t>参</w:t>
            </w:r>
            <w:r>
              <w:rPr>
                <w:rFonts w:hint="default" w:ascii="Times New Roman" w:hAnsi="Times New Roman" w:eastAsia="宋体" w:cs="Times New Roman"/>
                <w:b w:val="0"/>
                <w:bCs w:val="0"/>
                <w:color w:val="auto"/>
                <w:spacing w:val="4"/>
                <w:kern w:val="2"/>
                <w:sz w:val="21"/>
                <w:szCs w:val="21"/>
                <w:highlight w:val="none"/>
                <w:lang w:val="en-US" w:eastAsia="zh-CN" w:bidi="ar-SA"/>
              </w:rPr>
              <w:t>考</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kern w:val="0"/>
                <w:sz w:val="21"/>
                <w:szCs w:val="21"/>
                <w:highlight w:val="none"/>
                <w:lang w:eastAsia="zh-CN"/>
              </w:rPr>
              <w:t>排污单位自行监测技术指南</w:t>
            </w:r>
            <w:r>
              <w:rPr>
                <w:rFonts w:hint="default" w:ascii="Times New Roman" w:hAnsi="Times New Roman" w:eastAsia="宋体" w:cs="Times New Roman"/>
                <w:b w:val="0"/>
                <w:bCs w:val="0"/>
                <w:color w:val="auto"/>
                <w:kern w:val="0"/>
                <w:sz w:val="21"/>
                <w:szCs w:val="21"/>
                <w:highlight w:val="none"/>
                <w:lang w:val="en-US" w:eastAsia="zh-CN"/>
              </w:rPr>
              <w:t>-</w:t>
            </w:r>
            <w:r>
              <w:rPr>
                <w:rFonts w:hint="eastAsia" w:cs="Times New Roman"/>
                <w:b w:val="0"/>
                <w:bCs w:val="0"/>
                <w:color w:val="auto"/>
                <w:kern w:val="0"/>
                <w:sz w:val="21"/>
                <w:szCs w:val="21"/>
                <w:highlight w:val="none"/>
                <w:lang w:val="en-US" w:eastAsia="zh-CN"/>
              </w:rPr>
              <w:t>电池工业</w:t>
            </w:r>
            <w:r>
              <w:rPr>
                <w:rFonts w:hint="default" w:ascii="Times New Roman" w:hAnsi="Times New Roman" w:eastAsia="宋体" w:cs="Times New Roman"/>
                <w:b w:val="0"/>
                <w:bCs w:val="0"/>
                <w:color w:val="auto"/>
                <w:sz w:val="21"/>
                <w:szCs w:val="21"/>
                <w:highlight w:val="none"/>
                <w:lang w:val="en-US" w:eastAsia="zh-CN"/>
              </w:rPr>
              <w:t>》（HJ</w:t>
            </w:r>
            <w:r>
              <w:rPr>
                <w:rFonts w:hint="eastAsia" w:cs="Times New Roman"/>
                <w:b w:val="0"/>
                <w:bCs w:val="0"/>
                <w:color w:val="auto"/>
                <w:sz w:val="21"/>
                <w:szCs w:val="21"/>
                <w:highlight w:val="none"/>
                <w:lang w:val="en-US" w:eastAsia="zh-CN"/>
              </w:rPr>
              <w:t>1204</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2021</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pacing w:val="4"/>
                <w:kern w:val="2"/>
                <w:sz w:val="21"/>
                <w:szCs w:val="21"/>
                <w:highlight w:val="none"/>
                <w:lang w:val="en-US" w:eastAsia="zh-CN" w:bidi="ar-SA"/>
              </w:rPr>
              <w:t>相</w:t>
            </w:r>
            <w:r>
              <w:rPr>
                <w:rFonts w:hint="default" w:ascii="Times New Roman" w:hAnsi="Times New Roman" w:eastAsia="宋体" w:cs="Times New Roman"/>
                <w:b w:val="0"/>
                <w:bCs w:val="0"/>
                <w:color w:val="auto"/>
                <w:sz w:val="21"/>
                <w:szCs w:val="21"/>
                <w:highlight w:val="none"/>
                <w:vertAlign w:val="baseline"/>
                <w:lang w:eastAsia="zh-CN"/>
              </w:rPr>
              <w:t>关要求，</w:t>
            </w:r>
            <w:r>
              <w:rPr>
                <w:rFonts w:hint="default" w:ascii="Times New Roman" w:hAnsi="Times New Roman" w:cs="Times New Roman"/>
                <w:b w:val="0"/>
                <w:bCs w:val="0"/>
                <w:color w:val="auto"/>
                <w:spacing w:val="-4"/>
                <w:sz w:val="21"/>
                <w:szCs w:val="21"/>
                <w:highlight w:val="none"/>
                <w:lang w:eastAsia="zh-CN"/>
              </w:rPr>
              <w:t>项目废水</w:t>
            </w:r>
            <w:r>
              <w:rPr>
                <w:rFonts w:hint="default" w:ascii="Times New Roman" w:hAnsi="Times New Roman" w:cs="Times New Roman"/>
                <w:b w:val="0"/>
                <w:bCs/>
                <w:color w:val="auto"/>
                <w:spacing w:val="-4"/>
                <w:sz w:val="21"/>
                <w:szCs w:val="21"/>
                <w:highlight w:val="none"/>
                <w:lang w:eastAsia="zh-CN"/>
              </w:rPr>
              <w:t>监测要求如下：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废水监测计划表</w:t>
            </w:r>
          </w:p>
          <w:tbl>
            <w:tblPr>
              <w:tblStyle w:val="2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1752"/>
              <w:gridCol w:w="1846"/>
              <w:gridCol w:w="31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3"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监测内容</w:t>
                  </w:r>
                </w:p>
              </w:tc>
              <w:tc>
                <w:tcPr>
                  <w:tcW w:w="1086"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监测</w:t>
                  </w:r>
                  <w:r>
                    <w:rPr>
                      <w:rFonts w:hint="default" w:ascii="Times New Roman" w:hAnsi="Times New Roman" w:cs="Times New Roman"/>
                      <w:color w:val="auto"/>
                      <w:kern w:val="0"/>
                      <w:sz w:val="18"/>
                      <w:szCs w:val="18"/>
                      <w:highlight w:val="none"/>
                      <w:lang w:eastAsia="zh-CN"/>
                    </w:rPr>
                    <w:t>项目</w:t>
                  </w:r>
                </w:p>
              </w:tc>
              <w:tc>
                <w:tcPr>
                  <w:tcW w:w="1144"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监测频次</w:t>
                  </w:r>
                </w:p>
              </w:tc>
              <w:tc>
                <w:tcPr>
                  <w:tcW w:w="196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执行排放标准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5" w:type="dxa"/>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18"/>
                      <w:szCs w:val="18"/>
                      <w:highlight w:val="none"/>
                      <w:lang w:eastAsia="zh-CN"/>
                    </w:rPr>
                  </w:pPr>
                  <w:r>
                    <w:rPr>
                      <w:rFonts w:hint="default" w:ascii="Times New Roman" w:hAnsi="Times New Roman" w:cs="Times New Roman"/>
                      <w:bCs/>
                      <w:color w:val="auto"/>
                      <w:sz w:val="18"/>
                      <w:szCs w:val="18"/>
                      <w:highlight w:val="none"/>
                      <w:lang w:eastAsia="zh-CN"/>
                    </w:rPr>
                    <w:t>生活污水</w:t>
                  </w:r>
                </w:p>
              </w:tc>
              <w:tc>
                <w:tcPr>
                  <w:tcW w:w="1752"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COD、SS、NH</w:t>
                  </w:r>
                  <w:r>
                    <w:rPr>
                      <w:rFonts w:hint="default" w:ascii="Times New Roman" w:hAnsi="Times New Roman" w:cs="Times New Roman"/>
                      <w:color w:val="auto"/>
                      <w:kern w:val="0"/>
                      <w:sz w:val="18"/>
                      <w:szCs w:val="18"/>
                      <w:highlight w:val="none"/>
                      <w:vertAlign w:val="subscript"/>
                      <w:lang w:val="en-US" w:eastAsia="zh-CN"/>
                    </w:rPr>
                    <w:t>3</w:t>
                  </w:r>
                  <w:r>
                    <w:rPr>
                      <w:rFonts w:hint="default" w:ascii="Times New Roman" w:hAnsi="Times New Roman" w:cs="Times New Roman"/>
                      <w:color w:val="auto"/>
                      <w:kern w:val="0"/>
                      <w:sz w:val="18"/>
                      <w:szCs w:val="18"/>
                      <w:highlight w:val="none"/>
                      <w:lang w:val="en-US" w:eastAsia="zh-CN"/>
                    </w:rPr>
                    <w:t>-N、TP</w:t>
                  </w:r>
                  <w:r>
                    <w:rPr>
                      <w:rFonts w:hint="eastAsia" w:cs="Times New Roman"/>
                      <w:color w:val="auto"/>
                      <w:kern w:val="0"/>
                      <w:sz w:val="18"/>
                      <w:szCs w:val="18"/>
                      <w:highlight w:val="none"/>
                      <w:lang w:val="en-US" w:eastAsia="zh-CN"/>
                    </w:rPr>
                    <w:t>、TN</w:t>
                  </w:r>
                </w:p>
              </w:tc>
              <w:tc>
                <w:tcPr>
                  <w:tcW w:w="1846" w:type="dxa"/>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w:t>
                  </w:r>
                  <w:r>
                    <w:rPr>
                      <w:rFonts w:hint="default" w:ascii="Times New Roman" w:hAnsi="Times New Roman" w:cs="Times New Roman"/>
                      <w:color w:val="auto"/>
                      <w:kern w:val="0"/>
                      <w:sz w:val="18"/>
                      <w:szCs w:val="18"/>
                      <w:highlight w:val="none"/>
                      <w:lang w:eastAsia="zh-CN"/>
                    </w:rPr>
                    <w:t>次</w:t>
                  </w:r>
                  <w:r>
                    <w:rPr>
                      <w:rFonts w:hint="default" w:ascii="Times New Roman" w:hAnsi="Times New Roman" w:cs="Times New Roman"/>
                      <w:color w:val="auto"/>
                      <w:kern w:val="0"/>
                      <w:sz w:val="18"/>
                      <w:szCs w:val="18"/>
                      <w:highlight w:val="none"/>
                      <w:lang w:val="en-US" w:eastAsia="zh-CN"/>
                    </w:rPr>
                    <w:t>/</w:t>
                  </w:r>
                  <w:r>
                    <w:rPr>
                      <w:rFonts w:hint="eastAsia" w:cs="Times New Roman"/>
                      <w:color w:val="auto"/>
                      <w:kern w:val="0"/>
                      <w:sz w:val="18"/>
                      <w:szCs w:val="18"/>
                      <w:highlight w:val="none"/>
                      <w:lang w:val="en-US" w:eastAsia="zh-CN"/>
                    </w:rPr>
                    <w:t>季度</w:t>
                  </w:r>
                </w:p>
              </w:tc>
              <w:tc>
                <w:tcPr>
                  <w:tcW w:w="3170" w:type="dxa"/>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Cs/>
                      <w:color w:val="auto"/>
                      <w:sz w:val="18"/>
                      <w:szCs w:val="18"/>
                      <w:highlight w:val="none"/>
                      <w:lang w:val="zh-CN"/>
                    </w:rPr>
                  </w:pPr>
                  <w:r>
                    <w:rPr>
                      <w:rFonts w:hint="default" w:ascii="Times New Roman" w:hAnsi="Times New Roman" w:cs="Times New Roman"/>
                      <w:bCs/>
                      <w:color w:val="auto"/>
                      <w:sz w:val="18"/>
                      <w:szCs w:val="18"/>
                      <w:highlight w:val="none"/>
                      <w:lang w:val="zh-CN"/>
                    </w:rPr>
                    <w:t>《电池工业污染物排放标准》（GB30848-2013）表2间接排放标准</w:t>
                  </w:r>
                  <w:r>
                    <w:rPr>
                      <w:rFonts w:hint="eastAsia" w:cs="Times New Roman"/>
                      <w:bCs/>
                      <w:color w:val="auto"/>
                      <w:sz w:val="18"/>
                      <w:szCs w:val="18"/>
                      <w:highlight w:val="none"/>
                      <w:lang w:val="zh-CN"/>
                    </w:rPr>
                    <w:t>以及新乡市小尚庄污水处理厂收水标准（近期）和新乡市凤泉区污水处理厂收水标准（远期）</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lang w:val="en-US" w:eastAsia="zh-CN"/>
              </w:rPr>
              <w:t>3、</w:t>
            </w:r>
            <w:r>
              <w:rPr>
                <w:rFonts w:hint="default" w:ascii="Times New Roman" w:hAnsi="Times New Roman" w:cs="Times New Roman"/>
                <w:b/>
                <w:color w:val="auto"/>
                <w:kern w:val="0"/>
                <w:sz w:val="21"/>
                <w:szCs w:val="21"/>
                <w:highlight w:val="none"/>
              </w:rPr>
              <w:t>噪声</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
                <w:bCs/>
                <w:color w:val="auto"/>
                <w:kern w:val="0"/>
                <w:szCs w:val="21"/>
                <w:highlight w:val="none"/>
                <w:lang w:val="en-US" w:eastAsia="zh-CN"/>
              </w:rPr>
              <w:t>3.1</w:t>
            </w:r>
            <w:r>
              <w:rPr>
                <w:rFonts w:hint="default" w:ascii="Times New Roman" w:hAnsi="Times New Roman" w:cs="Times New Roman"/>
                <w:b/>
                <w:bCs/>
                <w:color w:val="auto"/>
                <w:kern w:val="0"/>
                <w:szCs w:val="21"/>
                <w:highlight w:val="none"/>
              </w:rPr>
              <w:t>噪声污染源及治理措施</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bCs/>
                <w:color w:val="auto"/>
                <w:kern w:val="0"/>
                <w:szCs w:val="21"/>
                <w:highlight w:val="green"/>
              </w:rPr>
            </w:pPr>
            <w:r>
              <w:rPr>
                <w:rFonts w:hint="default" w:ascii="Times New Roman" w:hAnsi="Times New Roman" w:cs="Times New Roman"/>
                <w:bCs/>
                <w:color w:val="auto"/>
                <w:kern w:val="0"/>
                <w:szCs w:val="21"/>
                <w:highlight w:val="none"/>
              </w:rPr>
              <w:t>项目噪声主要来自生产过程中</w:t>
            </w:r>
            <w:r>
              <w:rPr>
                <w:rFonts w:hint="eastAsia" w:cs="Times New Roman"/>
                <w:bCs/>
                <w:color w:val="auto"/>
                <w:kern w:val="0"/>
                <w:szCs w:val="21"/>
                <w:highlight w:val="none"/>
                <w:lang w:eastAsia="zh-CN"/>
              </w:rPr>
              <w:t>对辊机、切片机、包装机</w:t>
            </w:r>
            <w:r>
              <w:rPr>
                <w:rFonts w:hint="default" w:ascii="Times New Roman" w:hAnsi="Times New Roman" w:cs="Times New Roman"/>
                <w:bCs/>
                <w:color w:val="auto"/>
                <w:kern w:val="0"/>
                <w:szCs w:val="21"/>
                <w:highlight w:val="none"/>
                <w:lang w:eastAsia="zh-CN"/>
              </w:rPr>
              <w:t>等</w:t>
            </w:r>
            <w:r>
              <w:rPr>
                <w:rFonts w:hint="default" w:ascii="Times New Roman" w:hAnsi="Times New Roman" w:cs="Times New Roman"/>
                <w:bCs/>
                <w:color w:val="auto"/>
                <w:kern w:val="0"/>
                <w:szCs w:val="21"/>
                <w:highlight w:val="none"/>
              </w:rPr>
              <w:t>高噪声设备运行产生的</w:t>
            </w:r>
            <w:r>
              <w:rPr>
                <w:rFonts w:hint="default" w:ascii="Times New Roman" w:hAnsi="Times New Roman" w:cs="Times New Roman"/>
                <w:bCs/>
                <w:color w:val="auto"/>
                <w:kern w:val="0"/>
                <w:szCs w:val="21"/>
                <w:highlight w:val="none"/>
                <w:lang w:eastAsia="zh-CN"/>
              </w:rPr>
              <w:t>机械</w:t>
            </w:r>
            <w:r>
              <w:rPr>
                <w:rFonts w:hint="default" w:ascii="Times New Roman" w:hAnsi="Times New Roman" w:cs="Times New Roman"/>
                <w:bCs/>
                <w:color w:val="auto"/>
                <w:kern w:val="0"/>
                <w:szCs w:val="21"/>
                <w:highlight w:val="none"/>
              </w:rPr>
              <w:t>噪声</w:t>
            </w:r>
            <w:r>
              <w:rPr>
                <w:rFonts w:hint="default" w:ascii="Times New Roman" w:hAnsi="Times New Roman" w:cs="Times New Roman"/>
                <w:bCs/>
                <w:color w:val="auto"/>
                <w:kern w:val="0"/>
                <w:szCs w:val="21"/>
                <w:highlight w:val="none"/>
                <w:lang w:eastAsia="zh-CN"/>
              </w:rPr>
              <w:t>和</w:t>
            </w:r>
            <w:r>
              <w:rPr>
                <w:rFonts w:hint="eastAsia" w:cs="Times New Roman"/>
                <w:bCs/>
                <w:color w:val="auto"/>
                <w:kern w:val="0"/>
                <w:szCs w:val="21"/>
                <w:highlight w:val="none"/>
                <w:lang w:eastAsia="zh-CN"/>
              </w:rPr>
              <w:t>真空泵组、</w:t>
            </w:r>
            <w:r>
              <w:rPr>
                <w:rFonts w:hint="default" w:ascii="Times New Roman" w:hAnsi="Times New Roman" w:cs="Times New Roman"/>
                <w:bCs/>
                <w:color w:val="auto"/>
                <w:kern w:val="0"/>
                <w:szCs w:val="21"/>
                <w:highlight w:val="none"/>
                <w:lang w:eastAsia="zh-CN"/>
              </w:rPr>
              <w:t>空压机工作产生的空气动力噪声</w:t>
            </w:r>
            <w:r>
              <w:rPr>
                <w:rFonts w:hint="default" w:ascii="Times New Roman" w:hAnsi="Times New Roman" w:cs="Times New Roman"/>
                <w:bCs/>
                <w:color w:val="auto"/>
                <w:kern w:val="0"/>
                <w:szCs w:val="21"/>
                <w:highlight w:val="none"/>
              </w:rPr>
              <w:t>。</w:t>
            </w:r>
            <w:r>
              <w:rPr>
                <w:rFonts w:hint="eastAsia" w:cs="Times New Roman"/>
                <w:bCs/>
                <w:color w:val="auto"/>
                <w:kern w:val="0"/>
                <w:szCs w:val="21"/>
                <w:highlight w:val="none"/>
                <w:lang w:eastAsia="zh-CN"/>
              </w:rPr>
              <w:t>本项目</w:t>
            </w:r>
            <w:r>
              <w:rPr>
                <w:rFonts w:hint="default" w:ascii="Times New Roman" w:hAnsi="Times New Roman" w:cs="Times New Roman"/>
                <w:bCs/>
                <w:color w:val="auto"/>
                <w:kern w:val="0"/>
                <w:szCs w:val="21"/>
                <w:highlight w:val="none"/>
              </w:rPr>
              <w:t>通过设置减振基础</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rPr>
              <w:t>厂房隔声</w:t>
            </w:r>
            <w:r>
              <w:rPr>
                <w:rFonts w:hint="default" w:ascii="Times New Roman" w:hAnsi="Times New Roman" w:cs="Times New Roman"/>
                <w:bCs/>
                <w:color w:val="auto"/>
                <w:kern w:val="0"/>
                <w:szCs w:val="21"/>
                <w:highlight w:val="none"/>
                <w:lang w:eastAsia="zh-CN"/>
              </w:rPr>
              <w:t>、安装隔声罩</w:t>
            </w:r>
            <w:r>
              <w:rPr>
                <w:rFonts w:hint="default" w:ascii="Times New Roman" w:hAnsi="Times New Roman" w:cs="Times New Roman"/>
                <w:bCs/>
                <w:color w:val="auto"/>
                <w:kern w:val="0"/>
                <w:szCs w:val="21"/>
                <w:highlight w:val="none"/>
              </w:rPr>
              <w:t>等措施</w:t>
            </w:r>
            <w:r>
              <w:rPr>
                <w:rFonts w:hint="eastAsia" w:cs="Times New Roman"/>
                <w:bCs/>
                <w:color w:val="auto"/>
                <w:kern w:val="0"/>
                <w:szCs w:val="21"/>
                <w:highlight w:val="none"/>
                <w:lang w:eastAsia="zh-CN"/>
              </w:rPr>
              <w:t>，可将噪声削减10～20dB（A）</w:t>
            </w:r>
            <w:r>
              <w:rPr>
                <w:rFonts w:hint="default" w:ascii="Times New Roman" w:hAnsi="Times New Roman" w:cs="Times New Roman"/>
                <w:bCs/>
                <w:color w:val="auto"/>
                <w:kern w:val="0"/>
                <w:szCs w:val="21"/>
                <w:highlight w:val="none"/>
              </w:rPr>
              <w:t>。本</w:t>
            </w:r>
            <w:r>
              <w:rPr>
                <w:rFonts w:hint="eastAsia" w:cs="Times New Roman"/>
                <w:bCs/>
                <w:color w:val="auto"/>
                <w:kern w:val="0"/>
                <w:szCs w:val="21"/>
                <w:highlight w:val="none"/>
                <w:lang w:eastAsia="zh-CN"/>
              </w:rPr>
              <w:t>项目</w:t>
            </w:r>
            <w:r>
              <w:rPr>
                <w:rFonts w:hint="default" w:ascii="Times New Roman" w:hAnsi="Times New Roman" w:cs="Times New Roman"/>
                <w:bCs/>
                <w:color w:val="auto"/>
                <w:kern w:val="0"/>
                <w:szCs w:val="21"/>
                <w:highlight w:val="none"/>
              </w:rPr>
              <w:t>主要设备的噪声值及经过降噪措施处理后的噪声值见下表。</w:t>
            </w:r>
            <w:r>
              <w:rPr>
                <w:rFonts w:hint="default" w:ascii="Times New Roman" w:hAnsi="Times New Roman" w:cs="Times New Roman"/>
                <w:bCs/>
                <w:color w:val="auto"/>
                <w:kern w:val="0"/>
                <w:szCs w:val="21"/>
                <w:highlight w:val="green"/>
              </w:rPr>
              <w:br w:type="textWrapping"/>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bCs/>
                <w:color w:val="auto"/>
                <w:kern w:val="0"/>
                <w:szCs w:val="21"/>
                <w:highlight w:val="green"/>
              </w:rPr>
            </w:pPr>
          </w:p>
          <w:p>
            <w:pPr>
              <w:pStyle w:val="11"/>
              <w:rPr>
                <w:rFonts w:hint="default"/>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bCs/>
                <w:color w:val="auto"/>
                <w:kern w:val="0"/>
                <w:szCs w:val="21"/>
                <w:highlight w:val="green"/>
              </w:rPr>
            </w:pP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eastAsia="宋体" w:cs="Times New Roman"/>
                <w:color w:val="auto"/>
                <w:highlight w:val="green"/>
                <w:vertAlign w:val="baseline"/>
                <w:lang w:eastAsia="zh-CN"/>
              </w:rPr>
            </w:pPr>
          </w:p>
        </w:tc>
      </w:tr>
    </w:tbl>
    <w:p>
      <w:pPr>
        <w:rPr>
          <w:rFonts w:hint="default" w:ascii="Times New Roman" w:hAnsi="Times New Roman" w:cs="Times New Roman"/>
          <w:color w:val="auto"/>
          <w:highlight w:val="green"/>
        </w:rPr>
        <w:sectPr>
          <w:pgSz w:w="11907" w:h="16840"/>
          <w:pgMar w:top="1803" w:right="1440" w:bottom="1803" w:left="144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4" w:hRule="atLeast"/>
        </w:trPr>
        <w:tc>
          <w:tcPr>
            <w:tcW w:w="13450" w:type="dxa"/>
          </w:tcPr>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工业企业室内</w:t>
            </w:r>
            <w:r>
              <w:rPr>
                <w:rFonts w:hint="default" w:ascii="Times New Roman" w:hAnsi="Times New Roman" w:eastAsia="宋体" w:cs="Times New Roman"/>
                <w:b/>
                <w:bCs/>
                <w:color w:val="auto"/>
                <w:sz w:val="18"/>
                <w:szCs w:val="18"/>
                <w:highlight w:val="none"/>
                <w:lang w:val="en-US" w:eastAsia="zh-CN"/>
              </w:rPr>
              <w:t>噪声源强及治理情况一览表</w:t>
            </w:r>
          </w:p>
          <w:tbl>
            <w:tblPr>
              <w:tblStyle w:val="22"/>
              <w:tblW w:w="499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53"/>
              <w:gridCol w:w="588"/>
              <w:gridCol w:w="1183"/>
              <w:gridCol w:w="1405"/>
              <w:gridCol w:w="844"/>
              <w:gridCol w:w="1178"/>
              <w:gridCol w:w="693"/>
              <w:gridCol w:w="693"/>
              <w:gridCol w:w="696"/>
              <w:gridCol w:w="820"/>
              <w:gridCol w:w="680"/>
              <w:gridCol w:w="1413"/>
              <w:gridCol w:w="778"/>
              <w:gridCol w:w="884"/>
              <w:gridCol w:w="90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1"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cs="Times New Roman"/>
                      <w:b w:val="0"/>
                      <w:bCs/>
                      <w:color w:val="auto"/>
                      <w:kern w:val="0"/>
                      <w:sz w:val="18"/>
                      <w:szCs w:val="18"/>
                      <w:highlight w:val="none"/>
                      <w:vertAlign w:val="baseline"/>
                      <w:lang w:eastAsia="zh-CN"/>
                    </w:rPr>
                    <w:t>序号</w:t>
                  </w:r>
                </w:p>
              </w:tc>
              <w:tc>
                <w:tcPr>
                  <w:tcW w:w="222"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cs="Times New Roman"/>
                      <w:b w:val="0"/>
                      <w:bCs/>
                      <w:color w:val="auto"/>
                      <w:kern w:val="0"/>
                      <w:sz w:val="18"/>
                      <w:szCs w:val="18"/>
                      <w:highlight w:val="none"/>
                      <w:vertAlign w:val="baseline"/>
                      <w:lang w:eastAsia="zh-CN"/>
                    </w:rPr>
                    <w:t>建筑物名称</w:t>
                  </w:r>
                </w:p>
              </w:tc>
              <w:tc>
                <w:tcPr>
                  <w:tcW w:w="447"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cs="Times New Roman"/>
                      <w:b w:val="0"/>
                      <w:bCs/>
                      <w:color w:val="auto"/>
                      <w:kern w:val="0"/>
                      <w:sz w:val="18"/>
                      <w:szCs w:val="18"/>
                      <w:highlight w:val="none"/>
                      <w:vertAlign w:val="baseline"/>
                      <w:lang w:eastAsia="zh-CN"/>
                    </w:rPr>
                    <w:t>声源名称</w:t>
                  </w:r>
                </w:p>
              </w:tc>
              <w:tc>
                <w:tcPr>
                  <w:tcW w:w="531"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cs="Times New Roman"/>
                      <w:b w:val="0"/>
                      <w:bCs/>
                      <w:color w:val="auto"/>
                      <w:kern w:val="0"/>
                      <w:sz w:val="18"/>
                      <w:szCs w:val="18"/>
                      <w:highlight w:val="none"/>
                      <w:vertAlign w:val="baseline"/>
                      <w:lang w:val="en-US" w:eastAsia="zh-CN"/>
                    </w:rPr>
                    <w:t>型号</w:t>
                  </w:r>
                </w:p>
              </w:tc>
              <w:tc>
                <w:tcPr>
                  <w:tcW w:w="319"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eastAsia="zh-CN"/>
                    </w:rPr>
                    <w:t>声功率级</w:t>
                  </w:r>
                  <w:r>
                    <w:rPr>
                      <w:rFonts w:hint="default" w:ascii="Times New Roman" w:hAnsi="Times New Roman" w:cs="Times New Roman"/>
                      <w:b w:val="0"/>
                      <w:bCs/>
                      <w:color w:val="auto"/>
                      <w:kern w:val="0"/>
                      <w:sz w:val="18"/>
                      <w:szCs w:val="18"/>
                      <w:highlight w:val="none"/>
                      <w:vertAlign w:val="baseline"/>
                      <w:lang w:val="en-US" w:eastAsia="zh-CN"/>
                    </w:rPr>
                    <w:t>/dB（A）</w:t>
                  </w:r>
                </w:p>
              </w:tc>
              <w:tc>
                <w:tcPr>
                  <w:tcW w:w="445"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cs="Times New Roman"/>
                      <w:b w:val="0"/>
                      <w:bCs/>
                      <w:color w:val="auto"/>
                      <w:kern w:val="0"/>
                      <w:sz w:val="18"/>
                      <w:szCs w:val="18"/>
                      <w:highlight w:val="none"/>
                      <w:vertAlign w:val="baseline"/>
                      <w:lang w:eastAsia="zh-CN"/>
                    </w:rPr>
                    <w:t>声源控制措施</w:t>
                  </w:r>
                </w:p>
              </w:tc>
              <w:tc>
                <w:tcPr>
                  <w:tcW w:w="787" w:type="pct"/>
                  <w:gridSpan w:val="3"/>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eastAsia="zh-CN"/>
                    </w:rPr>
                    <w:t>空间相对位置</w:t>
                  </w:r>
                  <w:r>
                    <w:rPr>
                      <w:rFonts w:hint="default" w:ascii="Times New Roman" w:hAnsi="Times New Roman" w:cs="Times New Roman"/>
                      <w:b w:val="0"/>
                      <w:bCs/>
                      <w:color w:val="auto"/>
                      <w:kern w:val="0"/>
                      <w:sz w:val="18"/>
                      <w:szCs w:val="18"/>
                      <w:highlight w:val="none"/>
                      <w:vertAlign w:val="baseline"/>
                      <w:lang w:val="en-US" w:eastAsia="zh-CN"/>
                    </w:rPr>
                    <w:t>/m</w:t>
                  </w:r>
                </w:p>
              </w:tc>
              <w:tc>
                <w:tcPr>
                  <w:tcW w:w="310"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eastAsia="zh-CN"/>
                    </w:rPr>
                    <w:t>距室内边界距离</w:t>
                  </w:r>
                  <w:r>
                    <w:rPr>
                      <w:rFonts w:hint="default" w:ascii="Times New Roman" w:hAnsi="Times New Roman" w:cs="Times New Roman"/>
                      <w:b w:val="0"/>
                      <w:bCs/>
                      <w:color w:val="auto"/>
                      <w:kern w:val="0"/>
                      <w:sz w:val="18"/>
                      <w:szCs w:val="18"/>
                      <w:highlight w:val="none"/>
                      <w:vertAlign w:val="baseline"/>
                      <w:lang w:val="en-US" w:eastAsia="zh-CN"/>
                    </w:rPr>
                    <w:t>/m</w:t>
                  </w:r>
                </w:p>
              </w:tc>
              <w:tc>
                <w:tcPr>
                  <w:tcW w:w="257"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cs="Times New Roman"/>
                      <w:b w:val="0"/>
                      <w:bCs/>
                      <w:color w:val="auto"/>
                      <w:kern w:val="0"/>
                      <w:sz w:val="18"/>
                      <w:szCs w:val="18"/>
                      <w:highlight w:val="none"/>
                      <w:vertAlign w:val="baseline"/>
                      <w:lang w:eastAsia="zh-CN"/>
                    </w:rPr>
                    <w:t>室内边界声级</w:t>
                  </w:r>
                  <w:r>
                    <w:rPr>
                      <w:rFonts w:hint="default" w:ascii="Times New Roman" w:hAnsi="Times New Roman" w:cs="Times New Roman"/>
                      <w:b w:val="0"/>
                      <w:bCs/>
                      <w:color w:val="auto"/>
                      <w:kern w:val="0"/>
                      <w:sz w:val="18"/>
                      <w:szCs w:val="18"/>
                      <w:highlight w:val="none"/>
                      <w:vertAlign w:val="baseline"/>
                      <w:lang w:val="en-US" w:eastAsia="zh-CN"/>
                    </w:rPr>
                    <w:t>/dB（A）</w:t>
                  </w:r>
                </w:p>
              </w:tc>
              <w:tc>
                <w:tcPr>
                  <w:tcW w:w="534"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cs="Times New Roman"/>
                      <w:b w:val="0"/>
                      <w:bCs/>
                      <w:color w:val="auto"/>
                      <w:kern w:val="0"/>
                      <w:sz w:val="18"/>
                      <w:szCs w:val="18"/>
                      <w:highlight w:val="none"/>
                      <w:vertAlign w:val="baseline"/>
                      <w:lang w:eastAsia="zh-CN"/>
                    </w:rPr>
                    <w:t>运行时段</w:t>
                  </w:r>
                </w:p>
              </w:tc>
              <w:tc>
                <w:tcPr>
                  <w:tcW w:w="294"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eastAsia="zh-CN"/>
                    </w:rPr>
                    <w:t>建筑物插入损失</w:t>
                  </w:r>
                  <w:r>
                    <w:rPr>
                      <w:rFonts w:hint="default" w:ascii="Times New Roman" w:hAnsi="Times New Roman" w:cs="Times New Roman"/>
                      <w:b w:val="0"/>
                      <w:bCs/>
                      <w:color w:val="auto"/>
                      <w:kern w:val="0"/>
                      <w:sz w:val="18"/>
                      <w:szCs w:val="18"/>
                      <w:highlight w:val="none"/>
                      <w:vertAlign w:val="baseline"/>
                      <w:lang w:val="en-US" w:eastAsia="zh-CN"/>
                    </w:rPr>
                    <w:t>/dB（A）</w:t>
                  </w:r>
                </w:p>
              </w:tc>
              <w:tc>
                <w:tcPr>
                  <w:tcW w:w="676" w:type="pct"/>
                  <w:gridSpan w:val="2"/>
                  <w:tcBorders>
                    <w:bottom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cs="Times New Roman"/>
                      <w:b w:val="0"/>
                      <w:bCs/>
                      <w:color w:val="auto"/>
                      <w:kern w:val="0"/>
                      <w:sz w:val="18"/>
                      <w:szCs w:val="18"/>
                      <w:highlight w:val="none"/>
                      <w:vertAlign w:val="baseline"/>
                      <w:lang w:eastAsia="zh-CN"/>
                    </w:rPr>
                    <w:t>建筑物外噪声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7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eastAsia="zh-CN"/>
                    </w:rPr>
                  </w:pPr>
                </w:p>
              </w:tc>
              <w:tc>
                <w:tcPr>
                  <w:tcW w:w="222"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eastAsia="zh-CN"/>
                    </w:rPr>
                  </w:pPr>
                </w:p>
              </w:tc>
              <w:tc>
                <w:tcPr>
                  <w:tcW w:w="447"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eastAsia="zh-CN"/>
                    </w:rPr>
                  </w:pPr>
                </w:p>
              </w:tc>
              <w:tc>
                <w:tcPr>
                  <w:tcW w:w="53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eastAsia="zh-CN"/>
                    </w:rPr>
                  </w:pPr>
                </w:p>
              </w:tc>
              <w:tc>
                <w:tcPr>
                  <w:tcW w:w="319"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eastAsia="zh-CN"/>
                    </w:rPr>
                  </w:pPr>
                </w:p>
              </w:tc>
              <w:tc>
                <w:tcPr>
                  <w:tcW w:w="44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eastAsia="zh-CN"/>
                    </w:rPr>
                  </w:pPr>
                </w:p>
              </w:tc>
              <w:tc>
                <w:tcPr>
                  <w:tcW w:w="787" w:type="pct"/>
                  <w:gridSpan w:val="3"/>
                  <w:vMerge w:val="continue"/>
                  <w:tcBorders>
                    <w:bottom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eastAsia="zh-CN"/>
                    </w:rPr>
                  </w:pPr>
                </w:p>
              </w:tc>
              <w:tc>
                <w:tcPr>
                  <w:tcW w:w="310"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eastAsia="zh-CN"/>
                    </w:rPr>
                  </w:pPr>
                </w:p>
              </w:tc>
              <w:tc>
                <w:tcPr>
                  <w:tcW w:w="257"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eastAsia="zh-CN"/>
                    </w:rPr>
                  </w:pPr>
                </w:p>
              </w:tc>
              <w:tc>
                <w:tcPr>
                  <w:tcW w:w="534"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eastAsia="zh-CN"/>
                    </w:rPr>
                  </w:pPr>
                </w:p>
              </w:tc>
              <w:tc>
                <w:tcPr>
                  <w:tcW w:w="294"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eastAsia="zh-CN"/>
                    </w:rPr>
                  </w:pPr>
                </w:p>
              </w:tc>
              <w:tc>
                <w:tcPr>
                  <w:tcW w:w="334" w:type="pct"/>
                  <w:vMerge w:val="restart"/>
                  <w:tcBorders>
                    <w:top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eastAsia="zh-CN"/>
                    </w:rPr>
                    <w:t>声压级</w:t>
                  </w:r>
                  <w:r>
                    <w:rPr>
                      <w:rFonts w:hint="default" w:ascii="Times New Roman" w:hAnsi="Times New Roman" w:cs="Times New Roman"/>
                      <w:b w:val="0"/>
                      <w:bCs/>
                      <w:color w:val="auto"/>
                      <w:kern w:val="0"/>
                      <w:sz w:val="18"/>
                      <w:szCs w:val="18"/>
                      <w:highlight w:val="none"/>
                      <w:vertAlign w:val="baseline"/>
                      <w:lang w:val="en-US" w:eastAsia="zh-CN"/>
                    </w:rPr>
                    <w:t>/dB（A）</w:t>
                  </w:r>
                </w:p>
              </w:tc>
              <w:tc>
                <w:tcPr>
                  <w:tcW w:w="342" w:type="pct"/>
                  <w:vMerge w:val="restart"/>
                  <w:tcBorders>
                    <w:top w:val="single" w:color="000000" w:sz="4" w:space="0"/>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建筑物外距离/m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eastAsia="zh-CN"/>
                    </w:rPr>
                  </w:pPr>
                </w:p>
              </w:tc>
              <w:tc>
                <w:tcPr>
                  <w:tcW w:w="222"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eastAsia="zh-CN"/>
                    </w:rPr>
                  </w:pPr>
                </w:p>
              </w:tc>
              <w:tc>
                <w:tcPr>
                  <w:tcW w:w="447"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eastAsia="zh-CN"/>
                    </w:rPr>
                  </w:pPr>
                </w:p>
              </w:tc>
              <w:tc>
                <w:tcPr>
                  <w:tcW w:w="53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eastAsia="zh-CN"/>
                    </w:rPr>
                  </w:pPr>
                </w:p>
              </w:tc>
              <w:tc>
                <w:tcPr>
                  <w:tcW w:w="319"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eastAsia="zh-CN"/>
                    </w:rPr>
                  </w:pPr>
                </w:p>
              </w:tc>
              <w:tc>
                <w:tcPr>
                  <w:tcW w:w="44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eastAsia="zh-CN"/>
                    </w:rPr>
                  </w:pPr>
                </w:p>
              </w:tc>
              <w:tc>
                <w:tcPr>
                  <w:tcW w:w="262" w:type="pct"/>
                  <w:tcBorders>
                    <w:top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X</w:t>
                  </w:r>
                </w:p>
              </w:tc>
              <w:tc>
                <w:tcPr>
                  <w:tcW w:w="262" w:type="pct"/>
                  <w:tcBorders>
                    <w:top w:val="single" w:color="000000" w:sz="4" w:space="0"/>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lang w:val="en-US" w:eastAsia="zh-CN"/>
                    </w:rPr>
                  </w:pPr>
                  <w:r>
                    <w:rPr>
                      <w:rFonts w:hint="default" w:ascii="Times New Roman" w:hAnsi="Times New Roman" w:cs="Times New Roman"/>
                      <w:b w:val="0"/>
                      <w:bCs/>
                      <w:color w:val="auto"/>
                      <w:kern w:val="0"/>
                      <w:sz w:val="18"/>
                      <w:szCs w:val="18"/>
                      <w:highlight w:val="none"/>
                      <w:lang w:val="en-US" w:eastAsia="zh-CN"/>
                    </w:rPr>
                    <w:t>Y</w:t>
                  </w:r>
                </w:p>
              </w:tc>
              <w:tc>
                <w:tcPr>
                  <w:tcW w:w="263" w:type="pct"/>
                  <w:tcBorders>
                    <w:top w:val="single" w:color="000000" w:sz="4" w:space="0"/>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lang w:val="en-US" w:eastAsia="zh-CN"/>
                    </w:rPr>
                  </w:pPr>
                  <w:r>
                    <w:rPr>
                      <w:rFonts w:hint="default" w:ascii="Times New Roman" w:hAnsi="Times New Roman" w:cs="Times New Roman"/>
                      <w:b w:val="0"/>
                      <w:bCs/>
                      <w:color w:val="auto"/>
                      <w:kern w:val="0"/>
                      <w:sz w:val="18"/>
                      <w:szCs w:val="18"/>
                      <w:highlight w:val="none"/>
                      <w:lang w:val="en-US" w:eastAsia="zh-CN"/>
                    </w:rPr>
                    <w:t>Z</w:t>
                  </w:r>
                </w:p>
              </w:tc>
              <w:tc>
                <w:tcPr>
                  <w:tcW w:w="310"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rPr>
                  </w:pPr>
                </w:p>
              </w:tc>
              <w:tc>
                <w:tcPr>
                  <w:tcW w:w="257"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rPr>
                  </w:pPr>
                </w:p>
              </w:tc>
              <w:tc>
                <w:tcPr>
                  <w:tcW w:w="534"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rPr>
                  </w:pPr>
                </w:p>
              </w:tc>
              <w:tc>
                <w:tcPr>
                  <w:tcW w:w="294"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rPr>
                  </w:pPr>
                </w:p>
              </w:tc>
              <w:tc>
                <w:tcPr>
                  <w:tcW w:w="334" w:type="pct"/>
                  <w:vMerge w:val="continue"/>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rPr>
                  </w:pPr>
                </w:p>
              </w:tc>
              <w:tc>
                <w:tcPr>
                  <w:tcW w:w="342" w:type="pct"/>
                  <w:vMerge w:val="continue"/>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1"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1</w:t>
                  </w:r>
                </w:p>
              </w:tc>
              <w:tc>
                <w:tcPr>
                  <w:tcW w:w="222"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生产</w:t>
                  </w:r>
                </w:p>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车间</w:t>
                  </w:r>
                </w:p>
              </w:tc>
              <w:tc>
                <w:tcPr>
                  <w:tcW w:w="4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2"/>
                      <w:sz w:val="18"/>
                      <w:szCs w:val="18"/>
                      <w:highlight w:val="green"/>
                      <w:lang w:val="en-US" w:eastAsia="zh-CN" w:bidi="ar-SA"/>
                    </w:rPr>
                  </w:pPr>
                  <w:r>
                    <w:rPr>
                      <w:rFonts w:hint="eastAsia" w:ascii="宋体" w:hAnsi="宋体" w:eastAsia="宋体" w:cs="宋体"/>
                      <w:i w:val="0"/>
                      <w:iCs w:val="0"/>
                      <w:color w:val="auto"/>
                      <w:kern w:val="0"/>
                      <w:sz w:val="18"/>
                      <w:szCs w:val="18"/>
                      <w:u w:val="none"/>
                      <w:lang w:val="en-US" w:eastAsia="zh-CN" w:bidi="ar"/>
                    </w:rPr>
                    <w:t>对辊机</w:t>
                  </w:r>
                </w:p>
              </w:tc>
              <w:tc>
                <w:tcPr>
                  <w:tcW w:w="53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250A</w:t>
                  </w:r>
                </w:p>
              </w:tc>
              <w:tc>
                <w:tcPr>
                  <w:tcW w:w="319" w:type="pct"/>
                  <w:tcBorders>
                    <w:tl2br w:val="nil"/>
                    <w:tr2bl w:val="nil"/>
                  </w:tcBorders>
                  <w:vAlign w:val="center"/>
                </w:tcPr>
                <w:p>
                  <w:pPr>
                    <w:pStyle w:val="73"/>
                    <w:keepNext w:val="0"/>
                    <w:keepLines w:val="0"/>
                    <w:pageBreakBefore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95</w:t>
                  </w:r>
                </w:p>
              </w:tc>
              <w:tc>
                <w:tcPr>
                  <w:tcW w:w="445"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rPr>
                  </w:pPr>
                  <w:r>
                    <w:rPr>
                      <w:rFonts w:hint="default" w:ascii="Times New Roman" w:hAnsi="Times New Roman" w:eastAsia="宋体" w:cs="Times New Roman"/>
                      <w:b w:val="0"/>
                      <w:bCs/>
                      <w:color w:val="auto"/>
                      <w:kern w:val="0"/>
                      <w:sz w:val="18"/>
                      <w:szCs w:val="18"/>
                      <w:highlight w:val="none"/>
                      <w:vertAlign w:val="baseline"/>
                      <w:lang w:eastAsia="zh-CN"/>
                    </w:rPr>
                    <w:t>室内布置、基础减振、厂房隔声</w:t>
                  </w:r>
                </w:p>
              </w:tc>
              <w:tc>
                <w:tcPr>
                  <w:tcW w:w="262"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5</w:t>
                  </w:r>
                </w:p>
              </w:tc>
              <w:tc>
                <w:tcPr>
                  <w:tcW w:w="262"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10</w:t>
                  </w:r>
                </w:p>
              </w:tc>
              <w:tc>
                <w:tcPr>
                  <w:tcW w:w="263"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6</w:t>
                  </w:r>
                </w:p>
              </w:tc>
              <w:tc>
                <w:tcPr>
                  <w:tcW w:w="310"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5</w:t>
                  </w:r>
                </w:p>
              </w:tc>
              <w:tc>
                <w:tcPr>
                  <w:tcW w:w="25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74</w:t>
                  </w:r>
                </w:p>
              </w:tc>
              <w:tc>
                <w:tcPr>
                  <w:tcW w:w="534"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8:00~17:00</w:t>
                  </w:r>
                </w:p>
              </w:tc>
              <w:tc>
                <w:tcPr>
                  <w:tcW w:w="294"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15</w:t>
                  </w:r>
                </w:p>
              </w:tc>
              <w:tc>
                <w:tcPr>
                  <w:tcW w:w="334" w:type="pct"/>
                  <w:vMerge w:val="restar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62.5</w:t>
                  </w:r>
                </w:p>
              </w:tc>
              <w:tc>
                <w:tcPr>
                  <w:tcW w:w="342" w:type="pct"/>
                  <w:vMerge w:val="restar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北侧：</w:t>
                  </w:r>
                  <w:r>
                    <w:rPr>
                      <w:rFonts w:hint="eastAsia" w:cs="Times New Roman"/>
                      <w:b w:val="0"/>
                      <w:bCs w:val="0"/>
                      <w:color w:val="auto"/>
                      <w:sz w:val="18"/>
                      <w:szCs w:val="18"/>
                      <w:highlight w:val="none"/>
                      <w:lang w:val="en-US" w:eastAsia="zh-CN"/>
                    </w:rPr>
                    <w:t>1</w:t>
                  </w:r>
                </w:p>
                <w:p>
                  <w:pPr>
                    <w:keepLines w:val="0"/>
                    <w:pageBreakBefore w:val="0"/>
                    <w:widowControl w:val="0"/>
                    <w:kinsoku/>
                    <w:wordWrap/>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东侧：</w:t>
                  </w:r>
                  <w:r>
                    <w:rPr>
                      <w:rFonts w:hint="eastAsia" w:cs="Times New Roman"/>
                      <w:b w:val="0"/>
                      <w:bCs w:val="0"/>
                      <w:color w:val="auto"/>
                      <w:sz w:val="18"/>
                      <w:szCs w:val="18"/>
                      <w:highlight w:val="none"/>
                      <w:lang w:val="en-US" w:eastAsia="zh-CN"/>
                    </w:rPr>
                    <w:t>1</w:t>
                  </w:r>
                </w:p>
                <w:p>
                  <w:pPr>
                    <w:pStyle w:val="2"/>
                    <w:keepLines w:val="0"/>
                    <w:pageBreakBefore w:val="0"/>
                    <w:widowControl w:val="0"/>
                    <w:kinsoku/>
                    <w:wordWrap/>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南侧：</w:t>
                  </w:r>
                  <w:r>
                    <w:rPr>
                      <w:rFonts w:hint="eastAsia" w:cs="Times New Roman"/>
                      <w:b w:val="0"/>
                      <w:bCs w:val="0"/>
                      <w:color w:val="auto"/>
                      <w:sz w:val="18"/>
                      <w:szCs w:val="18"/>
                      <w:highlight w:val="none"/>
                      <w:lang w:val="en-US" w:eastAsia="zh-CN"/>
                    </w:rPr>
                    <w:t>30</w:t>
                  </w:r>
                </w:p>
                <w:p>
                  <w:pPr>
                    <w:keepLines w:val="0"/>
                    <w:pageBreakBefore w:val="0"/>
                    <w:widowControl w:val="0"/>
                    <w:kinsoku/>
                    <w:wordWrap/>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val="0"/>
                      <w:bCs w:val="0"/>
                      <w:color w:val="auto"/>
                      <w:sz w:val="18"/>
                      <w:szCs w:val="18"/>
                      <w:highlight w:val="none"/>
                      <w:lang w:val="en-US" w:eastAsia="zh-CN"/>
                    </w:rPr>
                    <w:t>西侧：</w:t>
                  </w:r>
                  <w:r>
                    <w:rPr>
                      <w:rFonts w:hint="eastAsia" w:cs="Times New Roman"/>
                      <w:b w:val="0"/>
                      <w:bCs w:val="0"/>
                      <w:color w:val="auto"/>
                      <w:sz w:val="18"/>
                      <w:szCs w:val="18"/>
                      <w:highlight w:val="none"/>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222"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4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2"/>
                      <w:sz w:val="18"/>
                      <w:szCs w:val="18"/>
                      <w:highlight w:val="green"/>
                      <w:lang w:val="en-US" w:eastAsia="zh-CN" w:bidi="ar-SA"/>
                    </w:rPr>
                  </w:pPr>
                  <w:r>
                    <w:rPr>
                      <w:rFonts w:hint="eastAsia" w:ascii="宋体" w:hAnsi="宋体" w:eastAsia="宋体" w:cs="宋体"/>
                      <w:i w:val="0"/>
                      <w:iCs w:val="0"/>
                      <w:color w:val="auto"/>
                      <w:kern w:val="0"/>
                      <w:sz w:val="18"/>
                      <w:szCs w:val="18"/>
                      <w:u w:val="none"/>
                      <w:lang w:val="en-US" w:eastAsia="zh-CN" w:bidi="ar"/>
                    </w:rPr>
                    <w:t>切片机</w:t>
                  </w:r>
                </w:p>
              </w:tc>
              <w:tc>
                <w:tcPr>
                  <w:tcW w:w="53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olor w:val="auto"/>
                      <w:kern w:val="0"/>
                      <w:sz w:val="18"/>
                      <w:szCs w:val="18"/>
                      <w:highlight w:val="none"/>
                      <w:vertAlign w:val="baseline"/>
                      <w:lang w:val="en-US" w:eastAsia="zh-CN"/>
                    </w:rPr>
                  </w:pPr>
                  <w:r>
                    <w:rPr>
                      <w:rFonts w:hint="eastAsia" w:ascii="Times New Roman" w:hAnsi="Times New Roman" w:eastAsia="宋体" w:cs="Times New Roman"/>
                      <w:b w:val="0"/>
                      <w:bCs w:val="0"/>
                      <w:color w:val="auto"/>
                      <w:kern w:val="0"/>
                      <w:sz w:val="18"/>
                      <w:szCs w:val="18"/>
                      <w:highlight w:val="none"/>
                      <w:vertAlign w:val="baseline"/>
                      <w:lang w:val="en-US" w:eastAsia="zh-CN"/>
                    </w:rPr>
                    <w:t>AC-CP-</w:t>
                  </w:r>
                  <w:r>
                    <w:rPr>
                      <w:rFonts w:hint="default" w:ascii="Times New Roman" w:hAnsi="Times New Roman" w:eastAsia="宋体" w:cs="Times New Roman"/>
                      <w:b w:val="0"/>
                      <w:bCs w:val="0"/>
                      <w:color w:val="auto"/>
                      <w:kern w:val="0"/>
                      <w:sz w:val="18"/>
                      <w:szCs w:val="18"/>
                      <w:highlight w:val="none"/>
                      <w:vertAlign w:val="baseline"/>
                      <w:lang w:val="en-US" w:eastAsia="zh-CN"/>
                    </w:rPr>
                    <w:t>500</w:t>
                  </w:r>
                </w:p>
              </w:tc>
              <w:tc>
                <w:tcPr>
                  <w:tcW w:w="319" w:type="pct"/>
                  <w:tcBorders>
                    <w:tl2br w:val="nil"/>
                    <w:tr2bl w:val="nil"/>
                  </w:tcBorders>
                  <w:vAlign w:val="center"/>
                </w:tcPr>
                <w:p>
                  <w:pPr>
                    <w:pStyle w:val="73"/>
                    <w:keepNext w:val="0"/>
                    <w:keepLines w:val="0"/>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color w:val="auto"/>
                      <w:kern w:val="0"/>
                      <w:sz w:val="18"/>
                      <w:szCs w:val="18"/>
                      <w:highlight w:val="none"/>
                      <w:lang w:val="en-US" w:eastAsia="zh-CN"/>
                    </w:rPr>
                  </w:pPr>
                  <w:r>
                    <w:rPr>
                      <w:rFonts w:hint="eastAsia" w:cs="Times New Roman"/>
                      <w:b w:val="0"/>
                      <w:bCs/>
                      <w:color w:val="auto"/>
                      <w:kern w:val="0"/>
                      <w:sz w:val="18"/>
                      <w:szCs w:val="18"/>
                      <w:highlight w:val="none"/>
                      <w:lang w:val="en-US" w:eastAsia="zh-CN"/>
                    </w:rPr>
                    <w:t>90</w:t>
                  </w:r>
                </w:p>
              </w:tc>
              <w:tc>
                <w:tcPr>
                  <w:tcW w:w="44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rPr>
                  </w:pPr>
                </w:p>
              </w:tc>
              <w:tc>
                <w:tcPr>
                  <w:tcW w:w="262"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eastAsia" w:cs="Times New Roman"/>
                      <w:b w:val="0"/>
                      <w:bCs/>
                      <w:color w:val="auto"/>
                      <w:kern w:val="0"/>
                      <w:sz w:val="18"/>
                      <w:szCs w:val="18"/>
                      <w:highlight w:val="none"/>
                      <w:vertAlign w:val="baseline"/>
                      <w:lang w:val="en-US" w:eastAsia="zh-CN" w:bidi="ar-SA"/>
                    </w:rPr>
                    <w:t>5</w:t>
                  </w:r>
                </w:p>
              </w:tc>
              <w:tc>
                <w:tcPr>
                  <w:tcW w:w="262"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eastAsia" w:cs="Times New Roman"/>
                      <w:b w:val="0"/>
                      <w:bCs/>
                      <w:color w:val="auto"/>
                      <w:kern w:val="0"/>
                      <w:sz w:val="18"/>
                      <w:szCs w:val="18"/>
                      <w:highlight w:val="none"/>
                      <w:vertAlign w:val="baseline"/>
                      <w:lang w:val="en-US" w:eastAsia="zh-CN"/>
                    </w:rPr>
                    <w:t>12</w:t>
                  </w:r>
                </w:p>
              </w:tc>
              <w:tc>
                <w:tcPr>
                  <w:tcW w:w="263"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eastAsia" w:cs="Times New Roman"/>
                      <w:b w:val="0"/>
                      <w:bCs/>
                      <w:color w:val="auto"/>
                      <w:kern w:val="0"/>
                      <w:sz w:val="18"/>
                      <w:szCs w:val="18"/>
                      <w:highlight w:val="none"/>
                      <w:vertAlign w:val="baseline"/>
                      <w:lang w:val="en-US" w:eastAsia="zh-CN"/>
                    </w:rPr>
                    <w:t>8</w:t>
                  </w:r>
                </w:p>
              </w:tc>
              <w:tc>
                <w:tcPr>
                  <w:tcW w:w="310"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5</w:t>
                  </w:r>
                </w:p>
              </w:tc>
              <w:tc>
                <w:tcPr>
                  <w:tcW w:w="25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69</w:t>
                  </w:r>
                </w:p>
              </w:tc>
              <w:tc>
                <w:tcPr>
                  <w:tcW w:w="534"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8:00~17:00</w:t>
                  </w:r>
                </w:p>
              </w:tc>
              <w:tc>
                <w:tcPr>
                  <w:tcW w:w="294"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334" w:type="pct"/>
                  <w:vMerge w:val="continue"/>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342" w:type="pct"/>
                  <w:vMerge w:val="continue"/>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222"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4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2"/>
                      <w:sz w:val="18"/>
                      <w:szCs w:val="18"/>
                      <w:highlight w:val="green"/>
                      <w:lang w:val="en-US" w:eastAsia="zh-CN" w:bidi="ar-SA"/>
                    </w:rPr>
                  </w:pPr>
                  <w:r>
                    <w:rPr>
                      <w:rFonts w:hint="eastAsia" w:ascii="宋体" w:hAnsi="宋体" w:eastAsia="宋体" w:cs="宋体"/>
                      <w:i w:val="0"/>
                      <w:iCs w:val="0"/>
                      <w:color w:val="auto"/>
                      <w:kern w:val="0"/>
                      <w:sz w:val="18"/>
                      <w:szCs w:val="18"/>
                      <w:u w:val="none"/>
                      <w:lang w:val="en-US" w:eastAsia="zh-CN" w:bidi="ar"/>
                    </w:rPr>
                    <w:t>分条机</w:t>
                  </w:r>
                </w:p>
              </w:tc>
              <w:tc>
                <w:tcPr>
                  <w:tcW w:w="53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olor w:val="auto"/>
                      <w:kern w:val="0"/>
                      <w:sz w:val="18"/>
                      <w:szCs w:val="18"/>
                      <w:highlight w:val="none"/>
                      <w:vertAlign w:val="baseline"/>
                      <w:lang w:val="en-US" w:eastAsia="zh-CN"/>
                    </w:rPr>
                  </w:pPr>
                  <w:r>
                    <w:rPr>
                      <w:rFonts w:hint="eastAsia" w:ascii="Times New Roman" w:hAnsi="Times New Roman" w:eastAsia="宋体" w:cs="Times New Roman"/>
                      <w:b w:val="0"/>
                      <w:bCs w:val="0"/>
                      <w:color w:val="auto"/>
                      <w:kern w:val="0"/>
                      <w:sz w:val="18"/>
                      <w:szCs w:val="18"/>
                      <w:highlight w:val="none"/>
                      <w:vertAlign w:val="baseline"/>
                      <w:lang w:val="en-US" w:eastAsia="zh-CN"/>
                    </w:rPr>
                    <w:t>AC-CP-</w:t>
                  </w:r>
                  <w:r>
                    <w:rPr>
                      <w:rFonts w:hint="default" w:ascii="Times New Roman" w:hAnsi="Times New Roman" w:eastAsia="宋体" w:cs="Times New Roman"/>
                      <w:b w:val="0"/>
                      <w:bCs w:val="0"/>
                      <w:color w:val="auto"/>
                      <w:kern w:val="0"/>
                      <w:sz w:val="18"/>
                      <w:szCs w:val="18"/>
                      <w:highlight w:val="none"/>
                      <w:vertAlign w:val="baseline"/>
                      <w:lang w:val="en-US" w:eastAsia="zh-CN"/>
                    </w:rPr>
                    <w:t>500</w:t>
                  </w:r>
                </w:p>
              </w:tc>
              <w:tc>
                <w:tcPr>
                  <w:tcW w:w="319" w:type="pct"/>
                  <w:tcBorders>
                    <w:tl2br w:val="nil"/>
                    <w:tr2bl w:val="nil"/>
                  </w:tcBorders>
                  <w:vAlign w:val="center"/>
                </w:tcPr>
                <w:p>
                  <w:pPr>
                    <w:pStyle w:val="73"/>
                    <w:keepNext w:val="0"/>
                    <w:keepLines w:val="0"/>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color w:val="auto"/>
                      <w:kern w:val="0"/>
                      <w:sz w:val="18"/>
                      <w:szCs w:val="18"/>
                      <w:highlight w:val="none"/>
                      <w:lang w:val="en-US" w:eastAsia="zh-CN"/>
                    </w:rPr>
                  </w:pPr>
                  <w:r>
                    <w:rPr>
                      <w:rFonts w:hint="eastAsia" w:cs="Times New Roman"/>
                      <w:b w:val="0"/>
                      <w:bCs/>
                      <w:color w:val="auto"/>
                      <w:kern w:val="0"/>
                      <w:sz w:val="18"/>
                      <w:szCs w:val="18"/>
                      <w:highlight w:val="none"/>
                      <w:lang w:val="en-US" w:eastAsia="zh-CN"/>
                    </w:rPr>
                    <w:t>90</w:t>
                  </w:r>
                </w:p>
              </w:tc>
              <w:tc>
                <w:tcPr>
                  <w:tcW w:w="44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rPr>
                  </w:pPr>
                </w:p>
              </w:tc>
              <w:tc>
                <w:tcPr>
                  <w:tcW w:w="262"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eastAsia" w:cs="Times New Roman"/>
                      <w:b w:val="0"/>
                      <w:bCs/>
                      <w:color w:val="auto"/>
                      <w:kern w:val="0"/>
                      <w:sz w:val="18"/>
                      <w:szCs w:val="18"/>
                      <w:highlight w:val="none"/>
                      <w:vertAlign w:val="baseline"/>
                      <w:lang w:val="en-US" w:eastAsia="zh-CN" w:bidi="ar-SA"/>
                    </w:rPr>
                    <w:t>5</w:t>
                  </w:r>
                </w:p>
              </w:tc>
              <w:tc>
                <w:tcPr>
                  <w:tcW w:w="262"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eastAsia" w:cs="Times New Roman"/>
                      <w:b w:val="0"/>
                      <w:bCs/>
                      <w:color w:val="auto"/>
                      <w:kern w:val="0"/>
                      <w:sz w:val="18"/>
                      <w:szCs w:val="18"/>
                      <w:highlight w:val="none"/>
                      <w:vertAlign w:val="baseline"/>
                      <w:lang w:val="en-US" w:eastAsia="zh-CN"/>
                    </w:rPr>
                    <w:t>13</w:t>
                  </w:r>
                </w:p>
              </w:tc>
              <w:tc>
                <w:tcPr>
                  <w:tcW w:w="263"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eastAsia" w:cs="Times New Roman"/>
                      <w:b w:val="0"/>
                      <w:bCs/>
                      <w:color w:val="auto"/>
                      <w:kern w:val="0"/>
                      <w:sz w:val="18"/>
                      <w:szCs w:val="18"/>
                      <w:highlight w:val="none"/>
                      <w:vertAlign w:val="baseline"/>
                      <w:lang w:val="en-US" w:eastAsia="zh-CN"/>
                    </w:rPr>
                    <w:t>8</w:t>
                  </w:r>
                </w:p>
              </w:tc>
              <w:tc>
                <w:tcPr>
                  <w:tcW w:w="310"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5</w:t>
                  </w:r>
                </w:p>
              </w:tc>
              <w:tc>
                <w:tcPr>
                  <w:tcW w:w="25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69</w:t>
                  </w:r>
                </w:p>
              </w:tc>
              <w:tc>
                <w:tcPr>
                  <w:tcW w:w="534"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8:00~17:00</w:t>
                  </w:r>
                </w:p>
              </w:tc>
              <w:tc>
                <w:tcPr>
                  <w:tcW w:w="294"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334" w:type="pct"/>
                  <w:vMerge w:val="continue"/>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342" w:type="pct"/>
                  <w:vMerge w:val="continue"/>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222"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4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2"/>
                      <w:sz w:val="18"/>
                      <w:szCs w:val="18"/>
                      <w:highlight w:val="green"/>
                      <w:lang w:val="en-US" w:eastAsia="zh-CN" w:bidi="ar-SA"/>
                    </w:rPr>
                  </w:pPr>
                  <w:r>
                    <w:rPr>
                      <w:rFonts w:hint="eastAsia" w:ascii="宋体" w:hAnsi="宋体" w:eastAsia="宋体" w:cs="宋体"/>
                      <w:i w:val="0"/>
                      <w:iCs w:val="0"/>
                      <w:color w:val="auto"/>
                      <w:kern w:val="0"/>
                      <w:sz w:val="18"/>
                      <w:szCs w:val="18"/>
                      <w:u w:val="none"/>
                      <w:lang w:val="en-US" w:eastAsia="zh-CN" w:bidi="ar"/>
                    </w:rPr>
                    <w:t>正焊极耳机</w:t>
                  </w:r>
                </w:p>
              </w:tc>
              <w:tc>
                <w:tcPr>
                  <w:tcW w:w="53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w:t>
                  </w:r>
                </w:p>
              </w:tc>
              <w:tc>
                <w:tcPr>
                  <w:tcW w:w="319" w:type="pct"/>
                  <w:tcBorders>
                    <w:tl2br w:val="nil"/>
                    <w:tr2bl w:val="nil"/>
                  </w:tcBorders>
                  <w:vAlign w:val="center"/>
                </w:tcPr>
                <w:p>
                  <w:pPr>
                    <w:pStyle w:val="73"/>
                    <w:keepNext w:val="0"/>
                    <w:keepLines w:val="0"/>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color w:val="auto"/>
                      <w:kern w:val="0"/>
                      <w:sz w:val="18"/>
                      <w:szCs w:val="18"/>
                      <w:highlight w:val="none"/>
                      <w:lang w:val="en-US" w:eastAsia="zh-CN"/>
                    </w:rPr>
                  </w:pPr>
                  <w:r>
                    <w:rPr>
                      <w:rFonts w:hint="eastAsia" w:cs="Times New Roman"/>
                      <w:b w:val="0"/>
                      <w:bCs/>
                      <w:color w:val="auto"/>
                      <w:kern w:val="0"/>
                      <w:sz w:val="18"/>
                      <w:szCs w:val="18"/>
                      <w:highlight w:val="none"/>
                      <w:lang w:val="en-US" w:eastAsia="zh-CN"/>
                    </w:rPr>
                    <w:t>95</w:t>
                  </w:r>
                </w:p>
              </w:tc>
              <w:tc>
                <w:tcPr>
                  <w:tcW w:w="44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rPr>
                  </w:pPr>
                </w:p>
              </w:tc>
              <w:tc>
                <w:tcPr>
                  <w:tcW w:w="262"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eastAsia" w:cs="Times New Roman"/>
                      <w:b w:val="0"/>
                      <w:bCs/>
                      <w:color w:val="auto"/>
                      <w:kern w:val="0"/>
                      <w:sz w:val="18"/>
                      <w:szCs w:val="18"/>
                      <w:highlight w:val="none"/>
                      <w:vertAlign w:val="baseline"/>
                      <w:lang w:val="en-US" w:eastAsia="zh-CN" w:bidi="ar-SA"/>
                    </w:rPr>
                    <w:t>5</w:t>
                  </w:r>
                </w:p>
              </w:tc>
              <w:tc>
                <w:tcPr>
                  <w:tcW w:w="262"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eastAsia" w:cs="Times New Roman"/>
                      <w:b w:val="0"/>
                      <w:bCs/>
                      <w:color w:val="auto"/>
                      <w:kern w:val="0"/>
                      <w:sz w:val="18"/>
                      <w:szCs w:val="18"/>
                      <w:highlight w:val="none"/>
                      <w:vertAlign w:val="baseline"/>
                      <w:lang w:val="en-US" w:eastAsia="zh-CN"/>
                    </w:rPr>
                    <w:t>15</w:t>
                  </w:r>
                </w:p>
              </w:tc>
              <w:tc>
                <w:tcPr>
                  <w:tcW w:w="263"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eastAsia" w:cs="Times New Roman"/>
                      <w:b w:val="0"/>
                      <w:bCs/>
                      <w:color w:val="auto"/>
                      <w:kern w:val="0"/>
                      <w:sz w:val="18"/>
                      <w:szCs w:val="18"/>
                      <w:highlight w:val="none"/>
                      <w:vertAlign w:val="baseline"/>
                      <w:lang w:val="en-US" w:eastAsia="zh-CN"/>
                    </w:rPr>
                    <w:t>6</w:t>
                  </w:r>
                </w:p>
              </w:tc>
              <w:tc>
                <w:tcPr>
                  <w:tcW w:w="310"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5</w:t>
                  </w:r>
                </w:p>
              </w:tc>
              <w:tc>
                <w:tcPr>
                  <w:tcW w:w="25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74</w:t>
                  </w:r>
                </w:p>
              </w:tc>
              <w:tc>
                <w:tcPr>
                  <w:tcW w:w="534"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8:00~17:00</w:t>
                  </w:r>
                </w:p>
              </w:tc>
              <w:tc>
                <w:tcPr>
                  <w:tcW w:w="294"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334" w:type="pct"/>
                  <w:vMerge w:val="continue"/>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342" w:type="pct"/>
                  <w:vMerge w:val="continue"/>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222"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4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负焊极耳机</w:t>
                  </w:r>
                </w:p>
              </w:tc>
              <w:tc>
                <w:tcPr>
                  <w:tcW w:w="53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w:t>
                  </w:r>
                </w:p>
              </w:tc>
              <w:tc>
                <w:tcPr>
                  <w:tcW w:w="319" w:type="pct"/>
                  <w:tcBorders>
                    <w:tl2br w:val="nil"/>
                    <w:tr2bl w:val="nil"/>
                  </w:tcBorders>
                  <w:vAlign w:val="center"/>
                </w:tcPr>
                <w:p>
                  <w:pPr>
                    <w:pStyle w:val="73"/>
                    <w:keepNext w:val="0"/>
                    <w:keepLines w:val="0"/>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color w:val="auto"/>
                      <w:kern w:val="0"/>
                      <w:sz w:val="18"/>
                      <w:szCs w:val="18"/>
                      <w:highlight w:val="none"/>
                      <w:lang w:val="en-US" w:eastAsia="zh-CN"/>
                    </w:rPr>
                  </w:pPr>
                  <w:r>
                    <w:rPr>
                      <w:rFonts w:hint="eastAsia" w:cs="Times New Roman"/>
                      <w:b w:val="0"/>
                      <w:bCs/>
                      <w:color w:val="auto"/>
                      <w:kern w:val="0"/>
                      <w:sz w:val="18"/>
                      <w:szCs w:val="18"/>
                      <w:highlight w:val="none"/>
                      <w:lang w:val="en-US" w:eastAsia="zh-CN"/>
                    </w:rPr>
                    <w:t>95</w:t>
                  </w:r>
                </w:p>
              </w:tc>
              <w:tc>
                <w:tcPr>
                  <w:tcW w:w="44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rPr>
                  </w:pPr>
                </w:p>
              </w:tc>
              <w:tc>
                <w:tcPr>
                  <w:tcW w:w="262"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eastAsia" w:cs="Times New Roman"/>
                      <w:b w:val="0"/>
                      <w:bCs/>
                      <w:color w:val="auto"/>
                      <w:kern w:val="0"/>
                      <w:sz w:val="18"/>
                      <w:szCs w:val="18"/>
                      <w:highlight w:val="none"/>
                      <w:vertAlign w:val="baseline"/>
                      <w:lang w:val="en-US" w:eastAsia="zh-CN" w:bidi="ar-SA"/>
                    </w:rPr>
                    <w:t>5</w:t>
                  </w:r>
                </w:p>
              </w:tc>
              <w:tc>
                <w:tcPr>
                  <w:tcW w:w="262"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eastAsia" w:cs="Times New Roman"/>
                      <w:b w:val="0"/>
                      <w:bCs/>
                      <w:color w:val="auto"/>
                      <w:kern w:val="0"/>
                      <w:sz w:val="18"/>
                      <w:szCs w:val="18"/>
                      <w:highlight w:val="none"/>
                      <w:vertAlign w:val="baseline"/>
                      <w:lang w:val="en-US" w:eastAsia="zh-CN"/>
                    </w:rPr>
                    <w:t>15</w:t>
                  </w:r>
                </w:p>
              </w:tc>
              <w:tc>
                <w:tcPr>
                  <w:tcW w:w="263"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eastAsia" w:cs="Times New Roman"/>
                      <w:b w:val="0"/>
                      <w:bCs/>
                      <w:color w:val="auto"/>
                      <w:kern w:val="0"/>
                      <w:sz w:val="18"/>
                      <w:szCs w:val="18"/>
                      <w:highlight w:val="none"/>
                      <w:vertAlign w:val="baseline"/>
                      <w:lang w:val="en-US" w:eastAsia="zh-CN"/>
                    </w:rPr>
                    <w:t>6</w:t>
                  </w:r>
                </w:p>
              </w:tc>
              <w:tc>
                <w:tcPr>
                  <w:tcW w:w="310"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5</w:t>
                  </w:r>
                </w:p>
              </w:tc>
              <w:tc>
                <w:tcPr>
                  <w:tcW w:w="25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74</w:t>
                  </w:r>
                </w:p>
              </w:tc>
              <w:tc>
                <w:tcPr>
                  <w:tcW w:w="534"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8:00~17:00</w:t>
                  </w:r>
                </w:p>
              </w:tc>
              <w:tc>
                <w:tcPr>
                  <w:tcW w:w="294"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334" w:type="pct"/>
                  <w:vMerge w:val="continue"/>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342" w:type="pct"/>
                  <w:vMerge w:val="continue"/>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222"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44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半自动卷绕机</w:t>
                  </w:r>
                </w:p>
              </w:tc>
              <w:tc>
                <w:tcPr>
                  <w:tcW w:w="53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非标订制</w:t>
                  </w:r>
                </w:p>
              </w:tc>
              <w:tc>
                <w:tcPr>
                  <w:tcW w:w="319" w:type="pct"/>
                  <w:tcBorders>
                    <w:tl2br w:val="nil"/>
                    <w:tr2bl w:val="nil"/>
                  </w:tcBorders>
                  <w:vAlign w:val="center"/>
                </w:tcPr>
                <w:p>
                  <w:pPr>
                    <w:pStyle w:val="73"/>
                    <w:keepNext w:val="0"/>
                    <w:keepLines w:val="0"/>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color w:val="auto"/>
                      <w:kern w:val="0"/>
                      <w:sz w:val="18"/>
                      <w:szCs w:val="18"/>
                      <w:highlight w:val="none"/>
                      <w:lang w:val="en-US" w:eastAsia="zh-CN"/>
                    </w:rPr>
                  </w:pPr>
                  <w:r>
                    <w:rPr>
                      <w:rFonts w:hint="eastAsia" w:cs="Times New Roman"/>
                      <w:b w:val="0"/>
                      <w:bCs/>
                      <w:color w:val="auto"/>
                      <w:kern w:val="0"/>
                      <w:sz w:val="18"/>
                      <w:szCs w:val="18"/>
                      <w:highlight w:val="none"/>
                      <w:lang w:val="en-US" w:eastAsia="zh-CN"/>
                    </w:rPr>
                    <w:t>80</w:t>
                  </w:r>
                </w:p>
              </w:tc>
              <w:tc>
                <w:tcPr>
                  <w:tcW w:w="44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rPr>
                  </w:pPr>
                </w:p>
              </w:tc>
              <w:tc>
                <w:tcPr>
                  <w:tcW w:w="262"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eastAsia" w:cs="Times New Roman"/>
                      <w:b w:val="0"/>
                      <w:bCs/>
                      <w:color w:val="auto"/>
                      <w:kern w:val="0"/>
                      <w:sz w:val="18"/>
                      <w:szCs w:val="18"/>
                      <w:highlight w:val="none"/>
                      <w:vertAlign w:val="baseline"/>
                      <w:lang w:val="en-US" w:eastAsia="zh-CN" w:bidi="ar-SA"/>
                    </w:rPr>
                    <w:t>5</w:t>
                  </w:r>
                </w:p>
              </w:tc>
              <w:tc>
                <w:tcPr>
                  <w:tcW w:w="262"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eastAsia" w:cs="Times New Roman"/>
                      <w:b w:val="0"/>
                      <w:bCs/>
                      <w:color w:val="auto"/>
                      <w:kern w:val="0"/>
                      <w:sz w:val="18"/>
                      <w:szCs w:val="18"/>
                      <w:highlight w:val="none"/>
                      <w:vertAlign w:val="baseline"/>
                      <w:lang w:val="en-US" w:eastAsia="zh-CN"/>
                    </w:rPr>
                    <w:t>18</w:t>
                  </w:r>
                </w:p>
              </w:tc>
              <w:tc>
                <w:tcPr>
                  <w:tcW w:w="263"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eastAsia" w:cs="Times New Roman"/>
                      <w:b w:val="0"/>
                      <w:bCs/>
                      <w:color w:val="auto"/>
                      <w:kern w:val="0"/>
                      <w:sz w:val="18"/>
                      <w:szCs w:val="18"/>
                      <w:highlight w:val="none"/>
                      <w:vertAlign w:val="baseline"/>
                      <w:lang w:val="en-US" w:eastAsia="zh-CN"/>
                    </w:rPr>
                    <w:t>6</w:t>
                  </w:r>
                </w:p>
              </w:tc>
              <w:tc>
                <w:tcPr>
                  <w:tcW w:w="310"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5</w:t>
                  </w:r>
                </w:p>
              </w:tc>
              <w:tc>
                <w:tcPr>
                  <w:tcW w:w="25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59</w:t>
                  </w:r>
                </w:p>
              </w:tc>
              <w:tc>
                <w:tcPr>
                  <w:tcW w:w="534"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8:00~17:00</w:t>
                  </w:r>
                </w:p>
              </w:tc>
              <w:tc>
                <w:tcPr>
                  <w:tcW w:w="294"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334" w:type="pct"/>
                  <w:vMerge w:val="continue"/>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342" w:type="pct"/>
                  <w:vMerge w:val="continue"/>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222"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4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宋体" w:hAnsi="宋体" w:cs="宋体"/>
                      <w:i w:val="0"/>
                      <w:iCs w:val="0"/>
                      <w:color w:val="auto"/>
                      <w:kern w:val="0"/>
                      <w:sz w:val="18"/>
                      <w:szCs w:val="18"/>
                      <w:highlight w:val="none"/>
                      <w:u w:val="none"/>
                      <w:lang w:val="en-US" w:eastAsia="zh-CN" w:bidi="ar"/>
                    </w:rPr>
                    <w:t>点焊</w:t>
                  </w:r>
                  <w:r>
                    <w:rPr>
                      <w:rFonts w:hint="eastAsia" w:ascii="宋体" w:hAnsi="宋体" w:eastAsia="宋体" w:cs="宋体"/>
                      <w:i w:val="0"/>
                      <w:iCs w:val="0"/>
                      <w:color w:val="auto"/>
                      <w:kern w:val="0"/>
                      <w:sz w:val="18"/>
                      <w:szCs w:val="18"/>
                      <w:highlight w:val="none"/>
                      <w:u w:val="none"/>
                      <w:lang w:val="en-US" w:eastAsia="zh-CN" w:bidi="ar"/>
                    </w:rPr>
                    <w:t>机</w:t>
                  </w:r>
                </w:p>
              </w:tc>
              <w:tc>
                <w:tcPr>
                  <w:tcW w:w="53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w:t>
                  </w:r>
                </w:p>
              </w:tc>
              <w:tc>
                <w:tcPr>
                  <w:tcW w:w="319" w:type="pct"/>
                  <w:tcBorders>
                    <w:tl2br w:val="nil"/>
                    <w:tr2bl w:val="nil"/>
                  </w:tcBorders>
                  <w:vAlign w:val="center"/>
                </w:tcPr>
                <w:p>
                  <w:pPr>
                    <w:pStyle w:val="73"/>
                    <w:keepNext w:val="0"/>
                    <w:keepLines w:val="0"/>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color w:val="auto"/>
                      <w:kern w:val="0"/>
                      <w:sz w:val="18"/>
                      <w:szCs w:val="18"/>
                      <w:highlight w:val="none"/>
                      <w:lang w:val="en-US" w:eastAsia="zh-CN"/>
                    </w:rPr>
                  </w:pPr>
                  <w:r>
                    <w:rPr>
                      <w:rFonts w:hint="eastAsia" w:cs="Times New Roman"/>
                      <w:b w:val="0"/>
                      <w:bCs/>
                      <w:color w:val="auto"/>
                      <w:kern w:val="0"/>
                      <w:sz w:val="18"/>
                      <w:szCs w:val="18"/>
                      <w:highlight w:val="none"/>
                      <w:lang w:val="en-US" w:eastAsia="zh-CN"/>
                    </w:rPr>
                    <w:t>95</w:t>
                  </w:r>
                </w:p>
              </w:tc>
              <w:tc>
                <w:tcPr>
                  <w:tcW w:w="44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rPr>
                  </w:pPr>
                </w:p>
              </w:tc>
              <w:tc>
                <w:tcPr>
                  <w:tcW w:w="262"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5</w:t>
                  </w:r>
                </w:p>
              </w:tc>
              <w:tc>
                <w:tcPr>
                  <w:tcW w:w="262"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20</w:t>
                  </w:r>
                </w:p>
              </w:tc>
              <w:tc>
                <w:tcPr>
                  <w:tcW w:w="263"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8</w:t>
                  </w:r>
                </w:p>
              </w:tc>
              <w:tc>
                <w:tcPr>
                  <w:tcW w:w="310"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5</w:t>
                  </w:r>
                </w:p>
              </w:tc>
              <w:tc>
                <w:tcPr>
                  <w:tcW w:w="25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74</w:t>
                  </w:r>
                </w:p>
              </w:tc>
              <w:tc>
                <w:tcPr>
                  <w:tcW w:w="534"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8:00~17:00</w:t>
                  </w:r>
                </w:p>
              </w:tc>
              <w:tc>
                <w:tcPr>
                  <w:tcW w:w="294"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334" w:type="pct"/>
                  <w:vMerge w:val="continue"/>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342" w:type="pct"/>
                  <w:vMerge w:val="continue"/>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222"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4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滚槽机</w:t>
                  </w:r>
                </w:p>
              </w:tc>
              <w:tc>
                <w:tcPr>
                  <w:tcW w:w="53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w:t>
                  </w:r>
                </w:p>
              </w:tc>
              <w:tc>
                <w:tcPr>
                  <w:tcW w:w="319" w:type="pct"/>
                  <w:tcBorders>
                    <w:tl2br w:val="nil"/>
                    <w:tr2bl w:val="nil"/>
                  </w:tcBorders>
                  <w:vAlign w:val="center"/>
                </w:tcPr>
                <w:p>
                  <w:pPr>
                    <w:pStyle w:val="73"/>
                    <w:keepNext w:val="0"/>
                    <w:keepLines w:val="0"/>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color w:val="auto"/>
                      <w:kern w:val="0"/>
                      <w:sz w:val="18"/>
                      <w:szCs w:val="18"/>
                      <w:highlight w:val="none"/>
                      <w:lang w:val="en-US" w:eastAsia="zh-CN"/>
                    </w:rPr>
                  </w:pPr>
                  <w:r>
                    <w:rPr>
                      <w:rFonts w:hint="eastAsia" w:cs="Times New Roman"/>
                      <w:b w:val="0"/>
                      <w:bCs/>
                      <w:color w:val="auto"/>
                      <w:kern w:val="0"/>
                      <w:sz w:val="18"/>
                      <w:szCs w:val="18"/>
                      <w:highlight w:val="none"/>
                      <w:lang w:val="en-US" w:eastAsia="zh-CN"/>
                    </w:rPr>
                    <w:t>95</w:t>
                  </w:r>
                </w:p>
              </w:tc>
              <w:tc>
                <w:tcPr>
                  <w:tcW w:w="44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rPr>
                  </w:pPr>
                </w:p>
              </w:tc>
              <w:tc>
                <w:tcPr>
                  <w:tcW w:w="262"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5</w:t>
                  </w:r>
                </w:p>
              </w:tc>
              <w:tc>
                <w:tcPr>
                  <w:tcW w:w="262"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21</w:t>
                  </w:r>
                </w:p>
              </w:tc>
              <w:tc>
                <w:tcPr>
                  <w:tcW w:w="263"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8</w:t>
                  </w:r>
                </w:p>
              </w:tc>
              <w:tc>
                <w:tcPr>
                  <w:tcW w:w="310"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5</w:t>
                  </w:r>
                </w:p>
              </w:tc>
              <w:tc>
                <w:tcPr>
                  <w:tcW w:w="25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74</w:t>
                  </w:r>
                </w:p>
              </w:tc>
              <w:tc>
                <w:tcPr>
                  <w:tcW w:w="534"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8:00~17:00</w:t>
                  </w:r>
                </w:p>
              </w:tc>
              <w:tc>
                <w:tcPr>
                  <w:tcW w:w="294"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334" w:type="pct"/>
                  <w:vMerge w:val="continue"/>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342" w:type="pct"/>
                  <w:vMerge w:val="continue"/>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222"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4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2"/>
                      <w:sz w:val="18"/>
                      <w:szCs w:val="18"/>
                      <w:highlight w:val="green"/>
                      <w:lang w:val="en-US" w:eastAsia="zh-CN" w:bidi="ar-SA"/>
                    </w:rPr>
                  </w:pPr>
                  <w:r>
                    <w:rPr>
                      <w:rFonts w:hint="eastAsia" w:ascii="宋体" w:hAnsi="宋体" w:eastAsia="宋体" w:cs="宋体"/>
                      <w:i w:val="0"/>
                      <w:iCs w:val="0"/>
                      <w:color w:val="auto"/>
                      <w:kern w:val="0"/>
                      <w:sz w:val="18"/>
                      <w:szCs w:val="18"/>
                      <w:u w:val="none"/>
                      <w:lang w:val="en-US" w:eastAsia="zh-CN" w:bidi="ar"/>
                    </w:rPr>
                    <w:t>焊帽机</w:t>
                  </w:r>
                </w:p>
              </w:tc>
              <w:tc>
                <w:tcPr>
                  <w:tcW w:w="53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w:t>
                  </w:r>
                </w:p>
              </w:tc>
              <w:tc>
                <w:tcPr>
                  <w:tcW w:w="319" w:type="pct"/>
                  <w:tcBorders>
                    <w:tl2br w:val="nil"/>
                    <w:tr2bl w:val="nil"/>
                  </w:tcBorders>
                  <w:vAlign w:val="center"/>
                </w:tcPr>
                <w:p>
                  <w:pPr>
                    <w:pStyle w:val="73"/>
                    <w:keepNext w:val="0"/>
                    <w:keepLines w:val="0"/>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color w:val="auto"/>
                      <w:kern w:val="0"/>
                      <w:sz w:val="18"/>
                      <w:szCs w:val="18"/>
                      <w:highlight w:val="none"/>
                      <w:lang w:val="en-US" w:eastAsia="zh-CN"/>
                    </w:rPr>
                  </w:pPr>
                  <w:r>
                    <w:rPr>
                      <w:rFonts w:hint="eastAsia" w:cs="Times New Roman"/>
                      <w:b w:val="0"/>
                      <w:bCs/>
                      <w:color w:val="auto"/>
                      <w:kern w:val="0"/>
                      <w:sz w:val="18"/>
                      <w:szCs w:val="18"/>
                      <w:highlight w:val="none"/>
                      <w:lang w:val="en-US" w:eastAsia="zh-CN"/>
                    </w:rPr>
                    <w:t>95</w:t>
                  </w:r>
                </w:p>
              </w:tc>
              <w:tc>
                <w:tcPr>
                  <w:tcW w:w="44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rPr>
                  </w:pPr>
                </w:p>
              </w:tc>
              <w:tc>
                <w:tcPr>
                  <w:tcW w:w="262"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5</w:t>
                  </w:r>
                </w:p>
              </w:tc>
              <w:tc>
                <w:tcPr>
                  <w:tcW w:w="262"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22</w:t>
                  </w:r>
                </w:p>
              </w:tc>
              <w:tc>
                <w:tcPr>
                  <w:tcW w:w="263"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8</w:t>
                  </w:r>
                </w:p>
              </w:tc>
              <w:tc>
                <w:tcPr>
                  <w:tcW w:w="310"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5</w:t>
                  </w:r>
                </w:p>
              </w:tc>
              <w:tc>
                <w:tcPr>
                  <w:tcW w:w="25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74</w:t>
                  </w:r>
                </w:p>
              </w:tc>
              <w:tc>
                <w:tcPr>
                  <w:tcW w:w="534"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8:00~17:00</w:t>
                  </w:r>
                </w:p>
              </w:tc>
              <w:tc>
                <w:tcPr>
                  <w:tcW w:w="294"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334" w:type="pct"/>
                  <w:vMerge w:val="continue"/>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342" w:type="pct"/>
                  <w:vMerge w:val="continue"/>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222"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4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2"/>
                      <w:sz w:val="18"/>
                      <w:szCs w:val="18"/>
                      <w:highlight w:val="green"/>
                      <w:lang w:val="en-US" w:eastAsia="zh-CN" w:bidi="ar-SA"/>
                    </w:rPr>
                  </w:pPr>
                  <w:r>
                    <w:rPr>
                      <w:rFonts w:hint="eastAsia" w:ascii="宋体" w:hAnsi="宋体" w:eastAsia="宋体" w:cs="宋体"/>
                      <w:i w:val="0"/>
                      <w:iCs w:val="0"/>
                      <w:color w:val="auto"/>
                      <w:kern w:val="0"/>
                      <w:sz w:val="18"/>
                      <w:szCs w:val="18"/>
                      <w:u w:val="none"/>
                      <w:lang w:val="en-US" w:eastAsia="zh-CN" w:bidi="ar"/>
                    </w:rPr>
                    <w:t>包装机</w:t>
                  </w:r>
                </w:p>
              </w:tc>
              <w:tc>
                <w:tcPr>
                  <w:tcW w:w="53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BZ-32700</w:t>
                  </w:r>
                </w:p>
              </w:tc>
              <w:tc>
                <w:tcPr>
                  <w:tcW w:w="319" w:type="pct"/>
                  <w:tcBorders>
                    <w:tl2br w:val="nil"/>
                    <w:tr2bl w:val="nil"/>
                  </w:tcBorders>
                  <w:vAlign w:val="center"/>
                </w:tcPr>
                <w:p>
                  <w:pPr>
                    <w:pStyle w:val="73"/>
                    <w:keepNext w:val="0"/>
                    <w:keepLines w:val="0"/>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color w:val="auto"/>
                      <w:kern w:val="0"/>
                      <w:sz w:val="18"/>
                      <w:szCs w:val="18"/>
                      <w:highlight w:val="none"/>
                      <w:lang w:val="en-US" w:eastAsia="zh-CN"/>
                    </w:rPr>
                  </w:pPr>
                  <w:r>
                    <w:rPr>
                      <w:rFonts w:hint="eastAsia" w:cs="Times New Roman"/>
                      <w:b w:val="0"/>
                      <w:bCs/>
                      <w:color w:val="auto"/>
                      <w:kern w:val="0"/>
                      <w:sz w:val="18"/>
                      <w:szCs w:val="18"/>
                      <w:highlight w:val="none"/>
                      <w:lang w:val="en-US" w:eastAsia="zh-CN"/>
                    </w:rPr>
                    <w:t>90</w:t>
                  </w:r>
                </w:p>
              </w:tc>
              <w:tc>
                <w:tcPr>
                  <w:tcW w:w="44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rPr>
                  </w:pPr>
                </w:p>
              </w:tc>
              <w:tc>
                <w:tcPr>
                  <w:tcW w:w="262"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20</w:t>
                  </w:r>
                </w:p>
              </w:tc>
              <w:tc>
                <w:tcPr>
                  <w:tcW w:w="262"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34</w:t>
                  </w:r>
                </w:p>
              </w:tc>
              <w:tc>
                <w:tcPr>
                  <w:tcW w:w="263"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9</w:t>
                  </w:r>
                </w:p>
              </w:tc>
              <w:tc>
                <w:tcPr>
                  <w:tcW w:w="310"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10</w:t>
                  </w:r>
                </w:p>
              </w:tc>
              <w:tc>
                <w:tcPr>
                  <w:tcW w:w="25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69</w:t>
                  </w:r>
                </w:p>
              </w:tc>
              <w:tc>
                <w:tcPr>
                  <w:tcW w:w="534"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8:00~17:00</w:t>
                  </w:r>
                </w:p>
              </w:tc>
              <w:tc>
                <w:tcPr>
                  <w:tcW w:w="294"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334" w:type="pct"/>
                  <w:vMerge w:val="continue"/>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342" w:type="pct"/>
                  <w:vMerge w:val="continue"/>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222"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44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2"/>
                      <w:sz w:val="18"/>
                      <w:szCs w:val="18"/>
                      <w:highlight w:val="green"/>
                      <w:lang w:val="en-US" w:eastAsia="zh-CN" w:bidi="ar-SA"/>
                    </w:rPr>
                  </w:pPr>
                  <w:r>
                    <w:rPr>
                      <w:rFonts w:hint="eastAsia" w:ascii="宋体" w:hAnsi="宋体" w:eastAsia="宋体" w:cs="宋体"/>
                      <w:i w:val="0"/>
                      <w:iCs w:val="0"/>
                      <w:color w:val="auto"/>
                      <w:kern w:val="0"/>
                      <w:sz w:val="18"/>
                      <w:szCs w:val="18"/>
                      <w:u w:val="none"/>
                      <w:lang w:val="en-US" w:eastAsia="zh-CN" w:bidi="ar"/>
                    </w:rPr>
                    <w:t>螺杆空压机</w:t>
                  </w:r>
                </w:p>
              </w:tc>
              <w:tc>
                <w:tcPr>
                  <w:tcW w:w="53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cs="Times New Roman"/>
                      <w:b w:val="0"/>
                      <w:bCs w:val="0"/>
                      <w:color w:val="auto"/>
                      <w:kern w:val="0"/>
                      <w:sz w:val="18"/>
                      <w:szCs w:val="18"/>
                      <w:highlight w:val="none"/>
                      <w:vertAlign w:val="baseline"/>
                      <w:lang w:val="en-US" w:eastAsia="zh-CN"/>
                    </w:rPr>
                    <w:t>/</w:t>
                  </w:r>
                </w:p>
              </w:tc>
              <w:tc>
                <w:tcPr>
                  <w:tcW w:w="319" w:type="pct"/>
                  <w:tcBorders>
                    <w:tl2br w:val="nil"/>
                    <w:tr2bl w:val="nil"/>
                  </w:tcBorders>
                  <w:vAlign w:val="center"/>
                </w:tcPr>
                <w:p>
                  <w:pPr>
                    <w:pStyle w:val="73"/>
                    <w:keepNext w:val="0"/>
                    <w:keepLines w:val="0"/>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color w:val="auto"/>
                      <w:kern w:val="0"/>
                      <w:sz w:val="18"/>
                      <w:szCs w:val="18"/>
                      <w:highlight w:val="none"/>
                      <w:lang w:val="en-US" w:eastAsia="zh-CN"/>
                    </w:rPr>
                  </w:pPr>
                  <w:r>
                    <w:rPr>
                      <w:rFonts w:hint="eastAsia" w:cs="Times New Roman"/>
                      <w:b w:val="0"/>
                      <w:bCs/>
                      <w:color w:val="auto"/>
                      <w:kern w:val="0"/>
                      <w:sz w:val="18"/>
                      <w:szCs w:val="18"/>
                      <w:highlight w:val="none"/>
                      <w:lang w:val="en-US" w:eastAsia="zh-CN"/>
                    </w:rPr>
                    <w:t>95</w:t>
                  </w:r>
                </w:p>
              </w:tc>
              <w:tc>
                <w:tcPr>
                  <w:tcW w:w="445"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rPr>
                  </w:pPr>
                  <w:r>
                    <w:rPr>
                      <w:rFonts w:hint="default" w:ascii="Times New Roman" w:hAnsi="Times New Roman" w:eastAsia="宋体" w:cs="Times New Roman"/>
                      <w:b w:val="0"/>
                      <w:bCs/>
                      <w:color w:val="auto"/>
                      <w:kern w:val="0"/>
                      <w:sz w:val="18"/>
                      <w:szCs w:val="18"/>
                      <w:highlight w:val="none"/>
                      <w:vertAlign w:val="baseline"/>
                      <w:lang w:eastAsia="zh-CN"/>
                    </w:rPr>
                    <w:t>室内布置、</w:t>
                  </w:r>
                  <w:r>
                    <w:rPr>
                      <w:rFonts w:hint="eastAsia" w:ascii="Times New Roman" w:hAnsi="Times New Roman" w:eastAsia="宋体" w:cs="Times New Roman"/>
                      <w:b w:val="0"/>
                      <w:bCs/>
                      <w:color w:val="auto"/>
                      <w:kern w:val="0"/>
                      <w:sz w:val="18"/>
                      <w:szCs w:val="18"/>
                      <w:highlight w:val="none"/>
                      <w:vertAlign w:val="baseline"/>
                      <w:lang w:eastAsia="zh-CN"/>
                    </w:rPr>
                    <w:t>安装隔声装置</w:t>
                  </w:r>
                </w:p>
              </w:tc>
              <w:tc>
                <w:tcPr>
                  <w:tcW w:w="262"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6</w:t>
                  </w:r>
                </w:p>
              </w:tc>
              <w:tc>
                <w:tcPr>
                  <w:tcW w:w="262"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25</w:t>
                  </w:r>
                </w:p>
              </w:tc>
              <w:tc>
                <w:tcPr>
                  <w:tcW w:w="263"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5</w:t>
                  </w:r>
                </w:p>
              </w:tc>
              <w:tc>
                <w:tcPr>
                  <w:tcW w:w="310"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5</w:t>
                  </w:r>
                </w:p>
              </w:tc>
              <w:tc>
                <w:tcPr>
                  <w:tcW w:w="25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74</w:t>
                  </w:r>
                </w:p>
              </w:tc>
              <w:tc>
                <w:tcPr>
                  <w:tcW w:w="534"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8:00~17:00</w:t>
                  </w:r>
                </w:p>
              </w:tc>
              <w:tc>
                <w:tcPr>
                  <w:tcW w:w="294"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334" w:type="pct"/>
                  <w:vMerge w:val="continue"/>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342" w:type="pct"/>
                  <w:vMerge w:val="continue"/>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222"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44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2"/>
                      <w:sz w:val="18"/>
                      <w:szCs w:val="18"/>
                      <w:highlight w:val="green"/>
                      <w:lang w:val="en-US" w:eastAsia="zh-CN" w:bidi="ar-SA"/>
                    </w:rPr>
                  </w:pPr>
                  <w:r>
                    <w:rPr>
                      <w:rFonts w:hint="eastAsia" w:ascii="宋体" w:hAnsi="宋体" w:eastAsia="宋体" w:cs="宋体"/>
                      <w:i w:val="0"/>
                      <w:iCs w:val="0"/>
                      <w:color w:val="auto"/>
                      <w:kern w:val="0"/>
                      <w:sz w:val="18"/>
                      <w:szCs w:val="18"/>
                      <w:u w:val="none"/>
                      <w:lang w:val="en-US" w:eastAsia="zh-CN" w:bidi="ar"/>
                    </w:rPr>
                    <w:t>真空泵组</w:t>
                  </w:r>
                </w:p>
              </w:tc>
              <w:tc>
                <w:tcPr>
                  <w:tcW w:w="53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eastAsia" w:ascii="Times New Roman" w:hAnsi="Times New Roman" w:eastAsia="宋体" w:cs="Times New Roman"/>
                      <w:b w:val="0"/>
                      <w:bCs w:val="0"/>
                      <w:color w:val="auto"/>
                      <w:kern w:val="0"/>
                      <w:sz w:val="18"/>
                      <w:szCs w:val="18"/>
                      <w:highlight w:val="none"/>
                      <w:vertAlign w:val="baseline"/>
                      <w:lang w:val="en-US" w:eastAsia="zh-CN"/>
                    </w:rPr>
                    <w:t>2BV2060</w:t>
                  </w:r>
                </w:p>
              </w:tc>
              <w:tc>
                <w:tcPr>
                  <w:tcW w:w="319" w:type="pct"/>
                  <w:tcBorders>
                    <w:tl2br w:val="nil"/>
                    <w:tr2bl w:val="nil"/>
                  </w:tcBorders>
                  <w:vAlign w:val="center"/>
                </w:tcPr>
                <w:p>
                  <w:pPr>
                    <w:pStyle w:val="73"/>
                    <w:keepNext w:val="0"/>
                    <w:keepLines w:val="0"/>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color w:val="auto"/>
                      <w:kern w:val="0"/>
                      <w:sz w:val="18"/>
                      <w:szCs w:val="18"/>
                      <w:highlight w:val="none"/>
                      <w:lang w:val="en-US" w:eastAsia="zh-CN"/>
                    </w:rPr>
                  </w:pPr>
                  <w:r>
                    <w:rPr>
                      <w:rFonts w:hint="eastAsia" w:cs="Times New Roman"/>
                      <w:b w:val="0"/>
                      <w:bCs/>
                      <w:color w:val="auto"/>
                      <w:kern w:val="0"/>
                      <w:sz w:val="18"/>
                      <w:szCs w:val="18"/>
                      <w:highlight w:val="none"/>
                      <w:lang w:val="en-US" w:eastAsia="zh-CN"/>
                    </w:rPr>
                    <w:t>95</w:t>
                  </w:r>
                </w:p>
              </w:tc>
              <w:tc>
                <w:tcPr>
                  <w:tcW w:w="44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rPr>
                  </w:pPr>
                </w:p>
              </w:tc>
              <w:tc>
                <w:tcPr>
                  <w:tcW w:w="262"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eastAsia" w:cs="Times New Roman"/>
                      <w:b w:val="0"/>
                      <w:bCs/>
                      <w:color w:val="auto"/>
                      <w:kern w:val="0"/>
                      <w:sz w:val="18"/>
                      <w:szCs w:val="18"/>
                      <w:highlight w:val="none"/>
                      <w:vertAlign w:val="baseline"/>
                      <w:lang w:val="en-US" w:eastAsia="zh-CN"/>
                    </w:rPr>
                    <w:t>5</w:t>
                  </w:r>
                </w:p>
              </w:tc>
              <w:tc>
                <w:tcPr>
                  <w:tcW w:w="262"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eastAsia" w:cs="Times New Roman"/>
                      <w:b w:val="0"/>
                      <w:bCs/>
                      <w:color w:val="auto"/>
                      <w:kern w:val="0"/>
                      <w:sz w:val="18"/>
                      <w:szCs w:val="18"/>
                      <w:highlight w:val="none"/>
                      <w:vertAlign w:val="baseline"/>
                      <w:lang w:val="en-US" w:eastAsia="zh-CN"/>
                    </w:rPr>
                    <w:t>25</w:t>
                  </w:r>
                </w:p>
              </w:tc>
              <w:tc>
                <w:tcPr>
                  <w:tcW w:w="263"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eastAsia" w:cs="Times New Roman"/>
                      <w:b w:val="0"/>
                      <w:bCs/>
                      <w:color w:val="auto"/>
                      <w:kern w:val="0"/>
                      <w:sz w:val="18"/>
                      <w:szCs w:val="18"/>
                      <w:highlight w:val="none"/>
                      <w:vertAlign w:val="baseline"/>
                      <w:lang w:val="en-US" w:eastAsia="zh-CN"/>
                    </w:rPr>
                    <w:t>5</w:t>
                  </w:r>
                </w:p>
              </w:tc>
              <w:tc>
                <w:tcPr>
                  <w:tcW w:w="310"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eastAsia" w:cs="Times New Roman"/>
                      <w:b w:val="0"/>
                      <w:bCs/>
                      <w:color w:val="auto"/>
                      <w:kern w:val="0"/>
                      <w:sz w:val="18"/>
                      <w:szCs w:val="18"/>
                      <w:highlight w:val="none"/>
                      <w:vertAlign w:val="baseline"/>
                      <w:lang w:val="en-US" w:eastAsia="zh-CN"/>
                    </w:rPr>
                    <w:t>4</w:t>
                  </w:r>
                </w:p>
              </w:tc>
              <w:tc>
                <w:tcPr>
                  <w:tcW w:w="25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74</w:t>
                  </w:r>
                </w:p>
              </w:tc>
              <w:tc>
                <w:tcPr>
                  <w:tcW w:w="534"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8:00~17:00</w:t>
                  </w:r>
                </w:p>
              </w:tc>
              <w:tc>
                <w:tcPr>
                  <w:tcW w:w="294"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334" w:type="pct"/>
                  <w:vMerge w:val="continue"/>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c>
                <w:tcPr>
                  <w:tcW w:w="342" w:type="pct"/>
                  <w:vMerge w:val="continue"/>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vertAlign w:val="baseline"/>
                      <w:lang w:val="en-US" w:eastAsia="zh-CN"/>
                    </w:rPr>
                  </w:pPr>
                </w:p>
              </w:tc>
            </w:tr>
          </w:tbl>
          <w:p>
            <w:pPr>
              <w:pStyle w:val="20"/>
              <w:ind w:left="0" w:leftChars="0" w:firstLine="0" w:firstLineChars="0"/>
              <w:rPr>
                <w:rFonts w:hint="default" w:ascii="Times New Roman" w:hAnsi="Times New Roman" w:eastAsia="宋体" w:cs="Times New Roman"/>
                <w:color w:val="auto"/>
                <w:highlight w:val="green"/>
                <w:vertAlign w:val="baseline"/>
                <w:lang w:eastAsia="zh-CN"/>
              </w:rPr>
            </w:pPr>
          </w:p>
        </w:tc>
      </w:tr>
    </w:tbl>
    <w:p>
      <w:pPr>
        <w:pStyle w:val="20"/>
        <w:rPr>
          <w:rFonts w:hint="default" w:ascii="Times New Roman" w:hAnsi="Times New Roman" w:cs="Times New Roman"/>
          <w:color w:val="auto"/>
          <w:highlight w:val="green"/>
        </w:rPr>
        <w:sectPr>
          <w:pgSz w:w="16840" w:h="11907" w:orient="landscape"/>
          <w:pgMar w:top="1440" w:right="1803" w:bottom="1440" w:left="1803"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8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期环</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境影</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响和</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保护</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highlight w:val="green"/>
                <w:vertAlign w:val="baseline"/>
              </w:rPr>
            </w:pPr>
            <w:r>
              <w:rPr>
                <w:rFonts w:hint="default" w:ascii="Times New Roman" w:hAnsi="Times New Roman" w:cs="Times New Roman"/>
                <w:bCs/>
                <w:color w:val="auto"/>
                <w:szCs w:val="21"/>
                <w:highlight w:val="none"/>
              </w:rPr>
              <w:t>措施</w:t>
            </w:r>
          </w:p>
        </w:tc>
        <w:tc>
          <w:tcPr>
            <w:tcW w:w="8419" w:type="dxa"/>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color w:val="auto"/>
                <w:kern w:val="0"/>
                <w:szCs w:val="21"/>
                <w:highlight w:val="none"/>
                <w:lang w:val="en-US" w:eastAsia="zh-CN"/>
              </w:rPr>
            </w:pPr>
            <w:r>
              <w:rPr>
                <w:rFonts w:hint="default" w:ascii="Times New Roman" w:hAnsi="Times New Roman" w:cs="Times New Roman"/>
                <w:b/>
                <w:bCs/>
                <w:color w:val="auto"/>
                <w:kern w:val="0"/>
                <w:szCs w:val="21"/>
                <w:highlight w:val="none"/>
                <w:lang w:val="en-US" w:eastAsia="zh-CN"/>
              </w:rPr>
              <w:t>3.2 噪声影响分析</w:t>
            </w:r>
          </w:p>
          <w:p>
            <w:pPr>
              <w:pStyle w:val="76"/>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 xml:space="preserve">（1）预测范围及点位 </w:t>
            </w:r>
          </w:p>
          <w:p>
            <w:pPr>
              <w:pStyle w:val="7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①噪声预测范围为：预测</w:t>
            </w:r>
            <w:r>
              <w:rPr>
                <w:rFonts w:hint="eastAsia" w:ascii="Times New Roman" w:hAnsi="Times New Roman" w:cs="Times New Roman"/>
                <w:color w:val="auto"/>
                <w:sz w:val="21"/>
                <w:szCs w:val="21"/>
                <w:highlight w:val="none"/>
                <w:lang w:eastAsia="zh-CN"/>
              </w:rPr>
              <w:t>生产车间西侧、北侧、东侧</w:t>
            </w:r>
            <w:r>
              <w:rPr>
                <w:rFonts w:hint="default" w:ascii="Times New Roman" w:hAnsi="Times New Roman" w:cs="Times New Roman"/>
                <w:color w:val="auto"/>
                <w:sz w:val="21"/>
                <w:szCs w:val="21"/>
                <w:highlight w:val="none"/>
              </w:rPr>
              <w:t>外1m</w:t>
            </w:r>
            <w:r>
              <w:rPr>
                <w:rFonts w:hint="eastAsia" w:ascii="Times New Roman" w:hAnsi="Times New Roman" w:cs="Times New Roman"/>
                <w:color w:val="auto"/>
                <w:sz w:val="21"/>
                <w:szCs w:val="21"/>
                <w:highlight w:val="none"/>
                <w:lang w:eastAsia="zh-CN"/>
              </w:rPr>
              <w:t>处，南侧</w:t>
            </w:r>
            <w:r>
              <w:rPr>
                <w:rFonts w:hint="eastAsia" w:ascii="Times New Roman" w:hAnsi="Times New Roman" w:cs="Times New Roman"/>
                <w:color w:val="auto"/>
                <w:sz w:val="21"/>
                <w:szCs w:val="21"/>
                <w:highlight w:val="none"/>
                <w:lang w:val="en-US" w:eastAsia="zh-CN"/>
              </w:rPr>
              <w:t>30m处</w:t>
            </w:r>
            <w:r>
              <w:rPr>
                <w:rFonts w:hint="default" w:ascii="Times New Roman" w:hAnsi="Times New Roman" w:cs="Times New Roman"/>
                <w:color w:val="auto"/>
                <w:sz w:val="21"/>
                <w:szCs w:val="21"/>
                <w:highlight w:val="none"/>
              </w:rPr>
              <w:t xml:space="preserve">； </w:t>
            </w:r>
          </w:p>
          <w:p>
            <w:pPr>
              <w:pStyle w:val="7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②预测点位：东、南、西、北四厂界噪声。</w:t>
            </w:r>
          </w:p>
          <w:p>
            <w:pPr>
              <w:pStyle w:val="76"/>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（2）预测因子</w:t>
            </w:r>
          </w:p>
          <w:p>
            <w:pPr>
              <w:pStyle w:val="7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生产车间边界</w:t>
            </w:r>
            <w:r>
              <w:rPr>
                <w:rFonts w:hint="default" w:ascii="Times New Roman" w:hAnsi="Times New Roman" w:cs="Times New Roman"/>
                <w:color w:val="auto"/>
                <w:sz w:val="21"/>
                <w:szCs w:val="21"/>
                <w:highlight w:val="none"/>
              </w:rPr>
              <w:t>噪声预测因子：等效连续A声级。</w:t>
            </w:r>
          </w:p>
          <w:p>
            <w:pPr>
              <w:pStyle w:val="76"/>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（3）预测模式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预测模式采用《环境影响评价技术导则——声环境》</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HJ2.4-2021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中推荐的模型。噪声在传播过程中受到多种因素的干扰，使其产生衰减，根据建设项目噪声源和环境特征，预测过程中考虑了建筑物的屏障作用、空气吸收。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室内声源采用等效室外声源声功率级法进行计算，设靠近开口处（或窗户）室内、室外某倍频带的声压级或A声级分比为</w:t>
            </w:r>
            <w:r>
              <w:rPr>
                <w:rFonts w:hint="default" w:ascii="Times New Roman" w:hAnsi="Times New Roman" w:cs="Times New Roman"/>
                <w:i/>
                <w:iCs/>
                <w:color w:val="auto"/>
                <w:sz w:val="21"/>
                <w:szCs w:val="21"/>
                <w:highlight w:val="none"/>
              </w:rPr>
              <w:t>L</w:t>
            </w:r>
            <w:r>
              <w:rPr>
                <w:rFonts w:hint="default" w:ascii="Times New Roman" w:hAnsi="Times New Roman" w:cs="Times New Roman"/>
                <w:i/>
                <w:iCs/>
                <w:color w:val="auto"/>
                <w:sz w:val="21"/>
                <w:szCs w:val="21"/>
                <w:highlight w:val="none"/>
                <w:vertAlign w:val="subscript"/>
              </w:rPr>
              <w:t>p1</w:t>
            </w:r>
            <w:r>
              <w:rPr>
                <w:rFonts w:hint="default" w:ascii="Times New Roman" w:hAnsi="Times New Roman" w:cs="Times New Roman"/>
                <w:color w:val="auto"/>
                <w:sz w:val="21"/>
                <w:szCs w:val="21"/>
                <w:highlight w:val="none"/>
              </w:rPr>
              <w:t>和</w:t>
            </w:r>
            <w:r>
              <w:rPr>
                <w:rFonts w:hint="default" w:ascii="Times New Roman" w:hAnsi="Times New Roman" w:cs="Times New Roman"/>
                <w:i/>
                <w:iCs/>
                <w:color w:val="auto"/>
                <w:sz w:val="21"/>
                <w:szCs w:val="21"/>
                <w:highlight w:val="none"/>
              </w:rPr>
              <w:t>L</w:t>
            </w:r>
            <w:r>
              <w:rPr>
                <w:rFonts w:hint="default" w:ascii="Times New Roman" w:hAnsi="Times New Roman" w:cs="Times New Roman"/>
                <w:i/>
                <w:iCs/>
                <w:color w:val="auto"/>
                <w:sz w:val="21"/>
                <w:szCs w:val="21"/>
                <w:highlight w:val="none"/>
                <w:vertAlign w:val="subscript"/>
              </w:rPr>
              <w:t>p2</w:t>
            </w:r>
            <w:r>
              <w:rPr>
                <w:rFonts w:hint="default" w:ascii="Times New Roman" w:hAnsi="Times New Roman" w:cs="Times New Roman"/>
                <w:color w:val="auto"/>
                <w:sz w:val="21"/>
                <w:szCs w:val="21"/>
                <w:highlight w:val="none"/>
              </w:rPr>
              <w:t>。若声源所在室内声场为近似扩散声场，则室外的倍频带声压级可按下式近似求出：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i/>
                <w:iCs/>
                <w:color w:val="auto"/>
                <w:sz w:val="21"/>
                <w:szCs w:val="21"/>
                <w:highlight w:val="none"/>
              </w:rPr>
            </w:pPr>
            <w:r>
              <w:rPr>
                <w:rFonts w:hint="default" w:ascii="Times New Roman" w:hAnsi="Times New Roman" w:cs="Times New Roman"/>
                <w:i/>
                <w:iCs/>
                <w:color w:val="auto"/>
                <w:sz w:val="21"/>
                <w:szCs w:val="21"/>
                <w:highlight w:val="none"/>
              </w:rPr>
              <w:t>L</w:t>
            </w:r>
            <w:r>
              <w:rPr>
                <w:rFonts w:hint="default" w:ascii="Times New Roman" w:hAnsi="Times New Roman" w:cs="Times New Roman"/>
                <w:i/>
                <w:iCs/>
                <w:color w:val="auto"/>
                <w:sz w:val="21"/>
                <w:szCs w:val="21"/>
                <w:highlight w:val="none"/>
                <w:vertAlign w:val="subscript"/>
              </w:rPr>
              <w:t>p2=</w:t>
            </w:r>
            <w:r>
              <w:rPr>
                <w:rFonts w:hint="default" w:ascii="Times New Roman" w:hAnsi="Times New Roman" w:cs="Times New Roman"/>
                <w:i/>
                <w:iCs/>
                <w:color w:val="auto"/>
                <w:sz w:val="21"/>
                <w:szCs w:val="21"/>
                <w:highlight w:val="none"/>
              </w:rPr>
              <w:t xml:space="preserve"> L</w:t>
            </w:r>
            <w:r>
              <w:rPr>
                <w:rFonts w:hint="default" w:ascii="Times New Roman" w:hAnsi="Times New Roman" w:cs="Times New Roman"/>
                <w:i/>
                <w:iCs/>
                <w:color w:val="auto"/>
                <w:sz w:val="21"/>
                <w:szCs w:val="21"/>
                <w:highlight w:val="none"/>
                <w:vertAlign w:val="subscript"/>
              </w:rPr>
              <w:t>p1</w:t>
            </w:r>
            <w:r>
              <w:rPr>
                <w:rFonts w:hint="default" w:ascii="Times New Roman" w:hAnsi="Times New Roman" w:cs="Times New Roman"/>
                <w:i/>
                <w:iCs/>
                <w:color w:val="auto"/>
                <w:sz w:val="21"/>
                <w:szCs w:val="21"/>
                <w:highlight w:val="none"/>
              </w:rPr>
              <w:t>-（TL+6）</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式中：</w:t>
            </w:r>
            <w:r>
              <w:rPr>
                <w:rFonts w:hint="default" w:ascii="Times New Roman" w:hAnsi="Times New Roman" w:cs="Times New Roman"/>
                <w:i/>
                <w:iCs/>
                <w:color w:val="auto"/>
                <w:sz w:val="21"/>
                <w:szCs w:val="21"/>
                <w:highlight w:val="none"/>
              </w:rPr>
              <w:t>L</w:t>
            </w:r>
            <w:r>
              <w:rPr>
                <w:rFonts w:hint="default" w:ascii="Times New Roman" w:hAnsi="Times New Roman" w:cs="Times New Roman"/>
                <w:i/>
                <w:iCs/>
                <w:color w:val="auto"/>
                <w:sz w:val="21"/>
                <w:szCs w:val="21"/>
                <w:highlight w:val="none"/>
                <w:vertAlign w:val="subscript"/>
              </w:rPr>
              <w:t>p1</w:t>
            </w:r>
            <w:r>
              <w:rPr>
                <w:rFonts w:hint="default" w:ascii="Times New Roman" w:hAnsi="Times New Roman" w:cs="Times New Roman"/>
                <w:color w:val="auto"/>
                <w:sz w:val="21"/>
                <w:szCs w:val="21"/>
                <w:highlight w:val="none"/>
              </w:rPr>
              <w:t>——靠近开口处（或窗户）室内某倍频带的声压级或A声级，dB；</w:t>
            </w:r>
          </w:p>
          <w:p>
            <w:pPr>
              <w:keepNext w:val="0"/>
              <w:keepLines w:val="0"/>
              <w:pageBreakBefore w:val="0"/>
              <w:widowControl w:val="0"/>
              <w:kinsoku/>
              <w:wordWrap/>
              <w:overflowPunct/>
              <w:topLinePunct w:val="0"/>
              <w:autoSpaceDE/>
              <w:autoSpaceDN/>
              <w:bidi w:val="0"/>
              <w:adjustRightInd/>
              <w:snapToGrid/>
              <w:spacing w:line="360" w:lineRule="auto"/>
              <w:ind w:left="420" w:leftChars="200"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i/>
                <w:iCs/>
                <w:color w:val="auto"/>
                <w:sz w:val="21"/>
                <w:szCs w:val="21"/>
                <w:highlight w:val="none"/>
              </w:rPr>
              <w:t>L</w:t>
            </w:r>
            <w:r>
              <w:rPr>
                <w:rFonts w:hint="default" w:ascii="Times New Roman" w:hAnsi="Times New Roman" w:cs="Times New Roman"/>
                <w:i/>
                <w:iCs/>
                <w:color w:val="auto"/>
                <w:sz w:val="21"/>
                <w:szCs w:val="21"/>
                <w:highlight w:val="none"/>
                <w:vertAlign w:val="subscript"/>
              </w:rPr>
              <w:t>p2</w:t>
            </w:r>
            <w:r>
              <w:rPr>
                <w:rFonts w:hint="default" w:ascii="Times New Roman" w:hAnsi="Times New Roman" w:cs="Times New Roman"/>
                <w:color w:val="auto"/>
                <w:sz w:val="21"/>
                <w:szCs w:val="21"/>
                <w:highlight w:val="none"/>
              </w:rPr>
              <w:t>——靠近开口处（或窗户）室外某倍频带的声压级或A声级，dB；</w:t>
            </w:r>
          </w:p>
          <w:p>
            <w:pPr>
              <w:keepNext w:val="0"/>
              <w:keepLines w:val="0"/>
              <w:pageBreakBefore w:val="0"/>
              <w:widowControl w:val="0"/>
              <w:kinsoku/>
              <w:wordWrap/>
              <w:overflowPunct/>
              <w:topLinePunct w:val="0"/>
              <w:autoSpaceDE/>
              <w:autoSpaceDN/>
              <w:bidi w:val="0"/>
              <w:adjustRightInd/>
              <w:snapToGrid/>
              <w:spacing w:line="360" w:lineRule="auto"/>
              <w:ind w:left="420" w:leftChars="200"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i/>
                <w:iCs/>
                <w:color w:val="auto"/>
                <w:sz w:val="21"/>
                <w:szCs w:val="21"/>
                <w:highlight w:val="none"/>
              </w:rPr>
              <w:t>TL</w:t>
            </w:r>
            <w:r>
              <w:rPr>
                <w:rFonts w:hint="default" w:ascii="Times New Roman" w:hAnsi="Times New Roman" w:cs="Times New Roman"/>
                <w:color w:val="auto"/>
                <w:sz w:val="21"/>
                <w:szCs w:val="21"/>
                <w:highlight w:val="none"/>
              </w:rPr>
              <w:t>——隔墙（或窗户）倍频带或A声级的隔音量，dB。</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如下图所示。</w:t>
            </w:r>
          </w:p>
          <w:p>
            <w:pPr>
              <w:jc w:val="center"/>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drawing>
                <wp:inline distT="0" distB="0" distL="114300" distR="114300">
                  <wp:extent cx="2867025" cy="1409700"/>
                  <wp:effectExtent l="0" t="0" r="9525" b="0"/>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22"/>
                          <a:stretch>
                            <a:fillRect/>
                          </a:stretch>
                        </pic:blipFill>
                        <pic:spPr>
                          <a:xfrm>
                            <a:off x="0" y="0"/>
                            <a:ext cx="2867025" cy="1409700"/>
                          </a:xfrm>
                          <a:prstGeom prst="rect">
                            <a:avLst/>
                          </a:prstGeom>
                          <a:noFill/>
                          <a:ln>
                            <a:noFill/>
                          </a:ln>
                        </pic:spPr>
                      </pic:pic>
                    </a:graphicData>
                  </a:graphic>
                </wp:inline>
              </w:drawing>
            </w:r>
          </w:p>
          <w:p>
            <w:pPr>
              <w:pStyle w:val="27"/>
              <w:keepNext w:val="0"/>
              <w:keepLines w:val="0"/>
              <w:pageBreakBefore w:val="0"/>
              <w:widowControl w:val="0"/>
              <w:numPr>
                <w:ilvl w:val="0"/>
                <w:numId w:val="8"/>
              </w:numPr>
              <w:kinsoku/>
              <w:wordWrap/>
              <w:overflowPunct/>
              <w:topLinePunct w:val="0"/>
              <w:bidi w:val="0"/>
              <w:adjustRightInd/>
              <w:snapToGrid/>
              <w:spacing w:line="360" w:lineRule="auto"/>
              <w:ind w:left="0" w:leftChars="0" w:hanging="420" w:firstLineChars="0"/>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室内声源等效为室外声源图例</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●室外点声源利用点源衰减公式 </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lang w:val="it-IT"/>
              </w:rPr>
            </w:pPr>
            <w:r>
              <w:rPr>
                <w:rFonts w:hint="default" w:ascii="Times New Roman" w:hAnsi="Times New Roman" w:cs="Times New Roman"/>
                <w:color w:val="auto"/>
                <w:kern w:val="0"/>
                <w:sz w:val="21"/>
                <w:szCs w:val="21"/>
                <w:highlight w:val="none"/>
                <w:lang w:val="it-IT"/>
              </w:rPr>
              <w:t>LA（r）=LA(r</w:t>
            </w:r>
            <w:r>
              <w:rPr>
                <w:rFonts w:hint="default" w:ascii="Times New Roman" w:hAnsi="Times New Roman" w:cs="Times New Roman"/>
                <w:color w:val="auto"/>
                <w:kern w:val="0"/>
                <w:sz w:val="21"/>
                <w:szCs w:val="21"/>
                <w:highlight w:val="none"/>
                <w:vertAlign w:val="subscript"/>
                <w:lang w:val="it-IT"/>
              </w:rPr>
              <w:t>0</w:t>
            </w:r>
            <w:r>
              <w:rPr>
                <w:rFonts w:hint="default" w:ascii="Times New Roman" w:hAnsi="Times New Roman" w:cs="Times New Roman"/>
                <w:color w:val="auto"/>
                <w:kern w:val="0"/>
                <w:sz w:val="21"/>
                <w:szCs w:val="21"/>
                <w:highlight w:val="none"/>
                <w:lang w:val="it-IT"/>
              </w:rPr>
              <w:t>)</w:t>
            </w:r>
            <w:r>
              <w:rPr>
                <w:rFonts w:hint="default" w:ascii="Times New Roman" w:hAnsi="Times New Roman" w:cs="Times New Roman"/>
                <w:color w:val="auto"/>
                <w:kern w:val="0"/>
                <w:sz w:val="21"/>
                <w:szCs w:val="21"/>
                <w:highlight w:val="none"/>
              </w:rPr>
              <w:sym w:font="Symbol" w:char="F02D"/>
            </w:r>
            <w:r>
              <w:rPr>
                <w:rFonts w:hint="default" w:ascii="Times New Roman" w:hAnsi="Times New Roman" w:cs="Times New Roman"/>
                <w:color w:val="auto"/>
                <w:kern w:val="0"/>
                <w:sz w:val="21"/>
                <w:szCs w:val="21"/>
                <w:highlight w:val="none"/>
                <w:lang w:val="it-IT"/>
              </w:rPr>
              <w:t>20lgr/r</w:t>
            </w:r>
            <w:r>
              <w:rPr>
                <w:rFonts w:hint="default" w:ascii="Times New Roman" w:hAnsi="Times New Roman" w:cs="Times New Roman"/>
                <w:color w:val="auto"/>
                <w:kern w:val="0"/>
                <w:sz w:val="21"/>
                <w:szCs w:val="21"/>
                <w:highlight w:val="none"/>
              </w:rPr>
              <w:sym w:font="Symbol" w:char="F02D"/>
            </w:r>
            <w:r>
              <w:rPr>
                <w:rFonts w:hint="default" w:ascii="Times New Roman" w:hAnsi="Times New Roman" w:cs="Times New Roman"/>
                <w:color w:val="auto"/>
                <w:kern w:val="0"/>
                <w:sz w:val="21"/>
                <w:szCs w:val="21"/>
                <w:highlight w:val="none"/>
                <w:lang w:val="it-IT"/>
              </w:rPr>
              <w:t>8</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式中LA(r)、LA(r</w:t>
            </w:r>
            <w:r>
              <w:rPr>
                <w:rFonts w:hint="default" w:ascii="Times New Roman" w:hAnsi="Times New Roman" w:cs="Times New Roman"/>
                <w:color w:val="auto"/>
                <w:kern w:val="0"/>
                <w:sz w:val="21"/>
                <w:szCs w:val="21"/>
                <w:highlight w:val="none"/>
                <w:vertAlign w:val="subscript"/>
              </w:rPr>
              <w:t>0</w:t>
            </w:r>
            <w:r>
              <w:rPr>
                <w:rFonts w:hint="default" w:ascii="Times New Roman" w:hAnsi="Times New Roman" w:cs="Times New Roman"/>
                <w:color w:val="auto"/>
                <w:kern w:val="0"/>
                <w:sz w:val="21"/>
                <w:szCs w:val="21"/>
                <w:highlight w:val="none"/>
              </w:rPr>
              <w:t>)分别是距声源、r</w:t>
            </w:r>
            <w:r>
              <w:rPr>
                <w:rFonts w:hint="default" w:ascii="Times New Roman" w:hAnsi="Times New Roman" w:cs="Times New Roman"/>
                <w:color w:val="auto"/>
                <w:kern w:val="0"/>
                <w:sz w:val="21"/>
                <w:szCs w:val="21"/>
                <w:highlight w:val="none"/>
                <w:vertAlign w:val="subscript"/>
              </w:rPr>
              <w:t>0</w:t>
            </w:r>
            <w:r>
              <w:rPr>
                <w:rFonts w:hint="default" w:ascii="Times New Roman" w:hAnsi="Times New Roman" w:cs="Times New Roman"/>
                <w:color w:val="auto"/>
                <w:kern w:val="0"/>
                <w:sz w:val="21"/>
                <w:szCs w:val="21"/>
                <w:highlight w:val="none"/>
              </w:rPr>
              <w:t>处的A声级值。</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●户外建筑物的声屏障效应</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声屏障的隔声效应与声源和接收点、屏障位置、屏障高度和屏障长度及结构性质有关，评价根据它们之间的距离、声音的频率（一般取500HZ）算出菲涅尔系数，然后再查表找出相对应的衰减值（dB）。菲涅尔系数的计算方法如下：</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N=2（A+B+d）</w:t>
            </w:r>
            <w:r>
              <w:rPr>
                <w:rFonts w:hint="default" w:ascii="Times New Roman" w:hAnsi="Times New Roman" w:cs="Times New Roman"/>
                <w:color w:val="auto"/>
                <w:kern w:val="0"/>
                <w:sz w:val="21"/>
                <w:szCs w:val="21"/>
                <w:highlight w:val="none"/>
              </w:rPr>
              <w:sym w:font="Symbol" w:char="F06C"/>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式中：A—是声源与屏障顶端的距离；</w:t>
            </w:r>
          </w:p>
          <w:p>
            <w:pPr>
              <w:keepNext w:val="0"/>
              <w:keepLines w:val="0"/>
              <w:pageBreakBefore w:val="0"/>
              <w:widowControl/>
              <w:kinsoku/>
              <w:wordWrap/>
              <w:overflowPunct/>
              <w:topLinePunct w:val="0"/>
              <w:autoSpaceDE/>
              <w:autoSpaceDN/>
              <w:bidi w:val="0"/>
              <w:adjustRightInd/>
              <w:snapToGrid/>
              <w:spacing w:line="360" w:lineRule="auto"/>
              <w:ind w:left="420" w:leftChars="200"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B—是接收点与屏障顶端的距离；</w:t>
            </w:r>
          </w:p>
          <w:p>
            <w:pPr>
              <w:keepNext w:val="0"/>
              <w:keepLines w:val="0"/>
              <w:pageBreakBefore w:val="0"/>
              <w:widowControl/>
              <w:kinsoku/>
              <w:wordWrap/>
              <w:overflowPunct/>
              <w:topLinePunct w:val="0"/>
              <w:autoSpaceDE/>
              <w:autoSpaceDN/>
              <w:bidi w:val="0"/>
              <w:adjustRightInd/>
              <w:snapToGrid/>
              <w:spacing w:line="360" w:lineRule="auto"/>
              <w:ind w:left="420" w:leftChars="200"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d—是声源与接收点间的距离；</w:t>
            </w:r>
          </w:p>
          <w:p>
            <w:pPr>
              <w:keepNext w:val="0"/>
              <w:keepLines w:val="0"/>
              <w:pageBreakBefore w:val="0"/>
              <w:widowControl/>
              <w:kinsoku/>
              <w:wordWrap/>
              <w:overflowPunct/>
              <w:topLinePunct w:val="0"/>
              <w:autoSpaceDE/>
              <w:autoSpaceDN/>
              <w:bidi w:val="0"/>
              <w:adjustRightInd/>
              <w:snapToGrid/>
              <w:spacing w:line="360" w:lineRule="auto"/>
              <w:ind w:left="420" w:leftChars="200"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sym w:font="Symbol" w:char="F06C"/>
            </w: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eastAsia="zh-CN"/>
              </w:rPr>
              <w:t>声波</w:t>
            </w:r>
            <w:r>
              <w:rPr>
                <w:rFonts w:hint="default" w:ascii="Times New Roman" w:hAnsi="Times New Roman" w:cs="Times New Roman"/>
                <w:color w:val="auto"/>
                <w:kern w:val="0"/>
                <w:sz w:val="21"/>
                <w:szCs w:val="21"/>
                <w:highlight w:val="none"/>
              </w:rPr>
              <w:t>波长。</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●空气吸收引起的衰减（Aatm）</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空气吸收引起的衰减按以下公式计算：</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Aatm=a（r</w:t>
            </w:r>
            <w:r>
              <w:rPr>
                <w:rFonts w:hint="default" w:ascii="Times New Roman" w:hAnsi="Times New Roman" w:cs="Times New Roman"/>
                <w:color w:val="auto"/>
                <w:kern w:val="0"/>
                <w:sz w:val="21"/>
                <w:szCs w:val="21"/>
                <w:highlight w:val="none"/>
              </w:rPr>
              <w:sym w:font="Symbol" w:char="F02D"/>
            </w:r>
            <w:r>
              <w:rPr>
                <w:rFonts w:hint="default" w:ascii="Times New Roman" w:hAnsi="Times New Roman" w:cs="Times New Roman"/>
                <w:color w:val="auto"/>
                <w:kern w:val="0"/>
                <w:sz w:val="21"/>
                <w:szCs w:val="21"/>
                <w:highlight w:val="none"/>
              </w:rPr>
              <w:t xml:space="preserve"> r</w:t>
            </w:r>
            <w:r>
              <w:rPr>
                <w:rFonts w:hint="default" w:ascii="Times New Roman" w:hAnsi="Times New Roman" w:cs="Times New Roman"/>
                <w:color w:val="auto"/>
                <w:kern w:val="0"/>
                <w:sz w:val="21"/>
                <w:szCs w:val="21"/>
                <w:highlight w:val="none"/>
                <w:vertAlign w:val="subscript"/>
              </w:rPr>
              <w:t>0</w:t>
            </w:r>
            <w:r>
              <w:rPr>
                <w:rFonts w:hint="default" w:ascii="Times New Roman" w:hAnsi="Times New Roman" w:cs="Times New Roman"/>
                <w:color w:val="auto"/>
                <w:kern w:val="0"/>
                <w:sz w:val="21"/>
                <w:szCs w:val="21"/>
                <w:highlight w:val="none"/>
              </w:rPr>
              <w:t>）1000</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式中：a为温度、湿度和声波频率的函数，预测计算中一般根据建设项目所处区域常年平均气温和湿度选择相应的空气吸收系数</w:t>
            </w:r>
            <w:r>
              <w:rPr>
                <w:rFonts w:hint="default" w:ascii="Times New Roman" w:hAnsi="Times New Roman" w:cs="Times New Roman"/>
                <w:color w:val="auto"/>
                <w:kern w:val="0"/>
                <w:sz w:val="21"/>
                <w:szCs w:val="21"/>
                <w:highlight w:val="none"/>
                <w:lang w:eastAsia="zh-CN"/>
              </w:rPr>
              <w:t>，见下表</w:t>
            </w:r>
            <w:r>
              <w:rPr>
                <w:rFonts w:hint="eastAsia" w:cs="Times New Roman"/>
                <w:color w:val="auto"/>
                <w:kern w:val="0"/>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left="420" w:leftChars="200" w:firstLine="420" w:firstLineChars="200"/>
              <w:jc w:val="left"/>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r为预测点距声源的距离；</w:t>
            </w:r>
          </w:p>
          <w:p>
            <w:pPr>
              <w:keepNext w:val="0"/>
              <w:keepLines w:val="0"/>
              <w:pageBreakBefore w:val="0"/>
              <w:widowControl/>
              <w:kinsoku/>
              <w:wordWrap/>
              <w:overflowPunct/>
              <w:topLinePunct w:val="0"/>
              <w:autoSpaceDE/>
              <w:autoSpaceDN/>
              <w:bidi w:val="0"/>
              <w:adjustRightInd/>
              <w:snapToGrid/>
              <w:spacing w:line="360" w:lineRule="auto"/>
              <w:ind w:left="420" w:leftChars="200" w:firstLine="420" w:firstLineChars="200"/>
              <w:jc w:val="left"/>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r</w:t>
            </w:r>
            <w:r>
              <w:rPr>
                <w:rFonts w:hint="eastAsia" w:cs="Times New Roman"/>
                <w:color w:val="auto"/>
                <w:kern w:val="0"/>
                <w:sz w:val="21"/>
                <w:szCs w:val="21"/>
                <w:highlight w:val="none"/>
                <w:vertAlign w:val="subscript"/>
                <w:lang w:val="en-US" w:eastAsia="zh-CN"/>
              </w:rPr>
              <w:t>0</w:t>
            </w:r>
            <w:r>
              <w:rPr>
                <w:rFonts w:hint="eastAsia" w:cs="Times New Roman"/>
                <w:color w:val="auto"/>
                <w:kern w:val="0"/>
                <w:sz w:val="21"/>
                <w:szCs w:val="21"/>
                <w:highlight w:val="none"/>
                <w:lang w:val="en-US" w:eastAsia="zh-CN"/>
              </w:rPr>
              <w:t>为参考位置距声源的距离。</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倍频带噪声的大气吸收衰减系数</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1096"/>
              <w:gridCol w:w="1045"/>
              <w:gridCol w:w="1009"/>
              <w:gridCol w:w="1101"/>
              <w:gridCol w:w="1009"/>
              <w:gridCol w:w="1012"/>
              <w:gridCol w:w="9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温度</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66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相对湿度</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3740"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大气吸收衰减系数a，dB/km，倍频带中心频率Hz</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66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63</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125</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250</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500</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1000</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0.4</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1.9</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3.7</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0.3</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2.8</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5.0</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30</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0.3</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3.1</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7.4</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15</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0.3</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0.6</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1.2</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2.7</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8.2</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15</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0.5</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1.2</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2.2</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4.2</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15</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80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0.3</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2.4</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4.1</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8.3</w:t>
                  </w:r>
                </w:p>
              </w:tc>
            </w:tr>
          </w:tbl>
          <w:p>
            <w:pPr>
              <w:keepNext w:val="0"/>
              <w:keepLines w:val="0"/>
              <w:pageBreakBefore w:val="0"/>
              <w:widowControl/>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（4）参数选取</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项目</w:t>
            </w:r>
            <w:r>
              <w:rPr>
                <w:rFonts w:hint="default" w:ascii="Times New Roman" w:hAnsi="Times New Roman" w:cs="Times New Roman"/>
                <w:color w:val="auto"/>
                <w:kern w:val="0"/>
                <w:sz w:val="21"/>
                <w:szCs w:val="21"/>
                <w:highlight w:val="none"/>
                <w:lang w:eastAsia="zh-CN"/>
              </w:rPr>
              <w:t>位于新乡市</w:t>
            </w:r>
            <w:r>
              <w:rPr>
                <w:rFonts w:hint="eastAsia" w:cs="Times New Roman"/>
                <w:color w:val="auto"/>
                <w:kern w:val="0"/>
                <w:sz w:val="21"/>
                <w:szCs w:val="21"/>
                <w:highlight w:val="none"/>
                <w:lang w:eastAsia="zh-CN"/>
              </w:rPr>
              <w:t>凤泉区</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所在区域的年平均温度为</w:t>
            </w:r>
            <w:r>
              <w:rPr>
                <w:rFonts w:hint="eastAsia" w:cs="Times New Roman"/>
                <w:color w:val="auto"/>
                <w:kern w:val="0"/>
                <w:sz w:val="21"/>
                <w:szCs w:val="21"/>
                <w:highlight w:val="none"/>
                <w:lang w:val="en-US" w:eastAsia="zh-CN"/>
              </w:rPr>
              <w:t>14</w:t>
            </w: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eastAsia="zh-CN"/>
              </w:rPr>
              <w:t>年均</w:t>
            </w:r>
            <w:r>
              <w:rPr>
                <w:rFonts w:hint="default" w:ascii="Times New Roman" w:hAnsi="Times New Roman" w:cs="Times New Roman"/>
                <w:color w:val="auto"/>
                <w:kern w:val="0"/>
                <w:sz w:val="21"/>
                <w:szCs w:val="21"/>
                <w:highlight w:val="none"/>
              </w:rPr>
              <w:t>湿度为6</w:t>
            </w:r>
            <w:r>
              <w:rPr>
                <w:rFonts w:hint="default" w:ascii="Times New Roman" w:hAnsi="Times New Roman" w:cs="Times New Roman"/>
                <w:color w:val="auto"/>
                <w:kern w:val="0"/>
                <w:sz w:val="21"/>
                <w:szCs w:val="21"/>
                <w:highlight w:val="none"/>
                <w:lang w:val="en-US" w:eastAsia="zh-CN"/>
              </w:rPr>
              <w:t>8</w:t>
            </w:r>
            <w:r>
              <w:rPr>
                <w:rFonts w:hint="default" w:ascii="Times New Roman" w:hAnsi="Times New Roman" w:cs="Times New Roman"/>
                <w:color w:val="auto"/>
                <w:kern w:val="0"/>
                <w:sz w:val="21"/>
                <w:szCs w:val="21"/>
                <w:highlight w:val="none"/>
              </w:rPr>
              <w:t>%。计算过程考虑了建筑物的屏障作用和室内源向室外的传播。</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b/>
                <w:bCs/>
                <w:color w:val="auto"/>
                <w:kern w:val="0"/>
                <w:sz w:val="21"/>
                <w:szCs w:val="21"/>
                <w:highlight w:val="none"/>
              </w:rPr>
            </w:pPr>
            <w:r>
              <w:rPr>
                <w:rFonts w:hint="eastAsia" w:cs="Times New Roman"/>
                <w:b/>
                <w:bCs/>
                <w:color w:val="auto"/>
                <w:kern w:val="0"/>
                <w:sz w:val="21"/>
                <w:szCs w:val="21"/>
                <w:highlight w:val="none"/>
                <w:lang w:val="en-US" w:eastAsia="zh-CN"/>
              </w:rPr>
              <w:t>3.3</w:t>
            </w:r>
            <w:r>
              <w:rPr>
                <w:rFonts w:hint="default" w:ascii="Times New Roman" w:hAnsi="Times New Roman" w:cs="Times New Roman"/>
                <w:b/>
                <w:bCs/>
                <w:color w:val="auto"/>
                <w:kern w:val="0"/>
                <w:sz w:val="21"/>
                <w:szCs w:val="21"/>
                <w:highlight w:val="none"/>
              </w:rPr>
              <w:t>预测结果</w:t>
            </w:r>
          </w:p>
          <w:p>
            <w:pPr>
              <w:pStyle w:val="76"/>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eastAsia="zh-CN"/>
              </w:rPr>
              <w:t>项目仅昼间生产，因此本次评价仅对昼间噪声影响进行预测分析，</w:t>
            </w:r>
            <w:r>
              <w:rPr>
                <w:rFonts w:hint="default" w:ascii="Times New Roman" w:hAnsi="Times New Roman" w:cs="Times New Roman"/>
                <w:color w:val="auto"/>
                <w:kern w:val="0"/>
                <w:sz w:val="21"/>
                <w:szCs w:val="21"/>
                <w:highlight w:val="none"/>
              </w:rPr>
              <w:t>采用《噪声环境影响评价系统（NoiseSystem）》预测软件进行计算。场界噪声预测结果见</w:t>
            </w:r>
            <w:r>
              <w:rPr>
                <w:rFonts w:hint="default" w:ascii="Times New Roman" w:hAnsi="Times New Roman" w:cs="Times New Roman"/>
                <w:color w:val="auto"/>
                <w:kern w:val="0"/>
                <w:sz w:val="21"/>
                <w:szCs w:val="21"/>
                <w:highlight w:val="none"/>
                <w:lang w:eastAsia="zh-CN"/>
              </w:rPr>
              <w:t>下表</w:t>
            </w:r>
            <w:r>
              <w:rPr>
                <w:rFonts w:hint="default" w:ascii="Times New Roman" w:hAnsi="Times New Roman" w:cs="Times New Roman"/>
                <w:color w:val="auto"/>
                <w:kern w:val="0"/>
                <w:sz w:val="21"/>
                <w:szCs w:val="21"/>
                <w:highlight w:val="none"/>
              </w:rPr>
              <w:t>。</w:t>
            </w:r>
          </w:p>
          <w:p>
            <w:pPr>
              <w:pStyle w:val="76"/>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kern w:val="0"/>
                <w:sz w:val="21"/>
                <w:szCs w:val="21"/>
                <w:highlight w:val="none"/>
              </w:rPr>
            </w:pPr>
          </w:p>
          <w:p>
            <w:pPr>
              <w:pStyle w:val="76"/>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kern w:val="0"/>
                <w:sz w:val="21"/>
                <w:szCs w:val="21"/>
                <w:highlight w:val="none"/>
              </w:rPr>
            </w:pPr>
          </w:p>
          <w:p>
            <w:pPr>
              <w:pStyle w:val="76"/>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kern w:val="0"/>
                <w:sz w:val="21"/>
                <w:szCs w:val="21"/>
                <w:highlight w:val="none"/>
              </w:rPr>
            </w:pPr>
          </w:p>
          <w:p>
            <w:pPr>
              <w:pStyle w:val="76"/>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kern w:val="0"/>
                <w:sz w:val="21"/>
                <w:szCs w:val="21"/>
                <w:highlight w:val="none"/>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厂界昼间噪声预测结果</w:t>
            </w:r>
          </w:p>
          <w:tbl>
            <w:tblPr>
              <w:tblStyle w:val="21"/>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89"/>
              <w:gridCol w:w="2342"/>
              <w:gridCol w:w="2343"/>
              <w:gridCol w:w="13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pct"/>
                  <w:tcBorders>
                    <w:tl2br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right"/>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 xml:space="preserve">  项目</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预测点位</w:t>
                  </w:r>
                </w:p>
              </w:tc>
              <w:tc>
                <w:tcPr>
                  <w:tcW w:w="1428"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贡献值dB（A）</w:t>
                  </w:r>
                </w:p>
              </w:tc>
              <w:tc>
                <w:tcPr>
                  <w:tcW w:w="142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eastAsia="zh-CN"/>
                    </w:rPr>
                    <w:t>昼间</w:t>
                  </w:r>
                  <w:r>
                    <w:rPr>
                      <w:rFonts w:hint="default" w:ascii="Times New Roman" w:hAnsi="Times New Roman" w:eastAsia="宋体" w:cs="Times New Roman"/>
                      <w:color w:val="auto"/>
                      <w:sz w:val="18"/>
                      <w:szCs w:val="18"/>
                      <w:highlight w:val="none"/>
                    </w:rPr>
                    <w:t>标准dB（A）</w:t>
                  </w:r>
                </w:p>
              </w:tc>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东厂界</w:t>
                  </w:r>
                </w:p>
              </w:tc>
              <w:tc>
                <w:tcPr>
                  <w:tcW w:w="1428"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62.5</w:t>
                  </w:r>
                </w:p>
              </w:tc>
              <w:tc>
                <w:tcPr>
                  <w:tcW w:w="142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65</w:t>
                  </w:r>
                </w:p>
              </w:tc>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西厂界</w:t>
                  </w:r>
                </w:p>
              </w:tc>
              <w:tc>
                <w:tcPr>
                  <w:tcW w:w="1428"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62.5</w:t>
                  </w:r>
                </w:p>
              </w:tc>
              <w:tc>
                <w:tcPr>
                  <w:tcW w:w="142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65</w:t>
                  </w:r>
                </w:p>
              </w:tc>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南厂界</w:t>
                  </w:r>
                </w:p>
              </w:tc>
              <w:tc>
                <w:tcPr>
                  <w:tcW w:w="1428"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33</w:t>
                  </w:r>
                </w:p>
              </w:tc>
              <w:tc>
                <w:tcPr>
                  <w:tcW w:w="142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65</w:t>
                  </w:r>
                </w:p>
              </w:tc>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北厂界</w:t>
                  </w:r>
                </w:p>
              </w:tc>
              <w:tc>
                <w:tcPr>
                  <w:tcW w:w="1428"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62.5</w:t>
                  </w:r>
                </w:p>
              </w:tc>
              <w:tc>
                <w:tcPr>
                  <w:tcW w:w="142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65</w:t>
                  </w:r>
                </w:p>
              </w:tc>
              <w:tc>
                <w:tcPr>
                  <w:tcW w:w="8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bl>
          <w:p>
            <w:pPr>
              <w:pStyle w:val="27"/>
              <w:spacing w:line="360" w:lineRule="auto"/>
              <w:ind w:firstLine="420" w:firstLineChars="200"/>
              <w:jc w:val="both"/>
              <w:rPr>
                <w:rFonts w:hint="default" w:ascii="Times New Roman" w:hAnsi="Times New Roman" w:cs="Times New Roman"/>
                <w:b/>
                <w:bCs/>
                <w:color w:val="auto"/>
                <w:highlight w:val="none"/>
              </w:rPr>
            </w:pPr>
            <w:r>
              <w:rPr>
                <w:rFonts w:hint="default" w:ascii="Times New Roman" w:hAnsi="Times New Roman" w:eastAsia="宋体" w:cs="Times New Roman"/>
                <w:color w:val="auto"/>
                <w:sz w:val="21"/>
                <w:szCs w:val="21"/>
                <w:highlight w:val="none"/>
              </w:rPr>
              <w:t>由以上预测结果可知，项目营运期噪声经消声、隔声、减振及距离衰减后，项目厂界噪声值均可以满足《工业企业厂界环境噪声排放标准》（GB12348-2008）中的</w:t>
            </w:r>
            <w:r>
              <w:rPr>
                <w:rFonts w:hint="eastAsia" w:asci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类标准（昼间≤6</w:t>
            </w:r>
            <w:r>
              <w:rPr>
                <w:rFonts w:hint="eastAsia" w:asci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dB（A））。</w:t>
            </w:r>
          </w:p>
          <w:p>
            <w:pPr>
              <w:pStyle w:val="2"/>
              <w:bidi w:val="0"/>
              <w:ind w:left="0" w:leftChars="0"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3.4</w:t>
            </w:r>
            <w:r>
              <w:rPr>
                <w:rFonts w:hint="default" w:ascii="Times New Roman" w:hAnsi="Times New Roman" w:cs="Times New Roman"/>
                <w:b/>
                <w:bCs/>
                <w:color w:val="auto"/>
                <w:highlight w:val="none"/>
              </w:rPr>
              <w:t>监测计划</w:t>
            </w:r>
          </w:p>
          <w:p>
            <w:pPr>
              <w:pStyle w:val="3"/>
              <w:keepNext w:val="0"/>
              <w:keepLines w:val="0"/>
              <w:pageBreakBefore w:val="0"/>
              <w:widowControl w:val="0"/>
              <w:numPr>
                <w:ilvl w:val="2"/>
                <w:numId w:val="0"/>
              </w:numPr>
              <w:kinsoku/>
              <w:wordWrap/>
              <w:overflowPunct/>
              <w:topLinePunct w:val="0"/>
              <w:autoSpaceDE/>
              <w:autoSpaceDN/>
              <w:bidi w:val="0"/>
              <w:adjustRightInd/>
              <w:snapToGrid/>
              <w:spacing w:before="0" w:after="0" w:line="360" w:lineRule="auto"/>
              <w:ind w:right="0" w:rightChars="0" w:firstLine="420" w:firstLineChars="200"/>
              <w:textAlignment w:val="auto"/>
              <w:rPr>
                <w:rFonts w:hint="default" w:ascii="Times New Roman" w:hAnsi="Times New Roman" w:cs="Times New Roman"/>
                <w:b w:val="0"/>
                <w:bCs/>
                <w:color w:val="auto"/>
                <w:spacing w:val="-4"/>
                <w:sz w:val="21"/>
                <w:szCs w:val="21"/>
                <w:highlight w:val="none"/>
                <w:lang w:eastAsia="zh-CN"/>
              </w:rPr>
            </w:pPr>
            <w:r>
              <w:rPr>
                <w:rFonts w:hint="default" w:ascii="Times New Roman" w:hAnsi="Times New Roman" w:eastAsia="宋体" w:cs="Times New Roman"/>
                <w:b w:val="0"/>
                <w:bCs w:val="0"/>
                <w:color w:val="auto"/>
                <w:sz w:val="21"/>
                <w:szCs w:val="21"/>
                <w:highlight w:val="none"/>
                <w:vertAlign w:val="baseline"/>
                <w:lang w:eastAsia="zh-CN"/>
              </w:rPr>
              <w:t>参考</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kern w:val="0"/>
                <w:sz w:val="21"/>
                <w:szCs w:val="21"/>
                <w:highlight w:val="none"/>
                <w:lang w:eastAsia="zh-CN"/>
              </w:rPr>
              <w:t>排污单位自行监测技术指南</w:t>
            </w:r>
            <w:r>
              <w:rPr>
                <w:rFonts w:hint="default" w:ascii="Times New Roman" w:hAnsi="Times New Roman" w:eastAsia="宋体" w:cs="Times New Roman"/>
                <w:b w:val="0"/>
                <w:bCs w:val="0"/>
                <w:color w:val="auto"/>
                <w:kern w:val="0"/>
                <w:sz w:val="21"/>
                <w:szCs w:val="21"/>
                <w:highlight w:val="none"/>
                <w:lang w:val="en-US" w:eastAsia="zh-CN"/>
              </w:rPr>
              <w:t>-</w:t>
            </w:r>
            <w:r>
              <w:rPr>
                <w:rFonts w:hint="eastAsia" w:cs="Times New Roman"/>
                <w:b w:val="0"/>
                <w:bCs w:val="0"/>
                <w:color w:val="auto"/>
                <w:kern w:val="0"/>
                <w:sz w:val="21"/>
                <w:szCs w:val="21"/>
                <w:highlight w:val="none"/>
                <w:lang w:val="en-US" w:eastAsia="zh-CN"/>
              </w:rPr>
              <w:t>电池工业</w:t>
            </w:r>
            <w:r>
              <w:rPr>
                <w:rFonts w:hint="default" w:ascii="Times New Roman" w:hAnsi="Times New Roman" w:eastAsia="宋体" w:cs="Times New Roman"/>
                <w:b w:val="0"/>
                <w:bCs w:val="0"/>
                <w:color w:val="auto"/>
                <w:sz w:val="21"/>
                <w:szCs w:val="21"/>
                <w:highlight w:val="none"/>
                <w:lang w:val="en-US" w:eastAsia="zh-CN"/>
              </w:rPr>
              <w:t>》（HJ</w:t>
            </w:r>
            <w:r>
              <w:rPr>
                <w:rFonts w:hint="eastAsia" w:cs="Times New Roman"/>
                <w:b w:val="0"/>
                <w:bCs w:val="0"/>
                <w:color w:val="auto"/>
                <w:sz w:val="21"/>
                <w:szCs w:val="21"/>
                <w:highlight w:val="none"/>
                <w:lang w:val="en-US" w:eastAsia="zh-CN"/>
              </w:rPr>
              <w:t>1204</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2021</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vertAlign w:val="baseline"/>
                <w:lang w:eastAsia="zh-CN"/>
              </w:rPr>
              <w:t>相关要求，</w:t>
            </w:r>
            <w:r>
              <w:rPr>
                <w:rFonts w:hint="default" w:ascii="Times New Roman" w:hAnsi="Times New Roman" w:cs="Times New Roman"/>
                <w:b w:val="0"/>
                <w:bCs/>
                <w:color w:val="auto"/>
                <w:spacing w:val="-4"/>
                <w:sz w:val="21"/>
                <w:szCs w:val="21"/>
                <w:highlight w:val="none"/>
                <w:lang w:eastAsia="zh-CN"/>
              </w:rPr>
              <w:t>项目噪声监测要求如下：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噪声监测计划表</w:t>
            </w:r>
          </w:p>
          <w:tbl>
            <w:tblPr>
              <w:tblStyle w:val="21"/>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1097"/>
              <w:gridCol w:w="1863"/>
              <w:gridCol w:w="1113"/>
              <w:gridCol w:w="316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4"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监测内容</w:t>
                  </w:r>
                </w:p>
              </w:tc>
              <w:tc>
                <w:tcPr>
                  <w:tcW w:w="669"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监测</w:t>
                  </w:r>
                  <w:r>
                    <w:rPr>
                      <w:rFonts w:hint="default" w:ascii="Times New Roman" w:hAnsi="Times New Roman" w:cs="Times New Roman"/>
                      <w:color w:val="auto"/>
                      <w:kern w:val="0"/>
                      <w:sz w:val="18"/>
                      <w:szCs w:val="18"/>
                      <w:highlight w:val="none"/>
                      <w:lang w:eastAsia="zh-CN"/>
                    </w:rPr>
                    <w:t>项目</w:t>
                  </w:r>
                </w:p>
              </w:tc>
              <w:tc>
                <w:tcPr>
                  <w:tcW w:w="1136"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监测点位</w:t>
                  </w:r>
                </w:p>
              </w:tc>
              <w:tc>
                <w:tcPr>
                  <w:tcW w:w="679"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监测频次</w:t>
                  </w:r>
                </w:p>
              </w:tc>
              <w:tc>
                <w:tcPr>
                  <w:tcW w:w="193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执行排放标准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4"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18"/>
                      <w:szCs w:val="18"/>
                      <w:highlight w:val="none"/>
                      <w:lang w:eastAsia="zh-CN"/>
                    </w:rPr>
                  </w:pPr>
                  <w:r>
                    <w:rPr>
                      <w:rFonts w:hint="default" w:ascii="Times New Roman" w:hAnsi="Times New Roman" w:cs="Times New Roman"/>
                      <w:bCs/>
                      <w:color w:val="auto"/>
                      <w:sz w:val="18"/>
                      <w:szCs w:val="18"/>
                      <w:highlight w:val="none"/>
                      <w:lang w:eastAsia="zh-CN"/>
                    </w:rPr>
                    <w:t>噪声</w:t>
                  </w:r>
                </w:p>
              </w:tc>
              <w:tc>
                <w:tcPr>
                  <w:tcW w:w="669"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等效A声级</w:t>
                  </w:r>
                </w:p>
              </w:tc>
              <w:tc>
                <w:tcPr>
                  <w:tcW w:w="1136"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厂界外1m处，东、西、南、北4个点位</w:t>
                  </w:r>
                </w:p>
              </w:tc>
              <w:tc>
                <w:tcPr>
                  <w:tcW w:w="679"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1次/季度</w:t>
                  </w:r>
                </w:p>
              </w:tc>
              <w:tc>
                <w:tcPr>
                  <w:tcW w:w="1930"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Cs/>
                      <w:color w:val="auto"/>
                      <w:sz w:val="18"/>
                      <w:szCs w:val="18"/>
                      <w:highlight w:val="none"/>
                      <w:lang w:val="zh-CN"/>
                    </w:rPr>
                  </w:pPr>
                  <w:r>
                    <w:rPr>
                      <w:rFonts w:hint="default" w:ascii="Times New Roman" w:hAnsi="Times New Roman" w:eastAsia="宋体" w:cs="Times New Roman"/>
                      <w:color w:val="auto"/>
                      <w:sz w:val="18"/>
                      <w:szCs w:val="18"/>
                      <w:highlight w:val="none"/>
                    </w:rPr>
                    <w:t>《工业企业厂界环境噪声排放标准》（GB12348-2008）中的</w:t>
                  </w:r>
                  <w:r>
                    <w:rPr>
                      <w:rFonts w:hint="eastAsia"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rPr>
                    <w:t>类标准</w:t>
                  </w:r>
                </w:p>
              </w:tc>
            </w:tr>
          </w:tbl>
          <w:p>
            <w:pPr>
              <w:pStyle w:val="2"/>
              <w:bidi w:val="0"/>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固体废物</w:t>
            </w:r>
          </w:p>
          <w:p>
            <w:pPr>
              <w:pStyle w:val="2"/>
              <w:bidi w:val="0"/>
              <w:ind w:left="0" w:leftChars="0" w:firstLine="0" w:firstLineChars="0"/>
              <w:rPr>
                <w:rFonts w:hint="default" w:ascii="Times New Roman" w:hAnsi="Times New Roman" w:cs="Times New Roman"/>
                <w:color w:val="auto"/>
                <w:highlight w:val="none"/>
              </w:rPr>
            </w:pPr>
            <w:r>
              <w:rPr>
                <w:rFonts w:hint="eastAsia" w:cs="Times New Roman"/>
                <w:color w:val="auto"/>
                <w:highlight w:val="none"/>
                <w:lang w:val="en-US" w:eastAsia="zh-CN"/>
              </w:rPr>
              <w:t>4.1</w:t>
            </w:r>
            <w:r>
              <w:rPr>
                <w:rFonts w:hint="default" w:ascii="Times New Roman" w:hAnsi="Times New Roman" w:cs="Times New Roman"/>
                <w:color w:val="auto"/>
                <w:highlight w:val="none"/>
              </w:rPr>
              <w:t>固体废物污染源及治理措施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cs="Times New Roman"/>
                <w:bCs/>
                <w:color w:val="auto"/>
                <w:kern w:val="0"/>
                <w:szCs w:val="21"/>
                <w:highlight w:val="none"/>
                <w:lang w:eastAsia="zh-CN"/>
              </w:rPr>
            </w:pPr>
            <w:r>
              <w:rPr>
                <w:rFonts w:hint="default" w:ascii="Times New Roman" w:hAnsi="Times New Roman" w:cs="Times New Roman"/>
                <w:bCs/>
                <w:color w:val="auto"/>
                <w:kern w:val="0"/>
                <w:szCs w:val="21"/>
                <w:highlight w:val="none"/>
              </w:rPr>
              <w:t>根据《建设项目危险废物环境影响评价指南》（环保部公告2017年第43号）、《固体废物鉴别标准通则》（GB34330-2017）等文件要求对拟建项目的固体废物污染源强进行分析核算。本项目</w:t>
            </w:r>
            <w:r>
              <w:rPr>
                <w:rFonts w:hint="eastAsia" w:cs="Times New Roman"/>
                <w:bCs/>
                <w:color w:val="auto"/>
                <w:kern w:val="0"/>
                <w:szCs w:val="21"/>
                <w:highlight w:val="none"/>
                <w:lang w:eastAsia="zh-CN"/>
              </w:rPr>
              <w:t>生产过程产生的空</w:t>
            </w:r>
            <w:r>
              <w:rPr>
                <w:rFonts w:hint="default" w:ascii="Times New Roman" w:hAnsi="Times New Roman" w:cs="Times New Roman"/>
                <w:bCs/>
                <w:color w:val="auto"/>
                <w:kern w:val="0"/>
                <w:szCs w:val="21"/>
                <w:highlight w:val="none"/>
              </w:rPr>
              <w:t>电解液原料桶</w:t>
            </w:r>
            <w:r>
              <w:rPr>
                <w:rFonts w:hint="eastAsia" w:cs="Times New Roman"/>
                <w:bCs/>
                <w:color w:val="auto"/>
                <w:kern w:val="0"/>
                <w:szCs w:val="21"/>
                <w:highlight w:val="none"/>
                <w:lang w:eastAsia="zh-CN"/>
              </w:rPr>
              <w:t>均为特殊包装桶</w:t>
            </w:r>
            <w:r>
              <w:rPr>
                <w:rFonts w:hint="default" w:ascii="Times New Roman" w:hAnsi="Times New Roman" w:cs="Times New Roman"/>
                <w:bCs/>
                <w:color w:val="auto"/>
                <w:kern w:val="0"/>
                <w:szCs w:val="21"/>
                <w:highlight w:val="none"/>
              </w:rPr>
              <w:t>，</w:t>
            </w:r>
            <w:r>
              <w:rPr>
                <w:rFonts w:hint="eastAsia" w:cs="Times New Roman"/>
                <w:bCs/>
                <w:color w:val="auto"/>
                <w:kern w:val="0"/>
                <w:szCs w:val="21"/>
                <w:highlight w:val="none"/>
                <w:lang w:eastAsia="zh-CN"/>
              </w:rPr>
              <w:t>空桶</w:t>
            </w:r>
            <w:r>
              <w:rPr>
                <w:rFonts w:hint="default" w:ascii="Times New Roman" w:hAnsi="Times New Roman" w:cs="Times New Roman"/>
                <w:bCs/>
                <w:color w:val="auto"/>
                <w:kern w:val="0"/>
                <w:szCs w:val="21"/>
                <w:highlight w:val="none"/>
              </w:rPr>
              <w:t>均交由原生产厂家回收重复利用。根据《固体废物鉴别标准 通则》（GB34330-2017）中“6.1、a</w:t>
            </w:r>
            <w:r>
              <w:rPr>
                <w:rFonts w:hint="eastAsia" w:cs="Times New Roman"/>
                <w:bCs/>
                <w:color w:val="auto"/>
                <w:kern w:val="0"/>
                <w:szCs w:val="21"/>
                <w:highlight w:val="none"/>
                <w:lang w:eastAsia="zh-CN"/>
              </w:rPr>
              <w:t>）</w:t>
            </w:r>
            <w:r>
              <w:rPr>
                <w:rFonts w:hint="default" w:ascii="Times New Roman" w:hAnsi="Times New Roman" w:cs="Times New Roman"/>
                <w:bCs/>
                <w:color w:val="auto"/>
                <w:kern w:val="0"/>
                <w:szCs w:val="21"/>
                <w:highlight w:val="none"/>
              </w:rPr>
              <w:t>任何不需要修复和加工即可用于其原始用途的物质，或者在产生点经过修复和加工后满足国家、地方制定或行业通行的产品质量标准并且用于其原始用途的物质”不作为固体废物管理。因此，本项目产生的空</w:t>
            </w:r>
            <w:r>
              <w:rPr>
                <w:rFonts w:hint="eastAsia" w:cs="Times New Roman"/>
                <w:bCs/>
                <w:color w:val="auto"/>
                <w:kern w:val="0"/>
                <w:szCs w:val="21"/>
                <w:highlight w:val="none"/>
                <w:lang w:eastAsia="zh-CN"/>
              </w:rPr>
              <w:t>电解液</w:t>
            </w:r>
            <w:r>
              <w:rPr>
                <w:rFonts w:hint="default" w:ascii="Times New Roman" w:hAnsi="Times New Roman" w:cs="Times New Roman"/>
                <w:bCs/>
                <w:color w:val="auto"/>
                <w:kern w:val="0"/>
                <w:szCs w:val="21"/>
                <w:highlight w:val="none"/>
              </w:rPr>
              <w:t>原料桶交由原生产厂家回收重复利用的情况下不按固体废物进行管理。</w:t>
            </w:r>
            <w:r>
              <w:rPr>
                <w:rFonts w:hint="eastAsia" w:cs="Times New Roman"/>
                <w:bCs/>
                <w:color w:val="auto"/>
                <w:kern w:val="0"/>
                <w:szCs w:val="21"/>
                <w:highlight w:val="none"/>
                <w:lang w:eastAsia="zh-CN"/>
              </w:rPr>
              <w:t>项目固废产生情况如下：</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eastAsia="宋体" w:cs="Times New Roman"/>
                <w:b/>
                <w:bCs w:val="0"/>
                <w:color w:val="auto"/>
                <w:kern w:val="0"/>
                <w:szCs w:val="21"/>
                <w:highlight w:val="none"/>
                <w:lang w:val="en-US" w:eastAsia="zh-CN"/>
              </w:rPr>
            </w:pPr>
            <w:r>
              <w:rPr>
                <w:rFonts w:hint="eastAsia" w:cs="Times New Roman"/>
                <w:b/>
                <w:bCs w:val="0"/>
                <w:color w:val="auto"/>
                <w:kern w:val="0"/>
                <w:szCs w:val="21"/>
                <w:highlight w:val="none"/>
                <w:lang w:val="en-US" w:eastAsia="zh-CN"/>
              </w:rPr>
              <w:t>A、危险废物</w:t>
            </w:r>
          </w:p>
          <w:p>
            <w:pPr>
              <w:pStyle w:val="2"/>
              <w:bidi w:val="0"/>
              <w:rPr>
                <w:rFonts w:hint="default" w:ascii="Times New Roman" w:hAnsi="Times New Roman" w:cs="Times New Roman"/>
                <w:color w:val="auto"/>
                <w:highlight w:val="none"/>
                <w:lang w:eastAsia="zh-CN"/>
              </w:rPr>
            </w:pPr>
            <w:r>
              <w:rPr>
                <w:rFonts w:hint="eastAsia" w:cs="Times New Roman"/>
                <w:color w:val="auto"/>
                <w:highlight w:val="none"/>
                <w:lang w:val="de-DE" w:eastAsia="zh-CN"/>
              </w:rPr>
              <w:t>（</w:t>
            </w:r>
            <w:r>
              <w:rPr>
                <w:rFonts w:hint="eastAsia" w:cs="Times New Roman"/>
                <w:color w:val="auto"/>
                <w:highlight w:val="none"/>
                <w:lang w:val="en-US" w:eastAsia="zh-CN"/>
              </w:rPr>
              <w:t>1</w:t>
            </w:r>
            <w:r>
              <w:rPr>
                <w:rFonts w:hint="eastAsia" w:cs="Times New Roman"/>
                <w:color w:val="auto"/>
                <w:highlight w:val="none"/>
                <w:lang w:val="de-DE" w:eastAsia="zh-CN"/>
              </w:rPr>
              <w:t>）</w:t>
            </w:r>
            <w:r>
              <w:rPr>
                <w:rFonts w:hint="default" w:ascii="Times New Roman" w:hAnsi="Times New Roman" w:cs="Times New Roman"/>
                <w:color w:val="auto"/>
                <w:highlight w:val="none"/>
                <w:lang w:eastAsia="zh-CN"/>
              </w:rPr>
              <w:t>废润滑油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项目</w:t>
            </w:r>
            <w:r>
              <w:rPr>
                <w:rFonts w:hint="default" w:ascii="Times New Roman" w:hAnsi="Times New Roman" w:eastAsia="宋体" w:cs="Times New Roman"/>
                <w:color w:val="auto"/>
                <w:kern w:val="2"/>
                <w:sz w:val="21"/>
                <w:szCs w:val="24"/>
                <w:highlight w:val="none"/>
                <w:lang w:val="en-US" w:eastAsia="zh-CN" w:bidi="ar-SA"/>
              </w:rPr>
              <w:t>生产所用对辊机</w:t>
            </w:r>
            <w:r>
              <w:rPr>
                <w:rFonts w:hint="eastAsia" w:cs="Times New Roman"/>
                <w:color w:val="auto"/>
                <w:kern w:val="2"/>
                <w:sz w:val="21"/>
                <w:szCs w:val="24"/>
                <w:highlight w:val="none"/>
                <w:lang w:val="en-US" w:eastAsia="zh-CN" w:bidi="ar-SA"/>
              </w:rPr>
              <w:t>、分切机、注液机、包装机</w:t>
            </w:r>
            <w:r>
              <w:rPr>
                <w:rFonts w:hint="default" w:ascii="Times New Roman" w:hAnsi="Times New Roman" w:eastAsia="宋体" w:cs="Times New Roman"/>
                <w:color w:val="auto"/>
                <w:kern w:val="2"/>
                <w:sz w:val="21"/>
                <w:szCs w:val="24"/>
                <w:highlight w:val="none"/>
                <w:lang w:val="en-US" w:eastAsia="zh-CN" w:bidi="ar-SA"/>
              </w:rPr>
              <w:t>等</w:t>
            </w:r>
            <w:r>
              <w:rPr>
                <w:rFonts w:hint="default" w:ascii="Times New Roman" w:hAnsi="Times New Roman" w:cs="Times New Roman"/>
                <w:color w:val="auto"/>
                <w:kern w:val="2"/>
                <w:sz w:val="21"/>
                <w:szCs w:val="24"/>
                <w:highlight w:val="none"/>
                <w:lang w:val="en-US" w:eastAsia="zh-CN" w:bidi="ar-SA"/>
              </w:rPr>
              <w:t>机械</w:t>
            </w:r>
            <w:r>
              <w:rPr>
                <w:rFonts w:hint="default" w:ascii="Times New Roman" w:hAnsi="Times New Roman" w:eastAsia="宋体" w:cs="Times New Roman"/>
                <w:color w:val="auto"/>
                <w:kern w:val="2"/>
                <w:sz w:val="21"/>
                <w:szCs w:val="24"/>
                <w:highlight w:val="none"/>
                <w:lang w:val="en-US" w:eastAsia="zh-CN" w:bidi="ar-SA"/>
              </w:rPr>
              <w:t>设备检修维护过程会更换出设备内</w:t>
            </w:r>
            <w:r>
              <w:rPr>
                <w:rFonts w:hint="default" w:ascii="Times New Roman" w:hAnsi="Times New Roman" w:cs="Times New Roman"/>
                <w:color w:val="auto"/>
                <w:kern w:val="2"/>
                <w:sz w:val="21"/>
                <w:szCs w:val="24"/>
                <w:highlight w:val="none"/>
                <w:lang w:val="en-US" w:eastAsia="zh-CN" w:bidi="ar-SA"/>
              </w:rPr>
              <w:t>润滑油系统内</w:t>
            </w:r>
            <w:r>
              <w:rPr>
                <w:rFonts w:hint="default" w:ascii="Times New Roman" w:hAnsi="Times New Roman" w:eastAsia="宋体" w:cs="Times New Roman"/>
                <w:color w:val="auto"/>
                <w:kern w:val="2"/>
                <w:sz w:val="21"/>
                <w:szCs w:val="24"/>
                <w:highlight w:val="none"/>
                <w:lang w:val="en-US" w:eastAsia="zh-CN" w:bidi="ar-SA"/>
              </w:rPr>
              <w:t>部分润滑油，根据企业提供资料，</w:t>
            </w:r>
            <w:r>
              <w:rPr>
                <w:rFonts w:hint="default" w:ascii="Times New Roman" w:hAnsi="Times New Roman" w:cs="Times New Roman"/>
                <w:color w:val="auto"/>
                <w:kern w:val="2"/>
                <w:sz w:val="21"/>
                <w:szCs w:val="24"/>
                <w:highlight w:val="none"/>
                <w:lang w:val="en-US" w:eastAsia="zh-CN" w:bidi="ar-SA"/>
              </w:rPr>
              <w:t>项目生产设备约每半年进行一次维护，期间</w:t>
            </w:r>
            <w:r>
              <w:rPr>
                <w:rFonts w:hint="default" w:ascii="Times New Roman" w:hAnsi="Times New Roman" w:eastAsia="宋体" w:cs="Times New Roman"/>
                <w:color w:val="auto"/>
                <w:kern w:val="2"/>
                <w:sz w:val="21"/>
                <w:szCs w:val="24"/>
                <w:highlight w:val="none"/>
                <w:lang w:val="en-US" w:eastAsia="zh-CN" w:bidi="ar-SA"/>
              </w:rPr>
              <w:t>清理的废润滑油量约为</w:t>
            </w:r>
            <w:r>
              <w:rPr>
                <w:rFonts w:hint="default" w:ascii="Times New Roman" w:hAnsi="Times New Roman" w:cs="Times New Roman"/>
                <w:color w:val="auto"/>
                <w:kern w:val="2"/>
                <w:sz w:val="21"/>
                <w:szCs w:val="24"/>
                <w:highlight w:val="none"/>
                <w:lang w:val="en-US" w:eastAsia="zh-CN" w:bidi="ar-SA"/>
              </w:rPr>
              <w:t>0.2</w:t>
            </w:r>
            <w:r>
              <w:rPr>
                <w:rFonts w:hint="default" w:ascii="Times New Roman" w:hAnsi="Times New Roman" w:eastAsia="宋体" w:cs="Times New Roman"/>
                <w:color w:val="auto"/>
                <w:kern w:val="2"/>
                <w:sz w:val="21"/>
                <w:szCs w:val="24"/>
                <w:highlight w:val="none"/>
                <w:lang w:val="en-US" w:eastAsia="zh-CN" w:bidi="ar-SA"/>
              </w:rPr>
              <w:t>t/a</w:t>
            </w:r>
            <w:r>
              <w:rPr>
                <w:rFonts w:hint="default" w:ascii="Times New Roman" w:hAnsi="Times New Roman" w:cs="Times New Roman"/>
                <w:color w:val="auto"/>
                <w:kern w:val="2"/>
                <w:sz w:val="21"/>
                <w:szCs w:val="24"/>
                <w:highlight w:val="none"/>
                <w:lang w:val="en-US" w:eastAsia="zh-CN" w:bidi="ar-SA"/>
              </w:rPr>
              <w:t>。</w:t>
            </w:r>
            <w:r>
              <w:rPr>
                <w:rFonts w:hint="default" w:ascii="Times New Roman" w:hAnsi="Times New Roman" w:cs="Times New Roman"/>
                <w:color w:val="auto"/>
                <w:highlight w:val="none"/>
                <w:lang w:val="en-US" w:eastAsia="zh-CN"/>
              </w:rPr>
              <w:t>根据</w:t>
            </w:r>
            <w:r>
              <w:rPr>
                <w:rFonts w:hint="default" w:ascii="Times New Roman" w:hAnsi="Times New Roman" w:cs="Times New Roman"/>
                <w:bCs/>
                <w:color w:val="auto"/>
                <w:kern w:val="0"/>
                <w:sz w:val="21"/>
                <w:szCs w:val="21"/>
                <w:highlight w:val="none"/>
                <w:lang w:eastAsia="zh-CN"/>
              </w:rPr>
              <w:t>《国家危险废物名录》（</w:t>
            </w:r>
            <w:r>
              <w:rPr>
                <w:rFonts w:hint="default" w:ascii="Times New Roman" w:hAnsi="Times New Roman" w:cs="Times New Roman"/>
                <w:bCs/>
                <w:color w:val="auto"/>
                <w:kern w:val="0"/>
                <w:sz w:val="21"/>
                <w:szCs w:val="21"/>
                <w:highlight w:val="none"/>
                <w:lang w:val="en-US" w:eastAsia="zh-CN"/>
              </w:rPr>
              <w:t>2021</w:t>
            </w:r>
            <w:r>
              <w:rPr>
                <w:rFonts w:hint="default" w:ascii="Times New Roman" w:hAnsi="Times New Roman" w:cs="Times New Roman"/>
                <w:bCs/>
                <w:color w:val="auto"/>
                <w:kern w:val="0"/>
                <w:sz w:val="21"/>
                <w:szCs w:val="21"/>
                <w:highlight w:val="none"/>
                <w:lang w:eastAsia="zh-CN"/>
              </w:rPr>
              <w:t>年版）可知，废润滑油属于危险废物，废物类别HW</w:t>
            </w:r>
            <w:r>
              <w:rPr>
                <w:rFonts w:hint="default" w:ascii="Times New Roman" w:hAnsi="Times New Roman" w:cs="Times New Roman"/>
                <w:bCs/>
                <w:color w:val="auto"/>
                <w:kern w:val="0"/>
                <w:sz w:val="21"/>
                <w:szCs w:val="21"/>
                <w:highlight w:val="none"/>
                <w:lang w:val="en-US" w:eastAsia="zh-CN"/>
              </w:rPr>
              <w:t>08</w:t>
            </w:r>
            <w:r>
              <w:rPr>
                <w:rFonts w:hint="eastAsia" w:ascii="Times New Roman" w:hAnsi="Times New Roman" w:cs="Times New Roman"/>
                <w:bCs/>
                <w:color w:val="auto"/>
                <w:kern w:val="0"/>
                <w:sz w:val="21"/>
                <w:szCs w:val="21"/>
                <w:highlight w:val="none"/>
                <w:lang w:val="en-US" w:eastAsia="zh-CN"/>
              </w:rPr>
              <w:t>，废物</w:t>
            </w:r>
            <w:r>
              <w:rPr>
                <w:rFonts w:hint="default" w:ascii="Times New Roman" w:hAnsi="Times New Roman" w:cs="Times New Roman"/>
                <w:bCs/>
                <w:color w:val="auto"/>
                <w:kern w:val="0"/>
                <w:sz w:val="21"/>
                <w:szCs w:val="21"/>
                <w:highlight w:val="none"/>
                <w:lang w:eastAsia="zh-CN"/>
              </w:rPr>
              <w:t>代码为900-</w:t>
            </w:r>
            <w:r>
              <w:rPr>
                <w:rFonts w:hint="default" w:ascii="Times New Roman" w:hAnsi="Times New Roman" w:cs="Times New Roman"/>
                <w:bCs/>
                <w:color w:val="auto"/>
                <w:kern w:val="0"/>
                <w:sz w:val="21"/>
                <w:szCs w:val="21"/>
                <w:highlight w:val="none"/>
                <w:lang w:val="en-US" w:eastAsia="zh-CN"/>
              </w:rPr>
              <w:t>2</w:t>
            </w:r>
            <w:r>
              <w:rPr>
                <w:rFonts w:hint="default" w:ascii="Times New Roman" w:hAnsi="Times New Roman" w:cs="Times New Roman"/>
                <w:bCs/>
                <w:color w:val="auto"/>
                <w:kern w:val="0"/>
                <w:sz w:val="21"/>
                <w:szCs w:val="21"/>
                <w:highlight w:val="none"/>
                <w:lang w:eastAsia="zh-CN"/>
              </w:rPr>
              <w:t>1</w:t>
            </w:r>
            <w:r>
              <w:rPr>
                <w:rFonts w:hint="default" w:ascii="Times New Roman" w:hAnsi="Times New Roman" w:cs="Times New Roman"/>
                <w:bCs/>
                <w:color w:val="auto"/>
                <w:kern w:val="0"/>
                <w:sz w:val="21"/>
                <w:szCs w:val="21"/>
                <w:highlight w:val="none"/>
                <w:lang w:val="en-US" w:eastAsia="zh-CN"/>
              </w:rPr>
              <w:t>7</w:t>
            </w:r>
            <w:r>
              <w:rPr>
                <w:rFonts w:hint="default" w:ascii="Times New Roman" w:hAnsi="Times New Roman" w:cs="Times New Roman"/>
                <w:bCs/>
                <w:color w:val="auto"/>
                <w:kern w:val="0"/>
                <w:sz w:val="21"/>
                <w:szCs w:val="21"/>
                <w:highlight w:val="none"/>
                <w:lang w:eastAsia="zh-CN"/>
              </w:rPr>
              <w:t>-0</w:t>
            </w:r>
            <w:r>
              <w:rPr>
                <w:rFonts w:hint="default" w:ascii="Times New Roman" w:hAnsi="Times New Roman" w:cs="Times New Roman"/>
                <w:bCs/>
                <w:color w:val="auto"/>
                <w:kern w:val="0"/>
                <w:sz w:val="21"/>
                <w:szCs w:val="21"/>
                <w:highlight w:val="none"/>
                <w:lang w:val="en-US" w:eastAsia="zh-CN"/>
              </w:rPr>
              <w:t>8</w:t>
            </w:r>
            <w:r>
              <w:rPr>
                <w:rFonts w:hint="default" w:ascii="Times New Roman" w:hAnsi="Times New Roman" w:cs="Times New Roman"/>
                <w:bCs/>
                <w:color w:val="auto"/>
                <w:kern w:val="0"/>
                <w:sz w:val="21"/>
                <w:szCs w:val="21"/>
                <w:highlight w:val="none"/>
                <w:lang w:eastAsia="zh-CN"/>
              </w:rPr>
              <w:t>，通过密闭容器收集后于企业在车间</w:t>
            </w:r>
            <w:r>
              <w:rPr>
                <w:rFonts w:hint="eastAsia" w:cs="Times New Roman"/>
                <w:bCs/>
                <w:color w:val="auto"/>
                <w:kern w:val="0"/>
                <w:sz w:val="21"/>
                <w:szCs w:val="21"/>
                <w:highlight w:val="none"/>
                <w:lang w:eastAsia="zh-CN"/>
              </w:rPr>
              <w:t>内</w:t>
            </w:r>
            <w:r>
              <w:rPr>
                <w:rFonts w:hint="default" w:ascii="Times New Roman" w:hAnsi="Times New Roman" w:cs="Times New Roman"/>
                <w:bCs/>
                <w:color w:val="auto"/>
                <w:kern w:val="0"/>
                <w:sz w:val="21"/>
                <w:szCs w:val="21"/>
                <w:highlight w:val="none"/>
                <w:lang w:eastAsia="zh-CN"/>
              </w:rPr>
              <w:t>设置1间危险固废暂存间暂存，定期委托有组织的危险废物处置单位进行处理。</w:t>
            </w:r>
          </w:p>
          <w:p>
            <w:pPr>
              <w:pStyle w:val="2"/>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eastAsia="zh-CN"/>
              </w:rPr>
              <w:t>废</w:t>
            </w:r>
            <w:r>
              <w:rPr>
                <w:rFonts w:hint="default" w:ascii="Times New Roman" w:hAnsi="Times New Roman" w:eastAsia="宋体" w:cs="Times New Roman"/>
                <w:color w:val="auto"/>
                <w:highlight w:val="none"/>
                <w:lang w:val="en-US" w:eastAsia="zh-CN"/>
              </w:rPr>
              <w:t>UV灯管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w:t>
            </w:r>
            <w:r>
              <w:rPr>
                <w:rFonts w:hint="default" w:ascii="Times New Roman" w:hAnsi="Times New Roman" w:cs="Times New Roman"/>
                <w:bCs/>
                <w:color w:val="auto"/>
                <w:kern w:val="0"/>
                <w:sz w:val="21"/>
                <w:szCs w:val="21"/>
                <w:highlight w:val="none"/>
                <w:lang w:eastAsia="zh-CN"/>
              </w:rPr>
              <w:t>采用的废气治理设施中“UV光催化氧化”设备需要定期更换光氧灯管</w:t>
            </w:r>
            <w:r>
              <w:rPr>
                <w:rFonts w:hint="eastAsia" w:cs="Times New Roman"/>
                <w:bCs/>
                <w:color w:val="auto"/>
                <w:kern w:val="0"/>
                <w:sz w:val="21"/>
                <w:szCs w:val="21"/>
                <w:highlight w:val="none"/>
                <w:lang w:eastAsia="zh-CN"/>
              </w:rPr>
              <w:t>，根据企业提供资料，</w:t>
            </w:r>
            <w:r>
              <w:rPr>
                <w:rFonts w:hint="default" w:ascii="Times New Roman" w:hAnsi="Times New Roman" w:cs="Times New Roman"/>
                <w:bCs/>
                <w:color w:val="auto"/>
                <w:kern w:val="0"/>
                <w:sz w:val="21"/>
                <w:szCs w:val="21"/>
                <w:highlight w:val="none"/>
                <w:lang w:eastAsia="zh-CN"/>
              </w:rPr>
              <w:t>项目UV灯管使用寿命为一年，灯管重量约为200g/根</w:t>
            </w:r>
            <w:r>
              <w:rPr>
                <w:rFonts w:hint="eastAsia" w:cs="Times New Roman"/>
                <w:bCs/>
                <w:color w:val="auto"/>
                <w:kern w:val="0"/>
                <w:sz w:val="21"/>
                <w:szCs w:val="21"/>
                <w:highlight w:val="none"/>
                <w:lang w:eastAsia="zh-CN"/>
              </w:rPr>
              <w:t>，</w:t>
            </w:r>
            <w:r>
              <w:rPr>
                <w:rFonts w:hint="default" w:ascii="Times New Roman" w:hAnsi="Times New Roman" w:cs="Times New Roman"/>
                <w:bCs/>
                <w:color w:val="auto"/>
                <w:kern w:val="0"/>
                <w:sz w:val="21"/>
                <w:szCs w:val="21"/>
                <w:highlight w:val="none"/>
                <w:lang w:eastAsia="zh-CN"/>
              </w:rPr>
              <w:t>项目UV光催化氧化装置每次更换量为</w:t>
            </w:r>
            <w:r>
              <w:rPr>
                <w:rFonts w:hint="eastAsia" w:cs="Times New Roman"/>
                <w:bCs/>
                <w:color w:val="auto"/>
                <w:kern w:val="0"/>
                <w:sz w:val="21"/>
                <w:szCs w:val="21"/>
                <w:highlight w:val="none"/>
                <w:lang w:val="en-US" w:eastAsia="zh-CN"/>
              </w:rPr>
              <w:t>40</w:t>
            </w:r>
            <w:r>
              <w:rPr>
                <w:rFonts w:hint="default" w:ascii="Times New Roman" w:hAnsi="Times New Roman" w:cs="Times New Roman"/>
                <w:bCs/>
                <w:color w:val="auto"/>
                <w:kern w:val="0"/>
                <w:sz w:val="21"/>
                <w:szCs w:val="21"/>
                <w:highlight w:val="none"/>
                <w:lang w:eastAsia="zh-CN"/>
              </w:rPr>
              <w:t>根，产生量为</w:t>
            </w:r>
            <w:r>
              <w:rPr>
                <w:rFonts w:hint="eastAsia" w:cs="Times New Roman"/>
                <w:bCs/>
                <w:color w:val="auto"/>
                <w:kern w:val="0"/>
                <w:sz w:val="21"/>
                <w:szCs w:val="21"/>
                <w:highlight w:val="none"/>
                <w:lang w:val="en-US" w:eastAsia="zh-CN"/>
              </w:rPr>
              <w:t>0.008</w:t>
            </w:r>
            <w:r>
              <w:rPr>
                <w:rFonts w:hint="default" w:ascii="Times New Roman" w:hAnsi="Times New Roman" w:cs="Times New Roman"/>
                <w:bCs/>
                <w:color w:val="auto"/>
                <w:kern w:val="0"/>
                <w:sz w:val="21"/>
                <w:szCs w:val="21"/>
                <w:highlight w:val="none"/>
                <w:lang w:eastAsia="zh-CN"/>
              </w:rPr>
              <w:t>t/a。根据《国家危险废物名录》（</w:t>
            </w:r>
            <w:r>
              <w:rPr>
                <w:rFonts w:hint="default" w:ascii="Times New Roman" w:hAnsi="Times New Roman" w:cs="Times New Roman"/>
                <w:bCs/>
                <w:color w:val="auto"/>
                <w:kern w:val="0"/>
                <w:sz w:val="21"/>
                <w:szCs w:val="21"/>
                <w:highlight w:val="none"/>
                <w:lang w:val="en-US" w:eastAsia="zh-CN"/>
              </w:rPr>
              <w:t>2021年版</w:t>
            </w:r>
            <w:r>
              <w:rPr>
                <w:rFonts w:hint="default" w:ascii="Times New Roman" w:hAnsi="Times New Roman" w:cs="Times New Roman"/>
                <w:bCs/>
                <w:color w:val="auto"/>
                <w:kern w:val="0"/>
                <w:sz w:val="21"/>
                <w:szCs w:val="21"/>
                <w:highlight w:val="none"/>
                <w:lang w:eastAsia="zh-CN"/>
              </w:rPr>
              <w:t>）可知，废UV灯管属于危险废物，废物类别HW29</w:t>
            </w:r>
            <w:r>
              <w:rPr>
                <w:rFonts w:hint="eastAsia" w:ascii="Times New Roman" w:hAnsi="Times New Roman" w:cs="Times New Roman"/>
                <w:bCs/>
                <w:color w:val="auto"/>
                <w:kern w:val="0"/>
                <w:sz w:val="21"/>
                <w:szCs w:val="21"/>
                <w:highlight w:val="none"/>
                <w:lang w:eastAsia="zh-CN"/>
              </w:rPr>
              <w:t>，废物</w:t>
            </w:r>
            <w:r>
              <w:rPr>
                <w:rFonts w:hint="default" w:ascii="Times New Roman" w:hAnsi="Times New Roman" w:cs="Times New Roman"/>
                <w:bCs/>
                <w:color w:val="auto"/>
                <w:kern w:val="0"/>
                <w:sz w:val="21"/>
                <w:szCs w:val="21"/>
                <w:highlight w:val="none"/>
                <w:lang w:eastAsia="zh-CN"/>
              </w:rPr>
              <w:t>代码为</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cs="Times New Roman"/>
                <w:bCs/>
                <w:color w:val="auto"/>
                <w:kern w:val="0"/>
                <w:sz w:val="21"/>
                <w:szCs w:val="21"/>
                <w:highlight w:val="none"/>
                <w:lang w:eastAsia="zh-CN"/>
              </w:rPr>
              <w:t>900-023-29，通过企业在车间外设置1间危险固废暂存间暂存，定期委托有组织的危险废物处置单位进行处理。</w:t>
            </w:r>
          </w:p>
          <w:p>
            <w:pPr>
              <w:pStyle w:val="2"/>
              <w:bidi w:val="0"/>
              <w:rPr>
                <w:rFonts w:hint="default" w:ascii="Times New Roman" w:hAnsi="Times New Roman" w:cs="Times New Roman"/>
                <w:color w:val="auto"/>
                <w:highlight w:val="none"/>
                <w:lang w:val="de-DE" w:eastAsia="zh-CN"/>
              </w:rPr>
            </w:pPr>
            <w:r>
              <w:rPr>
                <w:rFonts w:hint="eastAsia" w:cs="Times New Roman"/>
                <w:b/>
                <w:bCs/>
                <w:color w:val="auto"/>
                <w:kern w:val="0"/>
                <w:sz w:val="21"/>
                <w:szCs w:val="21"/>
                <w:highlight w:val="none"/>
                <w:lang w:val="de-DE" w:eastAsia="zh-CN"/>
              </w:rPr>
              <w:t>（</w:t>
            </w:r>
            <w:r>
              <w:rPr>
                <w:rFonts w:hint="eastAsia" w:cs="Times New Roman"/>
                <w:b/>
                <w:bCs/>
                <w:color w:val="auto"/>
                <w:kern w:val="0"/>
                <w:sz w:val="21"/>
                <w:szCs w:val="21"/>
                <w:highlight w:val="none"/>
                <w:lang w:val="en-US" w:eastAsia="zh-CN"/>
              </w:rPr>
              <w:t>3</w:t>
            </w:r>
            <w:r>
              <w:rPr>
                <w:rFonts w:hint="eastAsia" w:cs="Times New Roman"/>
                <w:b/>
                <w:bCs/>
                <w:color w:val="auto"/>
                <w:kern w:val="0"/>
                <w:sz w:val="21"/>
                <w:szCs w:val="21"/>
                <w:highlight w:val="none"/>
                <w:lang w:val="de-DE" w:eastAsia="zh-CN"/>
              </w:rPr>
              <w:t>）</w:t>
            </w:r>
            <w:r>
              <w:rPr>
                <w:rFonts w:hint="default" w:ascii="Times New Roman" w:hAnsi="Times New Roman" w:cs="Times New Roman"/>
                <w:color w:val="auto"/>
                <w:highlight w:val="none"/>
                <w:lang w:val="de-DE" w:eastAsia="zh-CN"/>
              </w:rPr>
              <w:t>废活性炭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cs="Times New Roman"/>
                <w:bCs/>
                <w:color w:val="auto"/>
                <w:kern w:val="0"/>
                <w:sz w:val="21"/>
                <w:szCs w:val="21"/>
                <w:highlight w:val="none"/>
                <w:lang w:eastAsia="zh-CN"/>
              </w:rPr>
            </w:pPr>
            <w:r>
              <w:rPr>
                <w:rFonts w:hint="default" w:ascii="Times New Roman" w:hAnsi="Times New Roman" w:cs="Times New Roman"/>
                <w:bCs/>
                <w:color w:val="auto"/>
                <w:kern w:val="0"/>
                <w:sz w:val="21"/>
                <w:szCs w:val="21"/>
                <w:highlight w:val="none"/>
                <w:lang w:eastAsia="zh-CN"/>
              </w:rPr>
              <w:t>项目</w:t>
            </w:r>
            <w:r>
              <w:rPr>
                <w:rFonts w:hint="eastAsia" w:ascii="Times New Roman" w:hAnsi="Times New Roman" w:cs="Times New Roman"/>
                <w:bCs/>
                <w:color w:val="auto"/>
                <w:kern w:val="0"/>
                <w:sz w:val="21"/>
                <w:szCs w:val="21"/>
                <w:highlight w:val="none"/>
                <w:lang w:eastAsia="zh-CN"/>
              </w:rPr>
              <w:t>废气治理设施中活性炭吸附工艺采用活性炭吸附箱，</w:t>
            </w:r>
            <w:r>
              <w:rPr>
                <w:rFonts w:hint="default" w:ascii="Times New Roman" w:hAnsi="Times New Roman" w:cs="Times New Roman"/>
                <w:bCs/>
                <w:color w:val="auto"/>
                <w:kern w:val="0"/>
                <w:sz w:val="21"/>
                <w:szCs w:val="21"/>
                <w:highlight w:val="none"/>
                <w:lang w:eastAsia="zh-CN"/>
              </w:rPr>
              <w:t>设计总容量为</w:t>
            </w:r>
            <w:r>
              <w:rPr>
                <w:rFonts w:hint="eastAsia" w:cs="Times New Roman"/>
                <w:bCs/>
                <w:color w:val="auto"/>
                <w:kern w:val="0"/>
                <w:sz w:val="21"/>
                <w:szCs w:val="21"/>
                <w:highlight w:val="none"/>
                <w:lang w:val="en-US" w:eastAsia="zh-CN"/>
              </w:rPr>
              <w:t>1</w:t>
            </w:r>
            <w:r>
              <w:rPr>
                <w:rFonts w:hint="default" w:ascii="Times New Roman" w:hAnsi="Times New Roman" w:cs="Times New Roman"/>
                <w:bCs/>
                <w:color w:val="auto"/>
                <w:kern w:val="0"/>
                <w:sz w:val="21"/>
                <w:szCs w:val="21"/>
                <w:highlight w:val="none"/>
                <w:lang w:eastAsia="zh-CN"/>
              </w:rPr>
              <w:t>m</w:t>
            </w:r>
            <w:r>
              <w:rPr>
                <w:rFonts w:hint="default" w:ascii="Times New Roman" w:hAnsi="Times New Roman" w:cs="Times New Roman"/>
                <w:bCs/>
                <w:color w:val="auto"/>
                <w:kern w:val="0"/>
                <w:sz w:val="21"/>
                <w:szCs w:val="21"/>
                <w:highlight w:val="none"/>
                <w:vertAlign w:val="superscript"/>
                <w:lang w:eastAsia="zh-CN"/>
              </w:rPr>
              <w:t>3</w:t>
            </w:r>
            <w:r>
              <w:rPr>
                <w:rFonts w:hint="eastAsia" w:ascii="Times New Roman" w:hAnsi="Times New Roman" w:cs="Times New Roman"/>
                <w:bCs/>
                <w:color w:val="auto"/>
                <w:kern w:val="0"/>
                <w:sz w:val="21"/>
                <w:szCs w:val="21"/>
                <w:highlight w:val="none"/>
                <w:lang w:eastAsia="zh-CN"/>
              </w:rPr>
              <w:t>，</w:t>
            </w:r>
            <w:r>
              <w:rPr>
                <w:rFonts w:hint="default" w:ascii="Times New Roman" w:hAnsi="Times New Roman" w:cs="Times New Roman"/>
                <w:bCs/>
                <w:color w:val="auto"/>
                <w:kern w:val="0"/>
                <w:sz w:val="21"/>
                <w:szCs w:val="21"/>
                <w:highlight w:val="none"/>
                <w:lang w:eastAsia="zh-CN"/>
              </w:rPr>
              <w:t>一般活性炭的填装量为600-850kg/m</w:t>
            </w:r>
            <w:r>
              <w:rPr>
                <w:rFonts w:hint="default" w:ascii="Times New Roman" w:hAnsi="Times New Roman" w:cs="Times New Roman"/>
                <w:bCs/>
                <w:color w:val="auto"/>
                <w:kern w:val="0"/>
                <w:sz w:val="21"/>
                <w:szCs w:val="21"/>
                <w:highlight w:val="none"/>
                <w:vertAlign w:val="superscript"/>
                <w:lang w:eastAsia="zh-CN"/>
              </w:rPr>
              <w:t>3</w:t>
            </w:r>
            <w:r>
              <w:rPr>
                <w:rFonts w:hint="default" w:ascii="Times New Roman" w:hAnsi="Times New Roman" w:cs="Times New Roman"/>
                <w:bCs/>
                <w:color w:val="auto"/>
                <w:kern w:val="0"/>
                <w:sz w:val="21"/>
                <w:szCs w:val="21"/>
                <w:highlight w:val="none"/>
                <w:lang w:eastAsia="zh-CN"/>
              </w:rPr>
              <w:t>，本次评价以750kg/m</w:t>
            </w:r>
            <w:r>
              <w:rPr>
                <w:rFonts w:hint="default" w:ascii="Times New Roman" w:hAnsi="Times New Roman" w:cs="Times New Roman"/>
                <w:bCs/>
                <w:color w:val="auto"/>
                <w:kern w:val="0"/>
                <w:sz w:val="21"/>
                <w:szCs w:val="21"/>
                <w:highlight w:val="none"/>
                <w:vertAlign w:val="superscript"/>
                <w:lang w:eastAsia="zh-CN"/>
              </w:rPr>
              <w:t>3</w:t>
            </w:r>
            <w:r>
              <w:rPr>
                <w:rFonts w:hint="default" w:ascii="Times New Roman" w:hAnsi="Times New Roman" w:cs="Times New Roman"/>
                <w:bCs/>
                <w:color w:val="auto"/>
                <w:kern w:val="0"/>
                <w:sz w:val="21"/>
                <w:szCs w:val="21"/>
                <w:highlight w:val="none"/>
                <w:lang w:eastAsia="zh-CN"/>
              </w:rPr>
              <w:t>计，则活性炭的装机量为</w:t>
            </w:r>
            <w:r>
              <w:rPr>
                <w:rFonts w:hint="eastAsia" w:cs="Times New Roman"/>
                <w:bCs/>
                <w:color w:val="auto"/>
                <w:kern w:val="0"/>
                <w:sz w:val="21"/>
                <w:szCs w:val="21"/>
                <w:highlight w:val="none"/>
                <w:lang w:val="en-US" w:eastAsia="zh-CN"/>
              </w:rPr>
              <w:t>750kg</w:t>
            </w:r>
            <w:r>
              <w:rPr>
                <w:rFonts w:hint="default" w:ascii="Times New Roman" w:hAnsi="Times New Roman" w:cs="Times New Roman"/>
                <w:bCs/>
                <w:color w:val="auto"/>
                <w:kern w:val="0"/>
                <w:sz w:val="21"/>
                <w:szCs w:val="21"/>
                <w:highlight w:val="none"/>
                <w:lang w:eastAsia="zh-CN"/>
              </w:rPr>
              <w:t>，</w:t>
            </w:r>
            <w:r>
              <w:rPr>
                <w:rFonts w:hint="eastAsia" w:cs="Times New Roman"/>
                <w:bCs/>
                <w:color w:val="auto"/>
                <w:kern w:val="0"/>
                <w:sz w:val="21"/>
                <w:szCs w:val="21"/>
                <w:highlight w:val="none"/>
                <w:lang w:eastAsia="zh-CN"/>
              </w:rPr>
              <w:t>按照《吸附法工业有机废气治理工程技术规范》（HJ2026-2013）中</w:t>
            </w:r>
            <w:r>
              <w:rPr>
                <w:rFonts w:hint="eastAsia" w:cs="Times New Roman"/>
                <w:bCs/>
                <w:color w:val="auto"/>
                <w:kern w:val="0"/>
                <w:sz w:val="21"/>
                <w:szCs w:val="21"/>
                <w:highlight w:val="none"/>
                <w:lang w:val="en-US" w:eastAsia="zh-CN"/>
              </w:rPr>
              <w:t>6.3.3.5</w:t>
            </w:r>
            <w:r>
              <w:rPr>
                <w:rFonts w:hint="eastAsia" w:cs="Times New Roman"/>
                <w:bCs/>
                <w:color w:val="auto"/>
                <w:kern w:val="0"/>
                <w:sz w:val="21"/>
                <w:szCs w:val="21"/>
                <w:highlight w:val="none"/>
                <w:lang w:eastAsia="zh-CN"/>
              </w:rPr>
              <w:t>要求，“对于一次性吸附工艺，当排气浓度不能满足设计或排放要求时应更换吸附剂”，参考《挥发性有机物治理实用手册（第二版）》（生态环境部大气环境司</w:t>
            </w:r>
            <w:r>
              <w:rPr>
                <w:rFonts w:hint="eastAsia" w:cs="Times New Roman"/>
                <w:bCs/>
                <w:color w:val="auto"/>
                <w:kern w:val="0"/>
                <w:sz w:val="21"/>
                <w:szCs w:val="21"/>
                <w:highlight w:val="none"/>
                <w:lang w:val="en-US" w:eastAsia="zh-CN"/>
              </w:rPr>
              <w:t xml:space="preserve"> 生态环境部环境规划院 </w:t>
            </w:r>
            <w:r>
              <w:rPr>
                <w:rFonts w:hint="eastAsia" w:cs="Times New Roman"/>
                <w:bCs/>
                <w:color w:val="auto"/>
                <w:kern w:val="0"/>
                <w:sz w:val="21"/>
                <w:szCs w:val="21"/>
                <w:highlight w:val="none"/>
                <w:lang w:eastAsia="zh-CN"/>
              </w:rPr>
              <w:t>编著）中“</w:t>
            </w:r>
            <w:r>
              <w:rPr>
                <w:rFonts w:hint="eastAsia" w:cs="Times New Roman"/>
                <w:bCs/>
                <w:color w:val="auto"/>
                <w:kern w:val="0"/>
                <w:sz w:val="21"/>
                <w:szCs w:val="21"/>
                <w:highlight w:val="none"/>
                <w:lang w:val="en-US" w:eastAsia="zh-CN"/>
              </w:rPr>
              <w:t>P233</w:t>
            </w:r>
            <w:r>
              <w:rPr>
                <w:rFonts w:hint="eastAsia" w:cs="Times New Roman"/>
                <w:bCs/>
                <w:color w:val="auto"/>
                <w:kern w:val="0"/>
                <w:sz w:val="21"/>
                <w:szCs w:val="21"/>
                <w:highlight w:val="none"/>
                <w:lang w:eastAsia="zh-CN"/>
              </w:rPr>
              <w:t>”相关内容，吸附剂使用量应根据废气处理量、污染物浓度和吸附剂的动态吸附量确定；活性炭更换周期（</w:t>
            </w:r>
            <w:r>
              <w:rPr>
                <w:rFonts w:hint="eastAsia" w:cs="Times New Roman"/>
                <w:bCs/>
                <w:color w:val="auto"/>
                <w:kern w:val="0"/>
                <w:sz w:val="21"/>
                <w:szCs w:val="21"/>
                <w:highlight w:val="none"/>
                <w:lang w:val="en-US" w:eastAsia="zh-CN"/>
              </w:rPr>
              <w:t>T，单位：d</w:t>
            </w:r>
            <w:r>
              <w:rPr>
                <w:rFonts w:hint="eastAsia" w:cs="Times New Roman"/>
                <w:bCs/>
                <w:color w:val="auto"/>
                <w:kern w:val="0"/>
                <w:sz w:val="21"/>
                <w:szCs w:val="21"/>
                <w:highlight w:val="none"/>
                <w:lang w:eastAsia="zh-CN"/>
              </w:rPr>
              <w:t>）计算法方法如下：</w:t>
            </w:r>
          </w:p>
          <w:p>
            <w:pPr>
              <w:pStyle w:val="9"/>
              <w:keepNext w:val="0"/>
              <w:keepLines w:val="0"/>
              <w:pageBreakBefore w:val="0"/>
              <w:widowControl w:val="0"/>
              <w:kinsoku/>
              <w:wordWrap/>
              <w:overflowPunct/>
              <w:topLinePunct w:val="0"/>
              <w:autoSpaceDE/>
              <w:autoSpaceDN/>
              <w:bidi w:val="0"/>
              <w:adjustRightInd/>
              <w:snapToGrid/>
              <w:spacing w:after="0"/>
              <w:ind w:left="420" w:leftChars="200"/>
              <w:textAlignment w:val="auto"/>
              <w:rPr>
                <w:rFonts w:hint="default" w:cs="Times New Roman"/>
                <w:bCs/>
                <w:color w:val="auto"/>
                <w:kern w:val="0"/>
                <w:sz w:val="21"/>
                <w:szCs w:val="21"/>
                <w:highlight w:val="none"/>
                <w:lang w:val="en-US" w:eastAsia="zh-CN"/>
              </w:rPr>
            </w:pPr>
            <w:r>
              <w:rPr>
                <w:rFonts w:hint="default" w:cs="Times New Roman"/>
                <w:bCs/>
                <w:color w:val="auto"/>
                <w:kern w:val="0"/>
                <w:position w:val="-28"/>
                <w:sz w:val="21"/>
                <w:szCs w:val="21"/>
                <w:highlight w:val="none"/>
                <w:lang w:val="en-US" w:eastAsia="zh-CN"/>
              </w:rPr>
              <w:object>
                <v:shape id="_x0000_i1028" o:spt="75" alt="" type="#_x0000_t75" style="height:32.35pt;width:86pt;" o:ole="t" filled="f" o:preferrelative="t" stroked="f" coordsize="21600,21600">
                  <v:path/>
                  <v:fill on="f" focussize="0,0"/>
                  <v:stroke on="f"/>
                  <v:imagedata r:id="rId24" o:title=""/>
                  <o:lock v:ext="edit" aspectratio="t"/>
                  <w10:wrap type="none"/>
                  <w10:anchorlock/>
                </v:shape>
                <o:OLEObject Type="Embed" ProgID="Equation.KSEE3" ShapeID="_x0000_i1028" DrawAspect="Content" ObjectID="_1468075728" r:id="rId23">
                  <o:LockedField>false</o:LockedField>
                </o:OLEObject>
              </w:object>
            </w:r>
          </w:p>
          <w:p>
            <w:pPr>
              <w:pStyle w:val="8"/>
              <w:rPr>
                <w:rFonts w:hint="eastAsia" w:cs="Times New Roman"/>
                <w:bCs/>
                <w:color w:val="auto"/>
                <w:kern w:val="0"/>
                <w:sz w:val="21"/>
                <w:szCs w:val="21"/>
                <w:highlight w:val="none"/>
                <w:lang w:val="en-US" w:eastAsia="zh-CN"/>
              </w:rPr>
            </w:pPr>
            <w:r>
              <w:rPr>
                <w:rFonts w:hint="eastAsia" w:cs="Times New Roman"/>
                <w:bCs/>
                <w:color w:val="auto"/>
                <w:kern w:val="0"/>
                <w:sz w:val="21"/>
                <w:szCs w:val="21"/>
                <w:highlight w:val="none"/>
                <w:lang w:eastAsia="zh-CN"/>
              </w:rPr>
              <w:t>式中：</w:t>
            </w:r>
            <w:r>
              <w:rPr>
                <w:rFonts w:hint="eastAsia" w:cs="Times New Roman"/>
                <w:bCs/>
                <w:color w:val="auto"/>
                <w:kern w:val="0"/>
                <w:sz w:val="21"/>
                <w:szCs w:val="21"/>
                <w:highlight w:val="none"/>
                <w:lang w:val="en-US" w:eastAsia="zh-CN"/>
              </w:rPr>
              <w:t>M——活性炭质量，kg；</w:t>
            </w:r>
          </w:p>
          <w:p>
            <w:pPr>
              <w:pStyle w:val="7"/>
              <w:keepNext w:val="0"/>
              <w:keepLines w:val="0"/>
              <w:pageBreakBefore w:val="0"/>
              <w:kinsoku/>
              <w:wordWrap/>
              <w:overflowPunct/>
              <w:topLinePunct w:val="0"/>
              <w:autoSpaceDE/>
              <w:autoSpaceDN/>
              <w:bidi w:val="0"/>
              <w:adjustRightInd/>
              <w:snapToGrid/>
              <w:spacing w:line="360" w:lineRule="auto"/>
              <w:ind w:left="420" w:leftChars="200" w:right="0"/>
              <w:textAlignment w:val="auto"/>
              <w:rPr>
                <w:rFonts w:hint="default"/>
                <w:color w:val="auto"/>
                <w:lang w:val="en-US" w:eastAsia="zh-CN"/>
              </w:rPr>
            </w:pPr>
            <w:r>
              <w:rPr>
                <w:rFonts w:hint="eastAsia"/>
                <w:color w:val="auto"/>
                <w:lang w:val="en-US" w:eastAsia="zh-CN"/>
              </w:rPr>
              <w:t>S——平衡保持量，%（非甲烷总烃保持量S平均为15%）；</w:t>
            </w:r>
          </w:p>
          <w:p>
            <w:pPr>
              <w:pStyle w:val="7"/>
              <w:keepNext w:val="0"/>
              <w:keepLines w:val="0"/>
              <w:pageBreakBefore w:val="0"/>
              <w:kinsoku/>
              <w:wordWrap/>
              <w:overflowPunct/>
              <w:topLinePunct w:val="0"/>
              <w:autoSpaceDE/>
              <w:autoSpaceDN/>
              <w:bidi w:val="0"/>
              <w:adjustRightInd/>
              <w:snapToGrid/>
              <w:spacing w:line="360" w:lineRule="auto"/>
              <w:ind w:left="420" w:leftChars="200" w:right="0"/>
              <w:textAlignment w:val="auto"/>
              <w:rPr>
                <w:rFonts w:hint="default"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Q——风量，m</w:t>
            </w:r>
            <w:r>
              <w:rPr>
                <w:rFonts w:hint="eastAsia" w:cs="Times New Roman"/>
                <w:bCs/>
                <w:color w:val="auto"/>
                <w:kern w:val="0"/>
                <w:sz w:val="21"/>
                <w:szCs w:val="21"/>
                <w:highlight w:val="none"/>
                <w:vertAlign w:val="superscript"/>
                <w:lang w:val="en-US" w:eastAsia="zh-CN"/>
              </w:rPr>
              <w:t>3</w:t>
            </w:r>
            <w:r>
              <w:rPr>
                <w:rFonts w:hint="eastAsia" w:cs="Times New Roman"/>
                <w:bCs/>
                <w:color w:val="auto"/>
                <w:kern w:val="0"/>
                <w:sz w:val="21"/>
                <w:szCs w:val="21"/>
                <w:highlight w:val="none"/>
                <w:lang w:val="en-US" w:eastAsia="zh-CN"/>
              </w:rPr>
              <w:t>/h；</w:t>
            </w:r>
          </w:p>
          <w:p>
            <w:pPr>
              <w:pStyle w:val="8"/>
              <w:keepNext w:val="0"/>
              <w:keepLines w:val="0"/>
              <w:pageBreakBefore w:val="0"/>
              <w:kinsoku/>
              <w:wordWrap/>
              <w:overflowPunct/>
              <w:topLinePunct w:val="0"/>
              <w:autoSpaceDE/>
              <w:autoSpaceDN/>
              <w:bidi w:val="0"/>
              <w:adjustRightInd/>
              <w:snapToGrid/>
              <w:spacing w:before="0" w:after="0" w:line="360" w:lineRule="auto"/>
              <w:ind w:left="420" w:leftChars="200" w:right="0"/>
              <w:textAlignment w:val="auto"/>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C——进口VOCs浓度，mg/m</w:t>
            </w:r>
            <w:r>
              <w:rPr>
                <w:rFonts w:hint="eastAsia" w:ascii="Times New Roman" w:hAnsi="Times New Roman" w:eastAsia="宋体" w:cs="Times New Roman"/>
                <w:bCs/>
                <w:color w:val="auto"/>
                <w:kern w:val="0"/>
                <w:sz w:val="21"/>
                <w:szCs w:val="21"/>
                <w:highlight w:val="none"/>
                <w:vertAlign w:val="superscript"/>
                <w:lang w:val="en-US" w:eastAsia="zh-CN"/>
              </w:rPr>
              <w:t>3</w:t>
            </w:r>
            <w:r>
              <w:rPr>
                <w:rFonts w:hint="eastAsia" w:ascii="Times New Roman" w:hAnsi="Times New Roman" w:eastAsia="宋体" w:cs="Times New Roman"/>
                <w:bCs/>
                <w:color w:val="auto"/>
                <w:kern w:val="0"/>
                <w:sz w:val="21"/>
                <w:szCs w:val="21"/>
                <w:highlight w:val="none"/>
                <w:lang w:val="en-US" w:eastAsia="zh-CN"/>
              </w:rPr>
              <w:t>；</w:t>
            </w:r>
          </w:p>
          <w:p>
            <w:pPr>
              <w:pStyle w:val="8"/>
              <w:keepNext w:val="0"/>
              <w:keepLines w:val="0"/>
              <w:pageBreakBefore w:val="0"/>
              <w:kinsoku/>
              <w:wordWrap/>
              <w:overflowPunct/>
              <w:topLinePunct w:val="0"/>
              <w:autoSpaceDE/>
              <w:autoSpaceDN/>
              <w:bidi w:val="0"/>
              <w:adjustRightInd/>
              <w:snapToGrid/>
              <w:spacing w:before="0" w:after="0" w:line="360" w:lineRule="auto"/>
              <w:ind w:left="420" w:leftChars="200" w:right="0"/>
              <w:textAlignment w:val="auto"/>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t——吸附设备每日运行时间，h/d。</w:t>
            </w:r>
          </w:p>
          <w:p>
            <w:pPr>
              <w:pStyle w:val="7"/>
              <w:rPr>
                <w:rFonts w:hint="default" w:ascii="Times New Roman" w:hAnsi="Times New Roman" w:cs="Times New Roman"/>
                <w:bCs/>
                <w:color w:val="auto"/>
                <w:kern w:val="0"/>
                <w:sz w:val="21"/>
                <w:szCs w:val="21"/>
                <w:highlight w:val="none"/>
                <w:lang w:eastAsia="zh-CN"/>
              </w:rPr>
            </w:pPr>
            <w:r>
              <w:rPr>
                <w:rFonts w:hint="eastAsia" w:ascii="Times New Roman" w:hAnsi="Times New Roman" w:eastAsia="宋体" w:cs="Times New Roman"/>
                <w:bCs/>
                <w:color w:val="auto"/>
                <w:kern w:val="0"/>
                <w:sz w:val="21"/>
                <w:szCs w:val="21"/>
                <w:highlight w:val="none"/>
                <w:lang w:val="en-US" w:eastAsia="zh-CN"/>
              </w:rPr>
              <w:t>结合上文可知，项目活性炭质量</w:t>
            </w:r>
            <w:r>
              <w:rPr>
                <w:rFonts w:hint="eastAsia"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M</w:t>
            </w:r>
            <w:r>
              <w:rPr>
                <w:rFonts w:hint="eastAsia"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为</w:t>
            </w:r>
            <w:r>
              <w:rPr>
                <w:rFonts w:hint="eastAsia" w:cs="Times New Roman"/>
                <w:bCs/>
                <w:color w:val="auto"/>
                <w:kern w:val="0"/>
                <w:sz w:val="21"/>
                <w:szCs w:val="21"/>
                <w:highlight w:val="none"/>
                <w:lang w:val="en-US" w:eastAsia="zh-CN"/>
              </w:rPr>
              <w:t>750</w:t>
            </w:r>
            <w:r>
              <w:rPr>
                <w:rFonts w:hint="eastAsia" w:ascii="Times New Roman" w:hAnsi="Times New Roman" w:eastAsia="宋体" w:cs="Times New Roman"/>
                <w:bCs/>
                <w:color w:val="auto"/>
                <w:kern w:val="0"/>
                <w:sz w:val="21"/>
                <w:szCs w:val="21"/>
                <w:highlight w:val="none"/>
                <w:lang w:val="en-US" w:eastAsia="zh-CN"/>
              </w:rPr>
              <w:t>kg</w:t>
            </w:r>
            <w:r>
              <w:rPr>
                <w:rFonts w:hint="eastAsia"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风量</w:t>
            </w:r>
            <w:r>
              <w:rPr>
                <w:rFonts w:hint="eastAsia"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Q</w:t>
            </w:r>
            <w:r>
              <w:rPr>
                <w:rFonts w:hint="eastAsia" w:cs="Times New Roman"/>
                <w:bCs/>
                <w:color w:val="auto"/>
                <w:kern w:val="0"/>
                <w:sz w:val="21"/>
                <w:szCs w:val="21"/>
                <w:highlight w:val="none"/>
                <w:lang w:val="en-US" w:eastAsia="zh-CN"/>
              </w:rPr>
              <w:t>）</w:t>
            </w:r>
            <w:r>
              <w:rPr>
                <w:rFonts w:hint="eastAsia" w:ascii="Times New Roman" w:hAnsi="Times New Roman" w:eastAsia="宋体" w:cs="Times New Roman"/>
                <w:bCs/>
                <w:color w:val="auto"/>
                <w:kern w:val="0"/>
                <w:sz w:val="21"/>
                <w:szCs w:val="21"/>
                <w:highlight w:val="none"/>
                <w:lang w:val="en-US" w:eastAsia="zh-CN"/>
              </w:rPr>
              <w:t>为2000</w:t>
            </w:r>
            <w:r>
              <w:rPr>
                <w:rFonts w:hint="eastAsia" w:cs="Times New Roman"/>
                <w:bCs/>
                <w:color w:val="auto"/>
                <w:kern w:val="0"/>
                <w:sz w:val="21"/>
                <w:szCs w:val="21"/>
                <w:highlight w:val="none"/>
                <w:lang w:val="en-US" w:eastAsia="zh-CN"/>
              </w:rPr>
              <w:t>m</w:t>
            </w:r>
            <w:r>
              <w:rPr>
                <w:rFonts w:hint="eastAsia" w:cs="Times New Roman"/>
                <w:bCs/>
                <w:color w:val="auto"/>
                <w:kern w:val="0"/>
                <w:sz w:val="21"/>
                <w:szCs w:val="21"/>
                <w:highlight w:val="none"/>
                <w:vertAlign w:val="superscript"/>
                <w:lang w:val="en-US" w:eastAsia="zh-CN"/>
              </w:rPr>
              <w:t>3</w:t>
            </w:r>
            <w:r>
              <w:rPr>
                <w:rFonts w:hint="eastAsia" w:cs="Times New Roman"/>
                <w:bCs/>
                <w:color w:val="auto"/>
                <w:kern w:val="0"/>
                <w:sz w:val="21"/>
                <w:szCs w:val="21"/>
                <w:highlight w:val="none"/>
                <w:lang w:val="en-US" w:eastAsia="zh-CN"/>
              </w:rPr>
              <w:t>/h，进口VOCs浓度（C）为41.6</w:t>
            </w:r>
            <w:r>
              <w:rPr>
                <w:rFonts w:hint="eastAsia" w:ascii="Times New Roman" w:hAnsi="Times New Roman" w:eastAsia="宋体" w:cs="Times New Roman"/>
                <w:bCs/>
                <w:color w:val="auto"/>
                <w:kern w:val="0"/>
                <w:sz w:val="21"/>
                <w:szCs w:val="21"/>
                <w:highlight w:val="none"/>
                <w:lang w:val="en-US" w:eastAsia="zh-CN"/>
              </w:rPr>
              <w:t>mg/m</w:t>
            </w:r>
            <w:r>
              <w:rPr>
                <w:rFonts w:hint="eastAsia" w:ascii="Times New Roman" w:hAnsi="Times New Roman" w:eastAsia="宋体" w:cs="Times New Roman"/>
                <w:bCs/>
                <w:color w:val="auto"/>
                <w:kern w:val="0"/>
                <w:sz w:val="21"/>
                <w:szCs w:val="21"/>
                <w:highlight w:val="none"/>
                <w:vertAlign w:val="superscript"/>
                <w:lang w:val="en-US" w:eastAsia="zh-CN"/>
              </w:rPr>
              <w:t>3</w:t>
            </w:r>
            <w:r>
              <w:rPr>
                <w:rFonts w:hint="eastAsia" w:cs="Times New Roman"/>
                <w:bCs/>
                <w:color w:val="auto"/>
                <w:kern w:val="0"/>
                <w:sz w:val="21"/>
                <w:szCs w:val="21"/>
                <w:highlight w:val="none"/>
                <w:vertAlign w:val="baseline"/>
                <w:lang w:val="en-US" w:eastAsia="zh-CN"/>
              </w:rPr>
              <w:t>（废气设施进口浓度为52</w:t>
            </w:r>
            <w:r>
              <w:rPr>
                <w:rFonts w:hint="eastAsia" w:ascii="Times New Roman" w:hAnsi="Times New Roman" w:eastAsia="宋体" w:cs="Times New Roman"/>
                <w:bCs/>
                <w:color w:val="auto"/>
                <w:kern w:val="0"/>
                <w:sz w:val="21"/>
                <w:szCs w:val="21"/>
                <w:highlight w:val="none"/>
                <w:lang w:val="en-US" w:eastAsia="zh-CN"/>
              </w:rPr>
              <w:t>mg/m</w:t>
            </w:r>
            <w:r>
              <w:rPr>
                <w:rFonts w:hint="eastAsia" w:ascii="Times New Roman" w:hAnsi="Times New Roman" w:eastAsia="宋体" w:cs="Times New Roman"/>
                <w:bCs/>
                <w:color w:val="auto"/>
                <w:kern w:val="0"/>
                <w:sz w:val="21"/>
                <w:szCs w:val="21"/>
                <w:highlight w:val="none"/>
                <w:vertAlign w:val="superscript"/>
                <w:lang w:val="en-US" w:eastAsia="zh-CN"/>
              </w:rPr>
              <w:t>3</w:t>
            </w:r>
            <w:r>
              <w:rPr>
                <w:rFonts w:hint="eastAsia" w:cs="Times New Roman"/>
                <w:bCs/>
                <w:color w:val="auto"/>
                <w:kern w:val="0"/>
                <w:sz w:val="21"/>
                <w:szCs w:val="21"/>
                <w:highlight w:val="none"/>
                <w:vertAlign w:val="baseline"/>
                <w:lang w:val="en-US" w:eastAsia="zh-CN"/>
              </w:rPr>
              <w:t>，UV光催化氧化处理效率按20%计算，则进入活性炭吸附箱进口浓度约为41.6</w:t>
            </w:r>
            <w:r>
              <w:rPr>
                <w:rFonts w:hint="eastAsia" w:ascii="Times New Roman" w:hAnsi="Times New Roman" w:eastAsia="宋体" w:cs="Times New Roman"/>
                <w:bCs/>
                <w:color w:val="auto"/>
                <w:kern w:val="0"/>
                <w:sz w:val="21"/>
                <w:szCs w:val="21"/>
                <w:highlight w:val="none"/>
                <w:lang w:val="en-US" w:eastAsia="zh-CN"/>
              </w:rPr>
              <w:t>mg/m</w:t>
            </w:r>
            <w:r>
              <w:rPr>
                <w:rFonts w:hint="eastAsia" w:ascii="Times New Roman" w:hAnsi="Times New Roman" w:eastAsia="宋体" w:cs="Times New Roman"/>
                <w:bCs/>
                <w:color w:val="auto"/>
                <w:kern w:val="0"/>
                <w:sz w:val="21"/>
                <w:szCs w:val="21"/>
                <w:highlight w:val="none"/>
                <w:vertAlign w:val="superscript"/>
                <w:lang w:val="en-US" w:eastAsia="zh-CN"/>
              </w:rPr>
              <w:t>3</w:t>
            </w:r>
            <w:r>
              <w:rPr>
                <w:rFonts w:hint="eastAsia" w:cs="Times New Roman"/>
                <w:bCs/>
                <w:color w:val="auto"/>
                <w:kern w:val="0"/>
                <w:sz w:val="21"/>
                <w:szCs w:val="21"/>
                <w:highlight w:val="none"/>
                <w:vertAlign w:val="baseline"/>
                <w:lang w:val="en-US" w:eastAsia="zh-CN"/>
              </w:rPr>
              <w:t>）</w:t>
            </w:r>
            <w:r>
              <w:rPr>
                <w:rFonts w:hint="eastAsia" w:cs="Times New Roman"/>
                <w:bCs/>
                <w:color w:val="auto"/>
                <w:kern w:val="0"/>
                <w:sz w:val="21"/>
                <w:szCs w:val="21"/>
                <w:highlight w:val="none"/>
                <w:lang w:val="en-US" w:eastAsia="zh-CN"/>
              </w:rPr>
              <w:t>，吸附设备每日运行时间（t）为8</w:t>
            </w:r>
            <w:r>
              <w:rPr>
                <w:rFonts w:hint="eastAsia" w:ascii="Times New Roman" w:hAnsi="Times New Roman" w:eastAsia="宋体" w:cs="Times New Roman"/>
                <w:bCs/>
                <w:color w:val="auto"/>
                <w:kern w:val="0"/>
                <w:sz w:val="21"/>
                <w:szCs w:val="21"/>
                <w:highlight w:val="none"/>
                <w:lang w:val="en-US" w:eastAsia="zh-CN"/>
              </w:rPr>
              <w:t>h/d，经计算项目活性炭更换周期</w:t>
            </w:r>
            <w:r>
              <w:rPr>
                <w:rFonts w:hint="default" w:ascii="Times New Roman" w:hAnsi="Times New Roman" w:cs="Times New Roman"/>
                <w:bCs/>
                <w:color w:val="auto"/>
                <w:kern w:val="0"/>
                <w:sz w:val="21"/>
                <w:szCs w:val="21"/>
                <w:highlight w:val="none"/>
                <w:lang w:val="en-US" w:eastAsia="zh-CN"/>
              </w:rPr>
              <w:t>（T）=750kg×15%×10</w:t>
            </w:r>
            <w:r>
              <w:rPr>
                <w:rFonts w:hint="default" w:ascii="Times New Roman" w:hAnsi="Times New Roman" w:cs="Times New Roman"/>
                <w:bCs/>
                <w:color w:val="auto"/>
                <w:kern w:val="0"/>
                <w:sz w:val="21"/>
                <w:szCs w:val="21"/>
                <w:highlight w:val="none"/>
                <w:vertAlign w:val="superscript"/>
                <w:lang w:val="en-US" w:eastAsia="zh-CN"/>
              </w:rPr>
              <w:t>6</w:t>
            </w:r>
            <w:r>
              <w:rPr>
                <w:rFonts w:hint="default" w:ascii="Times New Roman" w:hAnsi="Times New Roman" w:cs="Times New Roman"/>
                <w:bCs/>
                <w:color w:val="auto"/>
                <w:kern w:val="0"/>
                <w:sz w:val="21"/>
                <w:szCs w:val="21"/>
                <w:highlight w:val="none"/>
                <w:lang w:val="en-US" w:eastAsia="zh-CN"/>
              </w:rPr>
              <w:t>÷（44.2</w:t>
            </w:r>
            <w:r>
              <w:rPr>
                <w:rFonts w:hint="default" w:ascii="Times New Roman" w:hAnsi="Times New Roman" w:eastAsia="宋体" w:cs="Times New Roman"/>
                <w:bCs/>
                <w:color w:val="auto"/>
                <w:kern w:val="0"/>
                <w:sz w:val="21"/>
                <w:szCs w:val="21"/>
                <w:highlight w:val="none"/>
                <w:lang w:val="en-US" w:eastAsia="zh-CN"/>
              </w:rPr>
              <w:t>mg/m</w:t>
            </w:r>
            <w:r>
              <w:rPr>
                <w:rFonts w:hint="default" w:ascii="Times New Roman" w:hAnsi="Times New Roman" w:eastAsia="宋体" w:cs="Times New Roman"/>
                <w:bCs/>
                <w:color w:val="auto"/>
                <w:kern w:val="0"/>
                <w:sz w:val="21"/>
                <w:szCs w:val="21"/>
                <w:highlight w:val="none"/>
                <w:vertAlign w:val="superscript"/>
                <w:lang w:val="en-US" w:eastAsia="zh-CN"/>
              </w:rPr>
              <w:t>3</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2000</w:t>
            </w:r>
            <w:r>
              <w:rPr>
                <w:rFonts w:hint="default" w:ascii="Times New Roman" w:hAnsi="Times New Roman" w:cs="Times New Roman"/>
                <w:bCs/>
                <w:color w:val="auto"/>
                <w:kern w:val="0"/>
                <w:sz w:val="21"/>
                <w:szCs w:val="21"/>
                <w:highlight w:val="none"/>
                <w:lang w:val="en-US" w:eastAsia="zh-CN"/>
              </w:rPr>
              <w:t>m</w:t>
            </w:r>
            <w:r>
              <w:rPr>
                <w:rFonts w:hint="default" w:ascii="Times New Roman" w:hAnsi="Times New Roman" w:cs="Times New Roman"/>
                <w:bCs/>
                <w:color w:val="auto"/>
                <w:kern w:val="0"/>
                <w:sz w:val="21"/>
                <w:szCs w:val="21"/>
                <w:highlight w:val="none"/>
                <w:vertAlign w:val="superscript"/>
                <w:lang w:val="en-US" w:eastAsia="zh-CN"/>
              </w:rPr>
              <w:t>3</w:t>
            </w:r>
            <w:r>
              <w:rPr>
                <w:rFonts w:hint="default" w:ascii="Times New Roman" w:hAnsi="Times New Roman" w:cs="Times New Roman"/>
                <w:bCs/>
                <w:color w:val="auto"/>
                <w:kern w:val="0"/>
                <w:sz w:val="21"/>
                <w:szCs w:val="21"/>
                <w:highlight w:val="none"/>
                <w:lang w:val="en-US" w:eastAsia="zh-CN"/>
              </w:rPr>
              <w:t>/h×8</w:t>
            </w:r>
            <w:r>
              <w:rPr>
                <w:rFonts w:hint="default" w:ascii="Times New Roman" w:hAnsi="Times New Roman" w:eastAsia="宋体" w:cs="Times New Roman"/>
                <w:bCs/>
                <w:color w:val="auto"/>
                <w:kern w:val="0"/>
                <w:sz w:val="21"/>
                <w:szCs w:val="21"/>
                <w:highlight w:val="none"/>
                <w:lang w:val="en-US" w:eastAsia="zh-CN"/>
              </w:rPr>
              <w:t>h/d</w:t>
            </w:r>
            <w:r>
              <w:rPr>
                <w:rFonts w:hint="default" w:ascii="Times New Roman" w:hAnsi="Times New Roman" w:cs="Times New Roman"/>
                <w:bCs/>
                <w:color w:val="auto"/>
                <w:kern w:val="0"/>
                <w:sz w:val="21"/>
                <w:szCs w:val="21"/>
                <w:highlight w:val="none"/>
                <w:lang w:val="en-US" w:eastAsia="zh-CN"/>
              </w:rPr>
              <w:t>）≈160d</w:t>
            </w:r>
            <w:r>
              <w:rPr>
                <w:rFonts w:hint="default" w:ascii="Times New Roman" w:hAnsi="Times New Roman" w:eastAsia="宋体" w:cs="Times New Roman"/>
                <w:bCs/>
                <w:color w:val="auto"/>
                <w:kern w:val="0"/>
                <w:sz w:val="21"/>
                <w:szCs w:val="21"/>
                <w:highlight w:val="none"/>
                <w:lang w:val="en-US" w:eastAsia="zh-CN"/>
              </w:rPr>
              <w:t>，项目年工作时间为300天</w:t>
            </w:r>
            <w:r>
              <w:rPr>
                <w:rFonts w:hint="eastAsia" w:ascii="Times New Roman" w:hAnsi="Times New Roman" w:eastAsia="宋体" w:cs="Times New Roman"/>
                <w:bCs/>
                <w:color w:val="auto"/>
                <w:kern w:val="0"/>
                <w:sz w:val="21"/>
                <w:szCs w:val="21"/>
                <w:highlight w:val="none"/>
                <w:lang w:val="en-US" w:eastAsia="zh-CN"/>
              </w:rPr>
              <w:t>，经计算每年需更换活性炭次数为</w:t>
            </w:r>
            <w:r>
              <w:rPr>
                <w:rFonts w:hint="eastAsia" w:cs="Times New Roman"/>
                <w:bCs/>
                <w:color w:val="auto"/>
                <w:kern w:val="0"/>
                <w:sz w:val="21"/>
                <w:szCs w:val="21"/>
                <w:highlight w:val="none"/>
                <w:lang w:val="en-US" w:eastAsia="zh-CN"/>
              </w:rPr>
              <w:t>1.875</w:t>
            </w:r>
            <w:r>
              <w:rPr>
                <w:rFonts w:hint="eastAsia" w:ascii="Times New Roman" w:hAnsi="Times New Roman" w:eastAsia="宋体" w:cs="Times New Roman"/>
                <w:bCs/>
                <w:color w:val="auto"/>
                <w:kern w:val="0"/>
                <w:sz w:val="21"/>
                <w:szCs w:val="21"/>
                <w:highlight w:val="none"/>
                <w:lang w:val="en-US" w:eastAsia="zh-CN"/>
              </w:rPr>
              <w:t>次，则更换产生的废活性炭量约为</w:t>
            </w:r>
            <w:r>
              <w:rPr>
                <w:rFonts w:hint="eastAsia" w:cs="Times New Roman"/>
                <w:bCs/>
                <w:color w:val="auto"/>
                <w:kern w:val="0"/>
                <w:sz w:val="21"/>
                <w:szCs w:val="21"/>
                <w:highlight w:val="none"/>
                <w:lang w:val="en-US" w:eastAsia="zh-CN"/>
              </w:rPr>
              <w:t>1.4063</w:t>
            </w:r>
            <w:r>
              <w:rPr>
                <w:rFonts w:hint="eastAsia" w:ascii="Times New Roman" w:hAnsi="Times New Roman" w:eastAsia="宋体" w:cs="Times New Roman"/>
                <w:bCs/>
                <w:color w:val="auto"/>
                <w:kern w:val="0"/>
                <w:sz w:val="21"/>
                <w:szCs w:val="21"/>
                <w:highlight w:val="none"/>
                <w:lang w:val="en-US" w:eastAsia="zh-CN"/>
              </w:rPr>
              <w:t>t/a。</w:t>
            </w:r>
            <w:r>
              <w:rPr>
                <w:rFonts w:hint="default" w:ascii="Times New Roman" w:hAnsi="Times New Roman" w:cs="Times New Roman"/>
                <w:bCs/>
                <w:color w:val="auto"/>
                <w:kern w:val="0"/>
                <w:sz w:val="21"/>
                <w:szCs w:val="21"/>
                <w:highlight w:val="none"/>
                <w:lang w:eastAsia="zh-CN"/>
              </w:rPr>
              <w:t>根据《国家危险废物名录》（</w:t>
            </w:r>
            <w:r>
              <w:rPr>
                <w:rFonts w:hint="default" w:ascii="Times New Roman" w:hAnsi="Times New Roman" w:cs="Times New Roman"/>
                <w:bCs/>
                <w:color w:val="auto"/>
                <w:kern w:val="0"/>
                <w:sz w:val="21"/>
                <w:szCs w:val="21"/>
                <w:highlight w:val="none"/>
                <w:lang w:val="en-US" w:eastAsia="zh-CN"/>
              </w:rPr>
              <w:t>2021</w:t>
            </w:r>
            <w:r>
              <w:rPr>
                <w:rFonts w:hint="default" w:ascii="Times New Roman" w:hAnsi="Times New Roman" w:cs="Times New Roman"/>
                <w:bCs/>
                <w:color w:val="auto"/>
                <w:kern w:val="0"/>
                <w:sz w:val="21"/>
                <w:szCs w:val="21"/>
                <w:highlight w:val="none"/>
                <w:lang w:eastAsia="zh-CN"/>
              </w:rPr>
              <w:t>年版）可知，更换的废活性炭属于危险废物</w:t>
            </w:r>
            <w:r>
              <w:rPr>
                <w:rFonts w:hint="eastAsia" w:ascii="Times New Roman" w:hAnsi="Times New Roman" w:cs="Times New Roman"/>
                <w:bCs/>
                <w:color w:val="auto"/>
                <w:kern w:val="0"/>
                <w:sz w:val="21"/>
                <w:szCs w:val="21"/>
                <w:highlight w:val="none"/>
                <w:lang w:eastAsia="zh-CN"/>
              </w:rPr>
              <w:t>，</w:t>
            </w:r>
            <w:r>
              <w:rPr>
                <w:rFonts w:hint="eastAsia" w:cs="Times New Roman"/>
                <w:bCs/>
                <w:color w:val="auto"/>
                <w:kern w:val="0"/>
                <w:sz w:val="21"/>
                <w:szCs w:val="21"/>
                <w:highlight w:val="none"/>
                <w:lang w:eastAsia="zh-CN"/>
              </w:rPr>
              <w:t>废物类别HW49，废物代码为-900-0</w:t>
            </w:r>
            <w:r>
              <w:rPr>
                <w:rFonts w:hint="eastAsia" w:cs="Times New Roman"/>
                <w:bCs/>
                <w:color w:val="auto"/>
                <w:kern w:val="0"/>
                <w:sz w:val="21"/>
                <w:szCs w:val="21"/>
                <w:highlight w:val="none"/>
                <w:lang w:val="en-US" w:eastAsia="zh-CN"/>
              </w:rPr>
              <w:t>39</w:t>
            </w:r>
            <w:r>
              <w:rPr>
                <w:rFonts w:hint="eastAsia" w:cs="Times New Roman"/>
                <w:bCs/>
                <w:color w:val="auto"/>
                <w:kern w:val="0"/>
                <w:sz w:val="21"/>
                <w:szCs w:val="21"/>
                <w:highlight w:val="none"/>
                <w:lang w:eastAsia="zh-CN"/>
              </w:rPr>
              <w:t>-49，</w:t>
            </w:r>
            <w:r>
              <w:rPr>
                <w:rFonts w:hint="eastAsia" w:ascii="Times New Roman" w:hAnsi="Times New Roman" w:cs="Times New Roman"/>
                <w:bCs/>
                <w:color w:val="auto"/>
                <w:kern w:val="0"/>
                <w:sz w:val="21"/>
                <w:szCs w:val="21"/>
                <w:highlight w:val="none"/>
                <w:lang w:eastAsia="zh-CN"/>
              </w:rPr>
              <w:t>通过</w:t>
            </w:r>
            <w:r>
              <w:rPr>
                <w:rFonts w:hint="default" w:ascii="Times New Roman" w:hAnsi="Times New Roman" w:cs="Times New Roman"/>
                <w:bCs/>
                <w:color w:val="auto"/>
                <w:kern w:val="0"/>
                <w:sz w:val="21"/>
                <w:szCs w:val="21"/>
                <w:highlight w:val="none"/>
                <w:lang w:eastAsia="zh-CN"/>
              </w:rPr>
              <w:t>车间内设置</w:t>
            </w:r>
            <w:r>
              <w:rPr>
                <w:rFonts w:hint="eastAsia" w:cs="Times New Roman"/>
                <w:bCs/>
                <w:color w:val="auto"/>
                <w:kern w:val="0"/>
                <w:sz w:val="21"/>
                <w:szCs w:val="21"/>
                <w:highlight w:val="none"/>
                <w:lang w:eastAsia="zh-CN"/>
              </w:rPr>
              <w:t>的</w:t>
            </w:r>
            <w:r>
              <w:rPr>
                <w:rFonts w:hint="default" w:ascii="Times New Roman" w:hAnsi="Times New Roman" w:cs="Times New Roman"/>
                <w:bCs/>
                <w:color w:val="auto"/>
                <w:kern w:val="0"/>
                <w:sz w:val="21"/>
                <w:szCs w:val="21"/>
                <w:highlight w:val="none"/>
                <w:lang w:eastAsia="zh-CN"/>
              </w:rPr>
              <w:t>危险固废暂存间暂存</w:t>
            </w:r>
            <w:r>
              <w:rPr>
                <w:rFonts w:hint="eastAsia" w:ascii="Times New Roman" w:hAnsi="Times New Roman" w:cs="Times New Roman"/>
                <w:bCs/>
                <w:color w:val="auto"/>
                <w:kern w:val="0"/>
                <w:sz w:val="21"/>
                <w:szCs w:val="21"/>
                <w:highlight w:val="none"/>
                <w:lang w:eastAsia="zh-CN"/>
              </w:rPr>
              <w:t>后</w:t>
            </w:r>
            <w:r>
              <w:rPr>
                <w:rFonts w:hint="default" w:ascii="Times New Roman" w:hAnsi="Times New Roman" w:cs="Times New Roman"/>
                <w:bCs/>
                <w:color w:val="auto"/>
                <w:kern w:val="0"/>
                <w:sz w:val="21"/>
                <w:szCs w:val="21"/>
                <w:highlight w:val="none"/>
                <w:lang w:eastAsia="zh-CN"/>
              </w:rPr>
              <w:t>，定期委托有组织的危险废物处置单位进行处理。</w:t>
            </w:r>
          </w:p>
          <w:p>
            <w:pPr>
              <w:rPr>
                <w:rFonts w:hint="default" w:ascii="Times New Roman" w:hAnsi="Times New Roman" w:eastAsia="宋体"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B、一般固废</w:t>
            </w:r>
          </w:p>
          <w:p>
            <w:pPr>
              <w:rPr>
                <w:rFonts w:hint="default" w:ascii="Times New Roman" w:hAnsi="Times New Roman" w:cs="Times New Roman"/>
                <w:b/>
                <w:bCs/>
                <w:color w:val="auto"/>
                <w:highlight w:val="none"/>
                <w:lang w:val="de-DE" w:eastAsia="zh-CN"/>
              </w:rPr>
            </w:pPr>
            <w:r>
              <w:rPr>
                <w:rFonts w:hint="eastAsia" w:cs="Times New Roman"/>
                <w:b/>
                <w:bCs/>
                <w:color w:val="auto"/>
                <w:kern w:val="0"/>
                <w:sz w:val="21"/>
                <w:szCs w:val="21"/>
                <w:highlight w:val="none"/>
                <w:lang w:val="de-DE" w:eastAsia="zh-CN"/>
              </w:rPr>
              <w:t>（</w:t>
            </w:r>
            <w:r>
              <w:rPr>
                <w:rFonts w:hint="eastAsia" w:cs="Times New Roman"/>
                <w:b/>
                <w:bCs/>
                <w:color w:val="auto"/>
                <w:kern w:val="0"/>
                <w:sz w:val="21"/>
                <w:szCs w:val="21"/>
                <w:highlight w:val="none"/>
                <w:lang w:val="en-US" w:eastAsia="zh-CN"/>
              </w:rPr>
              <w:t>1</w:t>
            </w:r>
            <w:r>
              <w:rPr>
                <w:rFonts w:hint="eastAsia" w:cs="Times New Roman"/>
                <w:b/>
                <w:bCs/>
                <w:color w:val="auto"/>
                <w:kern w:val="0"/>
                <w:sz w:val="21"/>
                <w:szCs w:val="21"/>
                <w:highlight w:val="none"/>
                <w:lang w:val="de-DE" w:eastAsia="zh-CN"/>
              </w:rPr>
              <w:t>）原辅材料使用后废包装</w:t>
            </w:r>
          </w:p>
          <w:p>
            <w:pPr>
              <w:pStyle w:val="2"/>
              <w:bidi w:val="0"/>
              <w:rPr>
                <w:rFonts w:hint="default" w:ascii="Times New Roman" w:hAnsi="Times New Roman" w:cs="Times New Roman"/>
                <w:b w:val="0"/>
                <w:bCs w:val="0"/>
                <w:color w:val="auto"/>
                <w:kern w:val="0"/>
                <w:sz w:val="21"/>
                <w:szCs w:val="21"/>
                <w:highlight w:val="none"/>
              </w:rPr>
            </w:pPr>
            <w:r>
              <w:rPr>
                <w:rFonts w:hint="eastAsia"/>
                <w:b w:val="0"/>
                <w:bCs w:val="0"/>
                <w:color w:val="auto"/>
                <w:highlight w:val="none"/>
                <w:lang w:val="de-DE" w:eastAsia="zh-CN"/>
              </w:rPr>
              <w:t>项目原辅材料使用后均会产生一定量的废包装（电解液包装除外），主要为废纸箱，属于一般固废。根据企业提供资料，项目废原辅材料包装量约为</w:t>
            </w:r>
            <w:r>
              <w:rPr>
                <w:rFonts w:hint="eastAsia"/>
                <w:b w:val="0"/>
                <w:bCs w:val="0"/>
                <w:color w:val="auto"/>
                <w:highlight w:val="none"/>
                <w:lang w:val="en-US" w:eastAsia="zh-CN"/>
              </w:rPr>
              <w:t>0.5t/a</w:t>
            </w:r>
            <w:r>
              <w:rPr>
                <w:rFonts w:hint="eastAsia"/>
                <w:b w:val="0"/>
                <w:bCs w:val="0"/>
                <w:color w:val="auto"/>
                <w:highlight w:val="none"/>
                <w:lang w:val="de-DE" w:eastAsia="zh-CN"/>
              </w:rPr>
              <w:t>，</w:t>
            </w:r>
            <w:r>
              <w:rPr>
                <w:rFonts w:hint="default" w:ascii="Times New Roman" w:hAnsi="Times New Roman" w:cs="Times New Roman"/>
                <w:b w:val="0"/>
                <w:bCs w:val="0"/>
                <w:color w:val="auto"/>
                <w:kern w:val="0"/>
                <w:sz w:val="21"/>
                <w:szCs w:val="21"/>
                <w:highlight w:val="none"/>
              </w:rPr>
              <w:t>于</w:t>
            </w:r>
            <w:r>
              <w:rPr>
                <w:rFonts w:hint="default" w:ascii="Times New Roman" w:hAnsi="Times New Roman" w:cs="Times New Roman"/>
                <w:b w:val="0"/>
                <w:bCs w:val="0"/>
                <w:color w:val="auto"/>
                <w:kern w:val="0"/>
                <w:sz w:val="21"/>
                <w:szCs w:val="21"/>
                <w:highlight w:val="none"/>
                <w:lang w:eastAsia="zh-CN"/>
              </w:rPr>
              <w:t>车间内</w:t>
            </w:r>
            <w:r>
              <w:rPr>
                <w:rFonts w:hint="default" w:ascii="Times New Roman" w:hAnsi="Times New Roman" w:cs="Times New Roman"/>
                <w:b w:val="0"/>
                <w:bCs w:val="0"/>
                <w:color w:val="auto"/>
                <w:kern w:val="0"/>
                <w:sz w:val="21"/>
                <w:szCs w:val="21"/>
                <w:highlight w:val="none"/>
              </w:rPr>
              <w:t>设置的一般固废暂存</w:t>
            </w:r>
            <w:r>
              <w:rPr>
                <w:rFonts w:hint="default" w:ascii="Times New Roman" w:hAnsi="Times New Roman" w:cs="Times New Roman"/>
                <w:b w:val="0"/>
                <w:bCs w:val="0"/>
                <w:color w:val="auto"/>
                <w:kern w:val="0"/>
                <w:sz w:val="21"/>
                <w:szCs w:val="21"/>
                <w:highlight w:val="none"/>
                <w:lang w:eastAsia="zh-CN"/>
              </w:rPr>
              <w:t>区域</w:t>
            </w:r>
            <w:r>
              <w:rPr>
                <w:rFonts w:hint="eastAsia" w:cs="Times New Roman"/>
                <w:b w:val="0"/>
                <w:bCs w:val="0"/>
                <w:color w:val="auto"/>
                <w:kern w:val="0"/>
                <w:sz w:val="21"/>
                <w:szCs w:val="21"/>
                <w:highlight w:val="none"/>
                <w:lang w:eastAsia="zh-CN"/>
              </w:rPr>
              <w:t>分类</w:t>
            </w:r>
            <w:r>
              <w:rPr>
                <w:rFonts w:hint="default" w:ascii="Times New Roman" w:hAnsi="Times New Roman" w:cs="Times New Roman"/>
                <w:b w:val="0"/>
                <w:bCs w:val="0"/>
                <w:color w:val="auto"/>
                <w:kern w:val="0"/>
                <w:sz w:val="21"/>
                <w:szCs w:val="21"/>
                <w:highlight w:val="none"/>
              </w:rPr>
              <w:t>暂存，定期</w:t>
            </w:r>
            <w:r>
              <w:rPr>
                <w:rFonts w:hint="default" w:ascii="Times New Roman" w:hAnsi="Times New Roman" w:cs="Times New Roman"/>
                <w:b w:val="0"/>
                <w:bCs w:val="0"/>
                <w:color w:val="auto"/>
                <w:kern w:val="0"/>
                <w:sz w:val="21"/>
                <w:szCs w:val="21"/>
                <w:highlight w:val="none"/>
                <w:lang w:eastAsia="zh-CN"/>
              </w:rPr>
              <w:t>外售废品回收单位</w:t>
            </w:r>
            <w:r>
              <w:rPr>
                <w:rFonts w:hint="default" w:ascii="Times New Roman" w:hAnsi="Times New Roman" w:cs="Times New Roman"/>
                <w:b w:val="0"/>
                <w:bCs w:val="0"/>
                <w:color w:val="auto"/>
                <w:kern w:val="0"/>
                <w:sz w:val="21"/>
                <w:szCs w:val="21"/>
                <w:highlight w:val="none"/>
              </w:rPr>
              <w:t>。</w:t>
            </w:r>
          </w:p>
          <w:p>
            <w:pPr>
              <w:pStyle w:val="2"/>
              <w:keepLines w:val="0"/>
              <w:pageBreakBefore w:val="0"/>
              <w:widowControl w:val="0"/>
              <w:kinsoku/>
              <w:wordWrap/>
              <w:topLinePunct w:val="0"/>
              <w:autoSpaceDE/>
              <w:autoSpaceDN/>
              <w:bidi w:val="0"/>
              <w:adjustRightInd/>
              <w:snapToGrid/>
              <w:jc w:val="both"/>
              <w:textAlignment w:val="auto"/>
              <w:rPr>
                <w:rFonts w:hint="default" w:ascii="Times New Roman" w:hAnsi="Times New Roman" w:cs="Times New Roman"/>
                <w:color w:val="auto"/>
                <w:highlight w:val="none"/>
                <w:lang w:val="de-DE" w:eastAsia="zh-CN"/>
              </w:rPr>
            </w:pPr>
            <w:r>
              <w:rPr>
                <w:rFonts w:hint="eastAsia" w:cs="Times New Roman"/>
                <w:color w:val="auto"/>
                <w:highlight w:val="none"/>
                <w:lang w:val="de-DE" w:eastAsia="zh-CN"/>
              </w:rPr>
              <w:t>（</w:t>
            </w:r>
            <w:r>
              <w:rPr>
                <w:rFonts w:hint="eastAsia" w:cs="Times New Roman"/>
                <w:color w:val="auto"/>
                <w:highlight w:val="none"/>
                <w:lang w:val="en-US" w:eastAsia="zh-CN"/>
              </w:rPr>
              <w:t>2</w:t>
            </w:r>
            <w:r>
              <w:rPr>
                <w:rFonts w:hint="eastAsia" w:cs="Times New Roman"/>
                <w:color w:val="auto"/>
                <w:highlight w:val="none"/>
                <w:lang w:val="de-DE" w:eastAsia="zh-CN"/>
              </w:rPr>
              <w:t>）分切产生的废极片边角料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de-DE" w:eastAsia="zh-CN"/>
              </w:rPr>
              <w:t>项目正、负极片</w:t>
            </w:r>
            <w:r>
              <w:rPr>
                <w:rFonts w:hint="eastAsia" w:cs="Times New Roman"/>
                <w:b w:val="0"/>
                <w:bCs w:val="0"/>
                <w:color w:val="auto"/>
                <w:kern w:val="0"/>
                <w:sz w:val="21"/>
                <w:szCs w:val="21"/>
                <w:highlight w:val="none"/>
                <w:lang w:val="de-DE" w:eastAsia="zh-CN"/>
              </w:rPr>
              <w:t>制作过程中分切工序</w:t>
            </w:r>
            <w:r>
              <w:rPr>
                <w:rFonts w:hint="default" w:ascii="Times New Roman" w:hAnsi="Times New Roman" w:eastAsia="宋体" w:cs="Times New Roman"/>
                <w:b w:val="0"/>
                <w:bCs w:val="0"/>
                <w:color w:val="auto"/>
                <w:kern w:val="0"/>
                <w:sz w:val="21"/>
                <w:szCs w:val="21"/>
                <w:highlight w:val="none"/>
                <w:lang w:val="de-DE" w:eastAsia="zh-CN"/>
              </w:rPr>
              <w:t>会产生</w:t>
            </w:r>
            <w:r>
              <w:rPr>
                <w:rFonts w:hint="eastAsia" w:cs="Times New Roman"/>
                <w:b w:val="0"/>
                <w:bCs w:val="0"/>
                <w:color w:val="auto"/>
                <w:kern w:val="0"/>
                <w:sz w:val="21"/>
                <w:szCs w:val="21"/>
                <w:highlight w:val="none"/>
                <w:lang w:val="de-DE" w:eastAsia="zh-CN"/>
              </w:rPr>
              <w:t>一定量的正负极片的边角料，属于一般固废。根据企业提供资料，边角料的产生量约占</w:t>
            </w:r>
            <w:r>
              <w:rPr>
                <w:rFonts w:hint="eastAsia" w:cs="Times New Roman"/>
                <w:b w:val="0"/>
                <w:bCs w:val="0"/>
                <w:color w:val="auto"/>
                <w:kern w:val="0"/>
                <w:sz w:val="21"/>
                <w:szCs w:val="21"/>
                <w:highlight w:val="none"/>
                <w:lang w:val="en-US" w:eastAsia="zh-CN"/>
              </w:rPr>
              <w:t>1%，项目正负极片用量共计为300t/a（包括正极片150t/a和负极片150t/a），经计算废边料产生量为3t/a，</w:t>
            </w:r>
            <w:r>
              <w:rPr>
                <w:rFonts w:hint="default" w:ascii="Times New Roman" w:hAnsi="Times New Roman" w:cs="Times New Roman"/>
                <w:bCs/>
                <w:color w:val="auto"/>
                <w:kern w:val="0"/>
                <w:sz w:val="21"/>
                <w:szCs w:val="21"/>
                <w:highlight w:val="none"/>
                <w:lang w:val="en-US" w:eastAsia="zh-CN"/>
              </w:rPr>
              <w:t>均经</w:t>
            </w:r>
            <w:r>
              <w:rPr>
                <w:rFonts w:hint="default" w:ascii="Times New Roman" w:hAnsi="Times New Roman" w:cs="Times New Roman"/>
                <w:bCs/>
                <w:color w:val="auto"/>
                <w:kern w:val="0"/>
                <w:sz w:val="21"/>
                <w:szCs w:val="21"/>
                <w:highlight w:val="none"/>
                <w:lang w:eastAsia="zh-CN"/>
              </w:rPr>
              <w:t>车间内</w:t>
            </w:r>
            <w:r>
              <w:rPr>
                <w:rFonts w:hint="default" w:ascii="Times New Roman" w:hAnsi="Times New Roman" w:cs="Times New Roman"/>
                <w:bCs/>
                <w:color w:val="auto"/>
                <w:kern w:val="0"/>
                <w:sz w:val="21"/>
                <w:szCs w:val="21"/>
                <w:highlight w:val="none"/>
              </w:rPr>
              <w:t>设置的一般固废暂存</w:t>
            </w:r>
            <w:r>
              <w:rPr>
                <w:rFonts w:hint="default" w:ascii="Times New Roman" w:hAnsi="Times New Roman" w:cs="Times New Roman"/>
                <w:bCs/>
                <w:color w:val="auto"/>
                <w:kern w:val="0"/>
                <w:sz w:val="21"/>
                <w:szCs w:val="21"/>
                <w:highlight w:val="none"/>
                <w:lang w:eastAsia="zh-CN"/>
              </w:rPr>
              <w:t>区域</w:t>
            </w:r>
            <w:r>
              <w:rPr>
                <w:rFonts w:hint="default" w:ascii="Times New Roman" w:hAnsi="Times New Roman" w:cs="Times New Roman"/>
                <w:bCs/>
                <w:color w:val="auto"/>
                <w:kern w:val="0"/>
                <w:sz w:val="21"/>
                <w:szCs w:val="21"/>
                <w:highlight w:val="none"/>
              </w:rPr>
              <w:t>暂存，定期</w:t>
            </w:r>
            <w:r>
              <w:rPr>
                <w:rFonts w:hint="default" w:ascii="Times New Roman" w:hAnsi="Times New Roman" w:cs="Times New Roman"/>
                <w:bCs/>
                <w:color w:val="auto"/>
                <w:kern w:val="0"/>
                <w:sz w:val="21"/>
                <w:szCs w:val="21"/>
                <w:highlight w:val="none"/>
                <w:lang w:eastAsia="zh-CN"/>
              </w:rPr>
              <w:t>外售废品回收单位</w:t>
            </w:r>
            <w:r>
              <w:rPr>
                <w:rFonts w:hint="default" w:ascii="Times New Roman" w:hAnsi="Times New Roman" w:cs="Times New Roman"/>
                <w:bCs/>
                <w:color w:val="auto"/>
                <w:kern w:val="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361" w:firstLineChars="200"/>
              <w:jc w:val="both"/>
              <w:textAlignment w:val="auto"/>
              <w:rPr>
                <w:rFonts w:hint="default" w:ascii="Times New Roman" w:hAnsi="Times New Roman" w:eastAsia="宋体" w:cs="Times New Roman"/>
                <w:b/>
                <w:bCs/>
                <w:color w:val="auto"/>
                <w:kern w:val="0"/>
                <w:sz w:val="21"/>
                <w:szCs w:val="21"/>
                <w:highlight w:val="none"/>
                <w:lang w:val="de-DE" w:eastAsia="zh-CN"/>
              </w:rPr>
            </w:pPr>
            <w:r>
              <w:rPr>
                <w:rFonts w:hint="eastAsia" w:cs="Times New Roman"/>
                <w:b/>
                <w:bCs/>
                <w:color w:val="auto"/>
                <w:kern w:val="0"/>
                <w:sz w:val="18"/>
                <w:szCs w:val="18"/>
                <w:highlight w:val="none"/>
                <w:lang w:val="en-US" w:eastAsia="zh-CN"/>
              </w:rPr>
              <w:t>（3）</w:t>
            </w:r>
            <w:r>
              <w:rPr>
                <w:rFonts w:hint="eastAsia" w:ascii="Times New Roman" w:hAnsi="Times New Roman" w:eastAsia="宋体" w:cs="Times New Roman"/>
                <w:b/>
                <w:bCs/>
                <w:color w:val="auto"/>
                <w:kern w:val="0"/>
                <w:sz w:val="21"/>
                <w:szCs w:val="21"/>
                <w:highlight w:val="none"/>
                <w:lang w:val="en-US" w:eastAsia="zh-CN"/>
              </w:rPr>
              <w:t>检验的</w:t>
            </w:r>
            <w:r>
              <w:rPr>
                <w:rFonts w:hint="default" w:ascii="Times New Roman" w:hAnsi="Times New Roman" w:eastAsia="宋体" w:cs="Times New Roman"/>
                <w:b/>
                <w:bCs/>
                <w:color w:val="auto"/>
                <w:kern w:val="0"/>
                <w:sz w:val="21"/>
                <w:szCs w:val="21"/>
                <w:highlight w:val="none"/>
                <w:lang w:val="de-DE" w:eastAsia="zh-CN"/>
              </w:rPr>
              <w:t>不合格</w:t>
            </w:r>
            <w:r>
              <w:rPr>
                <w:rFonts w:hint="eastAsia" w:cs="Times New Roman"/>
                <w:b/>
                <w:bCs/>
                <w:color w:val="auto"/>
                <w:kern w:val="0"/>
                <w:sz w:val="21"/>
                <w:szCs w:val="21"/>
                <w:highlight w:val="none"/>
                <w:lang w:val="de-DE" w:eastAsia="zh-CN"/>
              </w:rPr>
              <w:t>电池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 w:val="0"/>
                <w:bCs w:val="0"/>
                <w:color w:val="auto"/>
                <w:highlight w:val="none"/>
                <w:lang w:val="de-DE" w:eastAsia="zh-CN"/>
              </w:rPr>
            </w:pPr>
            <w:r>
              <w:rPr>
                <w:rFonts w:hint="default" w:ascii="Times New Roman" w:hAnsi="Times New Roman" w:cs="Times New Roman"/>
                <w:b w:val="0"/>
                <w:bCs w:val="0"/>
                <w:color w:val="auto"/>
                <w:highlight w:val="none"/>
                <w:lang w:val="de-DE" w:eastAsia="zh-CN"/>
              </w:rPr>
              <w:t>本项目在生产过程中会</w:t>
            </w:r>
            <w:r>
              <w:rPr>
                <w:rFonts w:hint="eastAsia" w:cs="Times New Roman"/>
                <w:b w:val="0"/>
                <w:bCs w:val="0"/>
                <w:color w:val="auto"/>
                <w:highlight w:val="none"/>
                <w:lang w:val="de-DE" w:eastAsia="zh-CN"/>
              </w:rPr>
              <w:t>检验出部分</w:t>
            </w:r>
            <w:r>
              <w:rPr>
                <w:rFonts w:hint="default" w:ascii="Times New Roman" w:hAnsi="Times New Roman" w:cs="Times New Roman"/>
                <w:b w:val="0"/>
                <w:bCs w:val="0"/>
                <w:color w:val="auto"/>
                <w:highlight w:val="none"/>
                <w:lang w:val="de-DE" w:eastAsia="zh-CN"/>
              </w:rPr>
              <w:t>不合格电池，</w:t>
            </w:r>
            <w:r>
              <w:rPr>
                <w:rFonts w:hint="eastAsia" w:cs="Times New Roman"/>
                <w:b w:val="0"/>
                <w:bCs w:val="0"/>
                <w:color w:val="auto"/>
                <w:highlight w:val="none"/>
                <w:lang w:val="de-DE" w:eastAsia="zh-CN"/>
              </w:rPr>
              <w:t>根据企业提供资料，</w:t>
            </w:r>
            <w:r>
              <w:rPr>
                <w:rFonts w:hint="default" w:ascii="Times New Roman" w:hAnsi="Times New Roman" w:cs="Times New Roman"/>
                <w:b w:val="0"/>
                <w:bCs w:val="0"/>
                <w:color w:val="auto"/>
                <w:highlight w:val="none"/>
                <w:lang w:val="de-DE" w:eastAsia="zh-CN"/>
              </w:rPr>
              <w:t>不合格电池约占产量的</w:t>
            </w:r>
            <w:r>
              <w:rPr>
                <w:rFonts w:hint="eastAsia" w:cs="Times New Roman"/>
                <w:b w:val="0"/>
                <w:bCs w:val="0"/>
                <w:color w:val="auto"/>
                <w:highlight w:val="none"/>
                <w:lang w:val="en-US" w:eastAsia="zh-CN"/>
              </w:rPr>
              <w:t>1</w:t>
            </w:r>
            <w:r>
              <w:rPr>
                <w:rFonts w:hint="default" w:ascii="Times New Roman" w:hAnsi="Times New Roman" w:cs="Times New Roman"/>
                <w:b w:val="0"/>
                <w:bCs w:val="0"/>
                <w:color w:val="auto"/>
                <w:highlight w:val="none"/>
                <w:lang w:val="de-DE" w:eastAsia="zh-CN"/>
              </w:rPr>
              <w:t>‰，</w:t>
            </w:r>
            <w:r>
              <w:rPr>
                <w:rFonts w:hint="eastAsia" w:cs="Times New Roman"/>
                <w:b w:val="0"/>
                <w:bCs w:val="0"/>
                <w:color w:val="auto"/>
                <w:highlight w:val="none"/>
                <w:lang w:val="de-DE" w:eastAsia="zh-CN"/>
              </w:rPr>
              <w:t>项目年生产锂电池</w:t>
            </w:r>
            <w:r>
              <w:rPr>
                <w:rFonts w:hint="eastAsia" w:cs="Times New Roman"/>
                <w:b w:val="0"/>
                <w:bCs w:val="0"/>
                <w:color w:val="auto"/>
                <w:highlight w:val="none"/>
                <w:lang w:val="en-US" w:eastAsia="zh-CN"/>
              </w:rPr>
              <w:t>500万只</w:t>
            </w:r>
            <w:r>
              <w:rPr>
                <w:rFonts w:hint="eastAsia" w:cs="Times New Roman"/>
                <w:b w:val="0"/>
                <w:bCs w:val="0"/>
                <w:color w:val="auto"/>
                <w:highlight w:val="none"/>
                <w:lang w:val="de-DE" w:eastAsia="zh-CN"/>
              </w:rPr>
              <w:t>，</w:t>
            </w:r>
            <w:r>
              <w:rPr>
                <w:rFonts w:hint="default" w:ascii="Times New Roman" w:hAnsi="Times New Roman" w:cs="Times New Roman"/>
                <w:b w:val="0"/>
                <w:bCs w:val="0"/>
                <w:color w:val="auto"/>
                <w:highlight w:val="none"/>
                <w:lang w:val="de-DE" w:eastAsia="zh-CN"/>
              </w:rPr>
              <w:t>则产生量约为</w:t>
            </w:r>
            <w:r>
              <w:rPr>
                <w:rFonts w:hint="eastAsia" w:cs="Times New Roman"/>
                <w:b w:val="0"/>
                <w:bCs w:val="0"/>
                <w:color w:val="auto"/>
                <w:highlight w:val="none"/>
                <w:lang w:val="en-US" w:eastAsia="zh-CN"/>
              </w:rPr>
              <w:t>5</w:t>
            </w:r>
            <w:r>
              <w:rPr>
                <w:rFonts w:hint="default" w:ascii="Times New Roman" w:hAnsi="Times New Roman" w:cs="Times New Roman"/>
                <w:b w:val="0"/>
                <w:bCs w:val="0"/>
                <w:color w:val="auto"/>
                <w:highlight w:val="none"/>
                <w:lang w:val="de-DE" w:eastAsia="zh-CN"/>
              </w:rPr>
              <w:t>万只/a</w:t>
            </w:r>
            <w:r>
              <w:rPr>
                <w:rFonts w:hint="eastAsia" w:cs="Times New Roman"/>
                <w:b w:val="0"/>
                <w:bCs w:val="0"/>
                <w:color w:val="auto"/>
                <w:highlight w:val="none"/>
                <w:lang w:val="de-DE" w:eastAsia="zh-CN"/>
              </w:rPr>
              <w:t>（每只电池重约</w:t>
            </w:r>
            <w:r>
              <w:rPr>
                <w:rFonts w:hint="eastAsia" w:cs="Times New Roman"/>
                <w:b w:val="0"/>
                <w:bCs w:val="0"/>
                <w:color w:val="auto"/>
                <w:highlight w:val="none"/>
                <w:lang w:val="en-US" w:eastAsia="zh-CN"/>
              </w:rPr>
              <w:t>280g</w:t>
            </w:r>
            <w:r>
              <w:rPr>
                <w:rFonts w:hint="eastAsia" w:cs="Times New Roman"/>
                <w:b w:val="0"/>
                <w:bCs w:val="0"/>
                <w:color w:val="auto"/>
                <w:highlight w:val="none"/>
                <w:lang w:val="de-DE" w:eastAsia="zh-CN"/>
              </w:rPr>
              <w:t>，折合为</w:t>
            </w:r>
            <w:r>
              <w:rPr>
                <w:rFonts w:hint="eastAsia" w:cs="Times New Roman"/>
                <w:b w:val="0"/>
                <w:bCs w:val="0"/>
                <w:color w:val="auto"/>
                <w:highlight w:val="none"/>
                <w:lang w:val="en-US" w:eastAsia="zh-CN"/>
              </w:rPr>
              <w:t>14t/a</w:t>
            </w:r>
            <w:r>
              <w:rPr>
                <w:rFonts w:hint="eastAsia" w:cs="Times New Roman"/>
                <w:b w:val="0"/>
                <w:bCs w:val="0"/>
                <w:color w:val="auto"/>
                <w:highlight w:val="none"/>
                <w:lang w:val="de-DE" w:eastAsia="zh-CN"/>
              </w:rPr>
              <w:t>）</w:t>
            </w:r>
            <w:r>
              <w:rPr>
                <w:rFonts w:hint="default" w:ascii="Times New Roman" w:hAnsi="Times New Roman" w:cs="Times New Roman"/>
                <w:b w:val="0"/>
                <w:bCs w:val="0"/>
                <w:color w:val="auto"/>
                <w:highlight w:val="none"/>
                <w:lang w:val="de-DE" w:eastAsia="zh-CN"/>
              </w:rPr>
              <w:t>。依据《关于废旧锂电池收集处置有关问题的复函》（环办函[2014]1621号）：“根据《废电池污染防治技术政策》，废锂离子电池（通常也称为废锂电池）等其他废电池不属于危险废物。同时，锂电池一般不含有毒有害成分，废旧锂电池的环境危险性较小。因此，废旧锂电池不属于危险废物”、“废旧锂电池的收集、贮存、处置应参照一般工业固体废物的相关环境管理与污染防治要求，防止环境污染”，不合格锂离子电池不属于危险废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 w:val="0"/>
                <w:bCs w:val="0"/>
                <w:color w:val="auto"/>
                <w:highlight w:val="none"/>
                <w:lang w:val="de-DE" w:eastAsia="zh-CN"/>
              </w:rPr>
            </w:pPr>
            <w:r>
              <w:rPr>
                <w:rFonts w:hint="default" w:ascii="Times New Roman" w:hAnsi="Times New Roman" w:cs="Times New Roman"/>
                <w:b w:val="0"/>
                <w:bCs w:val="0"/>
                <w:color w:val="auto"/>
                <w:highlight w:val="none"/>
                <w:lang w:val="de-DE" w:eastAsia="zh-CN"/>
              </w:rPr>
              <w:t>根据《废电池污染防治技术政策》：“废电池污染防治应遵循闭环与绿色回收、资源利用优先、合理安全处置的综合防治原则”。本项目不合格电池暂存于一般固废暂存处，定期交由有回收资质的单位回收再利用，禁止混入生活垃圾处理</w:t>
            </w:r>
            <w:r>
              <w:rPr>
                <w:rFonts w:hint="default" w:ascii="Times New Roman" w:hAnsi="Times New Roman" w:cs="Times New Roman"/>
                <w:bCs/>
                <w:color w:val="auto"/>
                <w:kern w:val="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cs="Times New Roman"/>
                <w:b/>
                <w:bCs/>
                <w:color w:val="auto"/>
                <w:kern w:val="0"/>
                <w:sz w:val="21"/>
                <w:szCs w:val="21"/>
                <w:highlight w:val="none"/>
                <w:lang w:val="de-DE" w:eastAsia="zh-CN"/>
              </w:rPr>
            </w:pPr>
            <w:r>
              <w:rPr>
                <w:rFonts w:hint="eastAsia" w:cs="Times New Roman"/>
                <w:b/>
                <w:bCs/>
                <w:color w:val="auto"/>
                <w:kern w:val="0"/>
                <w:sz w:val="21"/>
                <w:szCs w:val="21"/>
                <w:highlight w:val="none"/>
                <w:lang w:val="de-DE" w:eastAsia="zh-CN"/>
              </w:rPr>
              <w:t>（</w:t>
            </w:r>
            <w:r>
              <w:rPr>
                <w:rFonts w:hint="eastAsia" w:cs="Times New Roman"/>
                <w:b/>
                <w:bCs/>
                <w:color w:val="auto"/>
                <w:kern w:val="0"/>
                <w:sz w:val="21"/>
                <w:szCs w:val="21"/>
                <w:highlight w:val="none"/>
                <w:lang w:val="en-US" w:eastAsia="zh-CN"/>
              </w:rPr>
              <w:t>4</w:t>
            </w:r>
            <w:r>
              <w:rPr>
                <w:rFonts w:hint="eastAsia" w:cs="Times New Roman"/>
                <w:b/>
                <w:bCs/>
                <w:color w:val="auto"/>
                <w:kern w:val="0"/>
                <w:sz w:val="21"/>
                <w:szCs w:val="21"/>
                <w:highlight w:val="none"/>
                <w:lang w:val="de-DE" w:eastAsia="zh-CN"/>
              </w:rPr>
              <w:t>）污水处理设施污泥</w:t>
            </w:r>
          </w:p>
          <w:p>
            <w:pPr>
              <w:pStyle w:val="20"/>
              <w:keepNext w:val="0"/>
              <w:keepLines w:val="0"/>
              <w:pageBreakBefore w:val="0"/>
              <w:widowControl w:val="0"/>
              <w:kinsoku/>
              <w:wordWrap/>
              <w:overflowPunct/>
              <w:topLinePunct w:val="0"/>
              <w:autoSpaceDE/>
              <w:autoSpaceDN/>
              <w:bidi w:val="0"/>
              <w:adjustRightInd/>
              <w:snapToGrid/>
              <w:spacing w:after="0"/>
              <w:ind w:left="0" w:leftChars="0" w:firstLine="420" w:firstLineChars="200"/>
              <w:textAlignment w:val="auto"/>
              <w:rPr>
                <w:rFonts w:hint="default" w:ascii="Times New Roman" w:hAnsi="Times New Roman" w:eastAsia="宋体" w:cs="Times New Roman"/>
                <w:b w:val="0"/>
                <w:bCs w:val="0"/>
                <w:color w:val="auto"/>
                <w:kern w:val="2"/>
                <w:sz w:val="21"/>
                <w:szCs w:val="24"/>
                <w:highlight w:val="none"/>
                <w:lang w:val="de-DE" w:eastAsia="zh-CN" w:bidi="ar-SA"/>
              </w:rPr>
            </w:pPr>
            <w:r>
              <w:rPr>
                <w:rFonts w:hint="default" w:ascii="Times New Roman" w:hAnsi="Times New Roman" w:eastAsia="宋体" w:cs="Times New Roman"/>
                <w:b w:val="0"/>
                <w:bCs w:val="0"/>
                <w:color w:val="auto"/>
                <w:kern w:val="2"/>
                <w:sz w:val="21"/>
                <w:szCs w:val="24"/>
                <w:highlight w:val="none"/>
                <w:lang w:val="de-DE" w:eastAsia="zh-CN" w:bidi="ar-SA"/>
              </w:rPr>
              <w:t>项目生活污水经地埋式一体化污水处理装置进行处理，在污水处理过程中有污泥产生，</w:t>
            </w:r>
            <w:r>
              <w:rPr>
                <w:rFonts w:hint="eastAsia" w:ascii="Times New Roman" w:hAnsi="Times New Roman" w:cs="Times New Roman"/>
                <w:b w:val="0"/>
                <w:bCs w:val="0"/>
                <w:color w:val="auto"/>
                <w:kern w:val="0"/>
                <w:sz w:val="21"/>
                <w:szCs w:val="21"/>
                <w:highlight w:val="none"/>
                <w:lang w:val="en-US" w:eastAsia="zh-CN"/>
              </w:rPr>
              <w:t>参考《不同污水处理工艺中污泥产率影响因素的比较研究》（中国环境科学学会学术年会论文集2011），污泥产率为0.2~0.7mgVSS/mgCOD，本次评价区平均值按照0.45mgVSS/mgCOD计算，工程COD处理量约</w:t>
            </w:r>
            <w:r>
              <w:rPr>
                <w:rFonts w:hint="eastAsia" w:cs="Times New Roman"/>
                <w:b w:val="0"/>
                <w:bCs w:val="0"/>
                <w:color w:val="auto"/>
                <w:kern w:val="0"/>
                <w:sz w:val="21"/>
                <w:szCs w:val="21"/>
                <w:highlight w:val="none"/>
                <w:lang w:val="en-US" w:eastAsia="zh-CN"/>
              </w:rPr>
              <w:t>0.0518</w:t>
            </w:r>
            <w:r>
              <w:rPr>
                <w:rFonts w:hint="eastAsia" w:ascii="Times New Roman" w:hAnsi="Times New Roman" w:cs="Times New Roman"/>
                <w:b w:val="0"/>
                <w:bCs w:val="0"/>
                <w:color w:val="auto"/>
                <w:kern w:val="0"/>
                <w:sz w:val="21"/>
                <w:szCs w:val="21"/>
                <w:highlight w:val="none"/>
                <w:lang w:val="en-US" w:eastAsia="zh-CN"/>
              </w:rPr>
              <w:t>t/a，则污泥产生量约为</w:t>
            </w:r>
            <w:r>
              <w:rPr>
                <w:rFonts w:hint="eastAsia" w:cs="Times New Roman"/>
                <w:b w:val="0"/>
                <w:bCs w:val="0"/>
                <w:color w:val="auto"/>
                <w:kern w:val="0"/>
                <w:sz w:val="21"/>
                <w:szCs w:val="21"/>
                <w:highlight w:val="none"/>
                <w:lang w:val="en-US" w:eastAsia="zh-CN"/>
              </w:rPr>
              <w:t>0.0233</w:t>
            </w:r>
            <w:r>
              <w:rPr>
                <w:rFonts w:hint="eastAsia" w:ascii="Times New Roman" w:hAnsi="Times New Roman" w:cs="Times New Roman"/>
                <w:b w:val="0"/>
                <w:bCs w:val="0"/>
                <w:color w:val="auto"/>
                <w:kern w:val="0"/>
                <w:sz w:val="21"/>
                <w:szCs w:val="21"/>
                <w:highlight w:val="none"/>
                <w:lang w:val="en-US" w:eastAsia="zh-CN"/>
              </w:rPr>
              <w:t>t/a</w:t>
            </w:r>
            <w:r>
              <w:rPr>
                <w:rFonts w:hint="default" w:ascii="Times New Roman" w:hAnsi="Times New Roman" w:eastAsia="宋体" w:cs="Times New Roman"/>
                <w:b w:val="0"/>
                <w:bCs w:val="0"/>
                <w:color w:val="auto"/>
                <w:kern w:val="2"/>
                <w:sz w:val="21"/>
                <w:szCs w:val="24"/>
                <w:highlight w:val="none"/>
                <w:lang w:val="de-DE" w:eastAsia="zh-CN" w:bidi="ar-SA"/>
              </w:rPr>
              <w:t>，</w:t>
            </w:r>
            <w:r>
              <w:rPr>
                <w:rFonts w:hint="eastAsia" w:cs="Times New Roman"/>
                <w:b w:val="0"/>
                <w:bCs w:val="0"/>
                <w:color w:val="auto"/>
                <w:kern w:val="2"/>
                <w:sz w:val="21"/>
                <w:szCs w:val="24"/>
                <w:highlight w:val="none"/>
                <w:lang w:val="de-DE" w:eastAsia="zh-CN" w:bidi="ar-SA"/>
              </w:rPr>
              <w:t>污水设施内</w:t>
            </w:r>
            <w:r>
              <w:rPr>
                <w:rFonts w:hint="default" w:ascii="Times New Roman" w:hAnsi="Times New Roman" w:eastAsia="宋体" w:cs="Times New Roman"/>
                <w:b w:val="0"/>
                <w:bCs w:val="0"/>
                <w:color w:val="auto"/>
                <w:kern w:val="2"/>
                <w:sz w:val="21"/>
                <w:szCs w:val="24"/>
                <w:highlight w:val="none"/>
                <w:lang w:val="de-DE" w:eastAsia="zh-CN" w:bidi="ar-SA"/>
              </w:rPr>
              <w:t>污泥</w:t>
            </w:r>
            <w:r>
              <w:rPr>
                <w:rFonts w:hint="eastAsia" w:cs="Times New Roman"/>
                <w:b w:val="0"/>
                <w:bCs w:val="0"/>
                <w:color w:val="auto"/>
                <w:kern w:val="2"/>
                <w:sz w:val="21"/>
                <w:szCs w:val="24"/>
                <w:highlight w:val="none"/>
                <w:lang w:val="de-DE" w:eastAsia="zh-CN" w:bidi="ar-SA"/>
              </w:rPr>
              <w:t>定期由环卫部门进行清运处理</w:t>
            </w:r>
            <w:r>
              <w:rPr>
                <w:rFonts w:hint="default" w:ascii="Times New Roman" w:hAnsi="Times New Roman" w:eastAsia="宋体" w:cs="Times New Roman"/>
                <w:b w:val="0"/>
                <w:bCs w:val="0"/>
                <w:color w:val="auto"/>
                <w:kern w:val="2"/>
                <w:sz w:val="21"/>
                <w:szCs w:val="24"/>
                <w:highlight w:val="none"/>
                <w:lang w:val="de-DE"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eastAsia="宋体" w:cs="Times New Roman"/>
                <w:b/>
                <w:bCs/>
                <w:color w:val="auto"/>
                <w:kern w:val="0"/>
                <w:sz w:val="21"/>
                <w:szCs w:val="21"/>
                <w:highlight w:val="none"/>
                <w:bdr w:val="single" w:sz="4" w:space="0"/>
                <w:lang w:val="en-US" w:eastAsia="zh-CN"/>
              </w:rPr>
            </w:pPr>
            <w:r>
              <w:rPr>
                <w:rFonts w:hint="eastAsia" w:cs="Times New Roman"/>
                <w:b/>
                <w:bCs/>
                <w:color w:val="auto"/>
                <w:kern w:val="0"/>
                <w:sz w:val="21"/>
                <w:szCs w:val="21"/>
                <w:highlight w:val="none"/>
                <w:lang w:val="de-DE" w:eastAsia="zh-CN"/>
              </w:rPr>
              <w:t>（</w:t>
            </w:r>
            <w:r>
              <w:rPr>
                <w:rFonts w:hint="eastAsia" w:cs="Times New Roman"/>
                <w:b/>
                <w:bCs/>
                <w:color w:val="auto"/>
                <w:kern w:val="0"/>
                <w:sz w:val="21"/>
                <w:szCs w:val="21"/>
                <w:highlight w:val="none"/>
                <w:lang w:val="en-US" w:eastAsia="zh-CN"/>
              </w:rPr>
              <w:t>5</w:t>
            </w:r>
            <w:r>
              <w:rPr>
                <w:rFonts w:hint="eastAsia" w:cs="Times New Roman"/>
                <w:b/>
                <w:bCs/>
                <w:color w:val="auto"/>
                <w:kern w:val="0"/>
                <w:sz w:val="21"/>
                <w:szCs w:val="21"/>
                <w:highlight w:val="none"/>
                <w:lang w:val="de-DE" w:eastAsia="zh-CN"/>
              </w:rPr>
              <w:t>）</w:t>
            </w:r>
            <w:r>
              <w:rPr>
                <w:rFonts w:hint="default" w:ascii="Times New Roman" w:hAnsi="Times New Roman" w:eastAsia="宋体" w:cs="Times New Roman"/>
                <w:b/>
                <w:bCs/>
                <w:color w:val="auto"/>
                <w:kern w:val="0"/>
                <w:sz w:val="21"/>
                <w:szCs w:val="21"/>
                <w:highlight w:val="none"/>
                <w:lang w:val="de-DE" w:eastAsia="zh-CN"/>
              </w:rPr>
              <w:t>生活垃圾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项目生活垃圾产生量按照0.5kg/人</w:t>
            </w:r>
            <w:r>
              <w:rPr>
                <w:rFonts w:hint="default" w:ascii="Times New Roman" w:hAnsi="Times New Roman" w:eastAsia="宋体"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rPr>
              <w:t>d计算，劳动定员</w:t>
            </w:r>
            <w:r>
              <w:rPr>
                <w:rFonts w:hint="eastAsia" w:cs="Times New Roman"/>
                <w:bCs/>
                <w:color w:val="auto"/>
                <w:kern w:val="0"/>
                <w:sz w:val="21"/>
                <w:szCs w:val="21"/>
                <w:highlight w:val="none"/>
                <w:lang w:val="en-US" w:eastAsia="zh-CN"/>
              </w:rPr>
              <w:t>30</w:t>
            </w:r>
            <w:r>
              <w:rPr>
                <w:rFonts w:hint="default" w:ascii="Times New Roman" w:hAnsi="Times New Roman" w:cs="Times New Roman"/>
                <w:bCs/>
                <w:color w:val="auto"/>
                <w:kern w:val="0"/>
                <w:sz w:val="21"/>
                <w:szCs w:val="21"/>
                <w:highlight w:val="none"/>
              </w:rPr>
              <w:t>人，</w:t>
            </w:r>
            <w:r>
              <w:rPr>
                <w:rFonts w:hint="eastAsia" w:cs="Times New Roman"/>
                <w:bCs/>
                <w:color w:val="auto"/>
                <w:kern w:val="0"/>
                <w:sz w:val="21"/>
                <w:szCs w:val="21"/>
                <w:highlight w:val="none"/>
                <w:lang w:eastAsia="zh-CN"/>
              </w:rPr>
              <w:t>年工作时间为</w:t>
            </w:r>
            <w:r>
              <w:rPr>
                <w:rFonts w:hint="eastAsia" w:cs="Times New Roman"/>
                <w:bCs/>
                <w:color w:val="auto"/>
                <w:kern w:val="0"/>
                <w:sz w:val="21"/>
                <w:szCs w:val="21"/>
                <w:highlight w:val="none"/>
                <w:lang w:val="en-US" w:eastAsia="zh-CN"/>
              </w:rPr>
              <w:t>300天</w:t>
            </w:r>
            <w:r>
              <w:rPr>
                <w:rFonts w:hint="eastAsia" w:cs="Times New Roman"/>
                <w:bCs/>
                <w:color w:val="auto"/>
                <w:kern w:val="0"/>
                <w:sz w:val="21"/>
                <w:szCs w:val="21"/>
                <w:highlight w:val="none"/>
                <w:lang w:eastAsia="zh-CN"/>
              </w:rPr>
              <w:t>，</w:t>
            </w:r>
            <w:r>
              <w:rPr>
                <w:rFonts w:hint="default" w:ascii="Times New Roman" w:hAnsi="Times New Roman" w:cs="Times New Roman"/>
                <w:bCs/>
                <w:color w:val="auto"/>
                <w:kern w:val="0"/>
                <w:sz w:val="21"/>
                <w:szCs w:val="21"/>
                <w:highlight w:val="none"/>
              </w:rPr>
              <w:t>则职工办公生活垃圾产生量为</w:t>
            </w:r>
            <w:r>
              <w:rPr>
                <w:rFonts w:hint="eastAsia" w:cs="Times New Roman"/>
                <w:bCs/>
                <w:color w:val="auto"/>
                <w:kern w:val="0"/>
                <w:sz w:val="21"/>
                <w:szCs w:val="21"/>
                <w:highlight w:val="none"/>
                <w:lang w:val="en-US" w:eastAsia="zh-CN"/>
              </w:rPr>
              <w:t>4.5</w:t>
            </w:r>
            <w:r>
              <w:rPr>
                <w:rFonts w:hint="default" w:ascii="Times New Roman" w:hAnsi="Times New Roman" w:cs="Times New Roman"/>
                <w:bCs/>
                <w:color w:val="auto"/>
                <w:kern w:val="0"/>
                <w:sz w:val="21"/>
                <w:szCs w:val="21"/>
                <w:highlight w:val="none"/>
              </w:rPr>
              <w:t>t/a。生活垃圾</w:t>
            </w:r>
            <w:r>
              <w:rPr>
                <w:rFonts w:hint="eastAsia" w:cs="Times New Roman"/>
                <w:bCs/>
                <w:color w:val="auto"/>
                <w:kern w:val="0"/>
                <w:sz w:val="21"/>
                <w:szCs w:val="21"/>
                <w:highlight w:val="none"/>
                <w:lang w:eastAsia="zh-CN"/>
              </w:rPr>
              <w:t>经设置垃圾收集箱</w:t>
            </w:r>
            <w:r>
              <w:rPr>
                <w:rFonts w:hint="default" w:ascii="Times New Roman" w:hAnsi="Times New Roman" w:cs="Times New Roman"/>
                <w:bCs/>
                <w:color w:val="auto"/>
                <w:kern w:val="0"/>
                <w:sz w:val="21"/>
                <w:szCs w:val="21"/>
                <w:highlight w:val="none"/>
              </w:rPr>
              <w:t>收集后交由环卫部门统一清运。</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firstLine="420" w:firstLineChars="200"/>
              <w:jc w:val="both"/>
              <w:textAlignment w:val="auto"/>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rPr>
              <w:t>项目运营期固体废物产生及处理处置情况见表</w:t>
            </w:r>
            <w:r>
              <w:rPr>
                <w:rFonts w:hint="eastAsia" w:cs="Times New Roman"/>
                <w:bCs/>
                <w:color w:val="auto"/>
                <w:kern w:val="0"/>
                <w:szCs w:val="21"/>
                <w:highlight w:val="none"/>
                <w:lang w:val="en-US" w:eastAsia="zh-CN"/>
              </w:rPr>
              <w:t>42</w:t>
            </w:r>
            <w:r>
              <w:rPr>
                <w:rFonts w:hint="default" w:ascii="Times New Roman" w:hAnsi="Times New Roman" w:cs="Times New Roman"/>
                <w:bCs/>
                <w:color w:val="auto"/>
                <w:kern w:val="0"/>
                <w:szCs w:val="21"/>
                <w:highlight w:val="none"/>
              </w:rPr>
              <w:t>，其中危险废物产生及处置情况见表</w:t>
            </w:r>
            <w:r>
              <w:rPr>
                <w:rFonts w:hint="eastAsia" w:ascii="Times New Roman" w:hAnsi="Times New Roman" w:cs="Times New Roman"/>
                <w:bCs/>
                <w:color w:val="auto"/>
                <w:kern w:val="0"/>
                <w:szCs w:val="21"/>
                <w:highlight w:val="none"/>
                <w:lang w:val="en-US" w:eastAsia="zh-CN"/>
              </w:rPr>
              <w:t>4</w:t>
            </w:r>
            <w:r>
              <w:rPr>
                <w:rFonts w:hint="eastAsia" w:cs="Times New Roman"/>
                <w:bCs/>
                <w:color w:val="auto"/>
                <w:kern w:val="0"/>
                <w:szCs w:val="21"/>
                <w:highlight w:val="none"/>
                <w:lang w:val="en-US" w:eastAsia="zh-CN"/>
              </w:rPr>
              <w:t>3</w:t>
            </w:r>
            <w:r>
              <w:rPr>
                <w:rFonts w:hint="default" w:ascii="Times New Roman" w:hAnsi="Times New Roman" w:cs="Times New Roman"/>
                <w:bCs/>
                <w:color w:val="auto"/>
                <w:kern w:val="0"/>
                <w:szCs w:val="21"/>
                <w:highlight w:val="none"/>
              </w:rPr>
              <w:t>，危险废物贮存场所基本情况见表</w:t>
            </w:r>
            <w:r>
              <w:rPr>
                <w:rFonts w:hint="eastAsia" w:ascii="Times New Roman" w:hAnsi="Times New Roman" w:cs="Times New Roman"/>
                <w:bCs/>
                <w:color w:val="auto"/>
                <w:kern w:val="0"/>
                <w:szCs w:val="21"/>
                <w:highlight w:val="none"/>
                <w:lang w:val="en-US" w:eastAsia="zh-CN"/>
              </w:rPr>
              <w:t>4</w:t>
            </w:r>
            <w:r>
              <w:rPr>
                <w:rFonts w:hint="eastAsia" w:cs="Times New Roman"/>
                <w:bCs/>
                <w:color w:val="auto"/>
                <w:kern w:val="0"/>
                <w:szCs w:val="21"/>
                <w:highlight w:val="none"/>
                <w:lang w:val="en-US" w:eastAsia="zh-CN"/>
              </w:rPr>
              <w:t>4</w:t>
            </w:r>
            <w:r>
              <w:rPr>
                <w:rFonts w:hint="default" w:ascii="Times New Roman" w:hAnsi="Times New Roman" w:cs="Times New Roman"/>
                <w:bCs/>
                <w:color w:val="auto"/>
                <w:kern w:val="0"/>
                <w:szCs w:val="21"/>
                <w:highlight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固废产生情况及治理措施一览表</w:t>
            </w:r>
          </w:p>
          <w:tbl>
            <w:tblPr>
              <w:tblStyle w:val="21"/>
              <w:tblW w:w="4998"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12"/>
              <w:gridCol w:w="1131"/>
              <w:gridCol w:w="969"/>
              <w:gridCol w:w="1010"/>
              <w:gridCol w:w="1213"/>
              <w:gridCol w:w="1220"/>
              <w:gridCol w:w="2045"/>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7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序号</w:t>
                  </w:r>
                </w:p>
              </w:tc>
              <w:tc>
                <w:tcPr>
                  <w:tcW w:w="68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名称</w:t>
                  </w:r>
                </w:p>
              </w:tc>
              <w:tc>
                <w:tcPr>
                  <w:tcW w:w="59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属性</w:t>
                  </w:r>
                </w:p>
              </w:tc>
              <w:tc>
                <w:tcPr>
                  <w:tcW w:w="615"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eastAsia="zh-CN"/>
                    </w:rPr>
                  </w:pPr>
                  <w:r>
                    <w:rPr>
                      <w:rFonts w:hint="default" w:ascii="Times New Roman" w:hAnsi="Times New Roman" w:cs="Times New Roman" w:eastAsiaTheme="minorEastAsia"/>
                      <w:b w:val="0"/>
                      <w:bCs w:val="0"/>
                      <w:color w:val="auto"/>
                      <w:sz w:val="18"/>
                      <w:szCs w:val="18"/>
                      <w:highlight w:val="none"/>
                      <w:u w:val="none"/>
                    </w:rPr>
                    <w:t>废物类别</w:t>
                  </w:r>
                </w:p>
              </w:tc>
              <w:tc>
                <w:tcPr>
                  <w:tcW w:w="73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eastAsia" w:ascii="Times New Roman" w:hAnsi="Times New Roman" w:cs="Times New Roman" w:eastAsiaTheme="minorEastAsia"/>
                      <w:b w:val="0"/>
                      <w:bCs w:val="0"/>
                      <w:color w:val="auto"/>
                      <w:sz w:val="18"/>
                      <w:szCs w:val="18"/>
                      <w:highlight w:val="none"/>
                      <w:u w:val="none"/>
                      <w:lang w:eastAsia="zh-CN"/>
                    </w:rPr>
                    <w:t>废物</w:t>
                  </w:r>
                  <w:r>
                    <w:rPr>
                      <w:rFonts w:hint="default" w:ascii="Times New Roman" w:hAnsi="Times New Roman" w:cs="Times New Roman" w:eastAsiaTheme="minorEastAsia"/>
                      <w:b w:val="0"/>
                      <w:bCs w:val="0"/>
                      <w:color w:val="auto"/>
                      <w:sz w:val="18"/>
                      <w:szCs w:val="18"/>
                      <w:highlight w:val="none"/>
                      <w:u w:val="none"/>
                      <w:lang w:eastAsia="zh-CN"/>
                    </w:rPr>
                    <w:t>代码</w:t>
                  </w:r>
                </w:p>
              </w:tc>
              <w:tc>
                <w:tcPr>
                  <w:tcW w:w="74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产生量（t/a）</w:t>
                  </w:r>
                </w:p>
              </w:tc>
              <w:tc>
                <w:tcPr>
                  <w:tcW w:w="124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处置措施</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7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1</w:t>
                  </w:r>
                </w:p>
              </w:tc>
              <w:tc>
                <w:tcPr>
                  <w:tcW w:w="68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eastAsia="zh-CN"/>
                    </w:rPr>
                    <w:t>废润滑油</w:t>
                  </w:r>
                </w:p>
              </w:tc>
              <w:tc>
                <w:tcPr>
                  <w:tcW w:w="59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eastAsia="zh-CN"/>
                    </w:rPr>
                    <w:t>危险</w:t>
                  </w:r>
                  <w:r>
                    <w:rPr>
                      <w:rFonts w:hint="default" w:ascii="Times New Roman" w:hAnsi="Times New Roman" w:cs="Times New Roman" w:eastAsiaTheme="minorEastAsia"/>
                      <w:b w:val="0"/>
                      <w:bCs w:val="0"/>
                      <w:color w:val="auto"/>
                      <w:sz w:val="18"/>
                      <w:szCs w:val="18"/>
                      <w:highlight w:val="none"/>
                      <w:u w:val="none"/>
                    </w:rPr>
                    <w:t>固废</w:t>
                  </w:r>
                </w:p>
              </w:tc>
              <w:tc>
                <w:tcPr>
                  <w:tcW w:w="615"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HW08</w:t>
                  </w:r>
                </w:p>
              </w:tc>
              <w:tc>
                <w:tcPr>
                  <w:tcW w:w="73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cs="Times New Roman" w:eastAsiaTheme="minorEastAsia"/>
                      <w:b w:val="0"/>
                      <w:bCs w:val="0"/>
                      <w:color w:val="auto"/>
                      <w:kern w:val="2"/>
                      <w:sz w:val="18"/>
                      <w:szCs w:val="18"/>
                      <w:highlight w:val="none"/>
                      <w:u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900-21</w:t>
                  </w:r>
                  <w:r>
                    <w:rPr>
                      <w:rFonts w:hint="default" w:ascii="Times New Roman" w:hAnsi="Times New Roman" w:cs="Times New Roman"/>
                      <w:color w:val="auto"/>
                      <w:kern w:val="2"/>
                      <w:sz w:val="18"/>
                      <w:szCs w:val="18"/>
                      <w:highlight w:val="none"/>
                      <w:lang w:val="en-US" w:eastAsia="zh-CN" w:bidi="ar-SA"/>
                    </w:rPr>
                    <w:t>7</w:t>
                  </w:r>
                  <w:r>
                    <w:rPr>
                      <w:rFonts w:hint="default" w:ascii="Times New Roman" w:hAnsi="Times New Roman" w:eastAsia="宋体" w:cs="Times New Roman"/>
                      <w:color w:val="auto"/>
                      <w:kern w:val="2"/>
                      <w:sz w:val="18"/>
                      <w:szCs w:val="18"/>
                      <w:highlight w:val="none"/>
                      <w:lang w:val="en-US" w:eastAsia="zh-CN" w:bidi="ar-SA"/>
                    </w:rPr>
                    <w:t>-08</w:t>
                  </w:r>
                </w:p>
              </w:tc>
              <w:tc>
                <w:tcPr>
                  <w:tcW w:w="74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eastAsia" w:cs="Times New Roman" w:eastAsiaTheme="minorEastAsia"/>
                      <w:b w:val="0"/>
                      <w:bCs w:val="0"/>
                      <w:color w:val="auto"/>
                      <w:kern w:val="2"/>
                      <w:sz w:val="18"/>
                      <w:szCs w:val="18"/>
                      <w:highlight w:val="none"/>
                      <w:u w:val="none"/>
                      <w:lang w:val="en-US" w:eastAsia="zh-CN" w:bidi="ar-SA"/>
                    </w:rPr>
                    <w:t>0.2</w:t>
                  </w:r>
                </w:p>
              </w:tc>
              <w:tc>
                <w:tcPr>
                  <w:tcW w:w="1246"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eastAsia="zh-CN"/>
                    </w:rPr>
                  </w:pPr>
                  <w:r>
                    <w:rPr>
                      <w:rFonts w:hint="default" w:ascii="Times New Roman" w:hAnsi="Times New Roman" w:cs="Times New Roman" w:eastAsiaTheme="minorEastAsia"/>
                      <w:b w:val="0"/>
                      <w:bCs w:val="0"/>
                      <w:color w:val="auto"/>
                      <w:sz w:val="18"/>
                      <w:szCs w:val="18"/>
                      <w:highlight w:val="none"/>
                      <w:u w:val="none"/>
                    </w:rPr>
                    <w:t>危险固废暂存间暂存，定期委托有资质的危废处置单位</w:t>
                  </w:r>
                  <w:r>
                    <w:rPr>
                      <w:rFonts w:hint="default" w:ascii="Times New Roman" w:hAnsi="Times New Roman" w:cs="Times New Roman" w:eastAsiaTheme="minorEastAsia"/>
                      <w:b w:val="0"/>
                      <w:bCs w:val="0"/>
                      <w:color w:val="auto"/>
                      <w:sz w:val="18"/>
                      <w:szCs w:val="18"/>
                      <w:highlight w:val="none"/>
                      <w:u w:val="none"/>
                      <w:lang w:eastAsia="zh-CN"/>
                    </w:rPr>
                    <w:t>回收处理</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7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2</w:t>
                  </w:r>
                </w:p>
              </w:tc>
              <w:tc>
                <w:tcPr>
                  <w:tcW w:w="68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eastAsia="zh-CN"/>
                    </w:rPr>
                    <w:t>废</w:t>
                  </w:r>
                  <w:r>
                    <w:rPr>
                      <w:rFonts w:hint="default" w:ascii="Times New Roman" w:hAnsi="Times New Roman" w:cs="Times New Roman" w:eastAsiaTheme="minorEastAsia"/>
                      <w:b w:val="0"/>
                      <w:bCs w:val="0"/>
                      <w:color w:val="auto"/>
                      <w:sz w:val="18"/>
                      <w:szCs w:val="18"/>
                      <w:highlight w:val="none"/>
                      <w:u w:val="none"/>
                      <w:lang w:val="en-US" w:eastAsia="zh-CN"/>
                    </w:rPr>
                    <w:t>UV灯管</w:t>
                  </w:r>
                </w:p>
              </w:tc>
              <w:tc>
                <w:tcPr>
                  <w:tcW w:w="59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危险固废</w:t>
                  </w:r>
                </w:p>
              </w:tc>
              <w:tc>
                <w:tcPr>
                  <w:tcW w:w="615"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HW29</w:t>
                  </w:r>
                </w:p>
              </w:tc>
              <w:tc>
                <w:tcPr>
                  <w:tcW w:w="73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cs="Times New Roman" w:eastAsiaTheme="minorEastAsia"/>
                      <w:b w:val="0"/>
                      <w:bCs w:val="0"/>
                      <w:color w:val="auto"/>
                      <w:kern w:val="2"/>
                      <w:sz w:val="18"/>
                      <w:szCs w:val="18"/>
                      <w:highlight w:val="none"/>
                      <w:u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900-023-29</w:t>
                  </w:r>
                </w:p>
              </w:tc>
              <w:tc>
                <w:tcPr>
                  <w:tcW w:w="74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eastAsia" w:cs="Times New Roman" w:eastAsiaTheme="minorEastAsia"/>
                      <w:b w:val="0"/>
                      <w:bCs w:val="0"/>
                      <w:color w:val="auto"/>
                      <w:kern w:val="2"/>
                      <w:sz w:val="18"/>
                      <w:szCs w:val="18"/>
                      <w:highlight w:val="none"/>
                      <w:u w:val="none"/>
                      <w:lang w:val="en-US" w:eastAsia="zh-CN" w:bidi="ar-SA"/>
                    </w:rPr>
                    <w:t>0.008</w:t>
                  </w:r>
                </w:p>
              </w:tc>
              <w:tc>
                <w:tcPr>
                  <w:tcW w:w="12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green"/>
                      <w:u w:val="none"/>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7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3</w:t>
                  </w:r>
                </w:p>
              </w:tc>
              <w:tc>
                <w:tcPr>
                  <w:tcW w:w="68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eastAsia="zh-CN"/>
                    </w:rPr>
                    <w:t>废活性炭</w:t>
                  </w:r>
                </w:p>
              </w:tc>
              <w:tc>
                <w:tcPr>
                  <w:tcW w:w="59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eastAsia="zh-CN"/>
                    </w:rPr>
                    <w:t>危险</w:t>
                  </w:r>
                  <w:r>
                    <w:rPr>
                      <w:rFonts w:hint="default" w:ascii="Times New Roman" w:hAnsi="Times New Roman" w:cs="Times New Roman" w:eastAsiaTheme="minorEastAsia"/>
                      <w:b w:val="0"/>
                      <w:bCs w:val="0"/>
                      <w:color w:val="auto"/>
                      <w:sz w:val="18"/>
                      <w:szCs w:val="18"/>
                      <w:highlight w:val="none"/>
                      <w:u w:val="none"/>
                    </w:rPr>
                    <w:t>固废</w:t>
                  </w:r>
                </w:p>
              </w:tc>
              <w:tc>
                <w:tcPr>
                  <w:tcW w:w="615" w:type="pct"/>
                  <w:tcBorders>
                    <w:left w:val="single" w:color="auto" w:sz="4" w:space="0"/>
                  </w:tcBorders>
                  <w:noWrap w:val="0"/>
                  <w:vAlign w:val="center"/>
                </w:tcPr>
                <w:p>
                  <w:pPr>
                    <w:pStyle w:val="75"/>
                    <w:keepNext w:val="0"/>
                    <w:keepLines w:val="0"/>
                    <w:pageBreakBefore w:val="0"/>
                    <w:kinsoku/>
                    <w:wordWrap/>
                    <w:overflowPunct/>
                    <w:topLinePunct w:val="0"/>
                    <w:autoSpaceDE/>
                    <w:autoSpaceDN/>
                    <w:bidi w:val="0"/>
                    <w:adjustRightInd/>
                    <w:snapToGrid/>
                    <w:spacing w:line="320" w:lineRule="exact"/>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HW49</w:t>
                  </w:r>
                </w:p>
              </w:tc>
              <w:tc>
                <w:tcPr>
                  <w:tcW w:w="739" w:type="pct"/>
                  <w:noWrap w:val="0"/>
                  <w:vAlign w:val="center"/>
                </w:tcPr>
                <w:p>
                  <w:pPr>
                    <w:pStyle w:val="75"/>
                    <w:keepNext w:val="0"/>
                    <w:keepLines w:val="0"/>
                    <w:pageBreakBefore w:val="0"/>
                    <w:kinsoku/>
                    <w:wordWrap/>
                    <w:overflowPunct/>
                    <w:topLinePunct w:val="0"/>
                    <w:autoSpaceDE/>
                    <w:autoSpaceDN/>
                    <w:bidi w:val="0"/>
                    <w:adjustRightInd/>
                    <w:snapToGrid/>
                    <w:spacing w:line="320" w:lineRule="exact"/>
                    <w:ind w:firstLine="0" w:firstLineChars="0"/>
                    <w:rPr>
                      <w:rFonts w:hint="eastAsia"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900-0</w:t>
                  </w:r>
                  <w:r>
                    <w:rPr>
                      <w:rFonts w:hint="default" w:ascii="Times New Roman" w:hAnsi="Times New Roman" w:cs="Times New Roman"/>
                      <w:color w:val="auto"/>
                      <w:sz w:val="18"/>
                      <w:szCs w:val="18"/>
                      <w:highlight w:val="none"/>
                      <w:lang w:val="en-US" w:eastAsia="zh-CN"/>
                    </w:rPr>
                    <w:t>39</w:t>
                  </w:r>
                  <w:r>
                    <w:rPr>
                      <w:rFonts w:hint="default" w:ascii="Times New Roman" w:hAnsi="Times New Roman" w:cs="Times New Roman"/>
                      <w:color w:val="auto"/>
                      <w:sz w:val="18"/>
                      <w:szCs w:val="18"/>
                      <w:highlight w:val="none"/>
                      <w:lang w:eastAsia="zh-CN"/>
                    </w:rPr>
                    <w:t>-49</w:t>
                  </w:r>
                </w:p>
              </w:tc>
              <w:tc>
                <w:tcPr>
                  <w:tcW w:w="743" w:type="pct"/>
                  <w:noWrap w:val="0"/>
                  <w:vAlign w:val="center"/>
                </w:tcPr>
                <w:p>
                  <w:pPr>
                    <w:pStyle w:val="75"/>
                    <w:keepNext w:val="0"/>
                    <w:keepLines w:val="0"/>
                    <w:pageBreakBefore w:val="0"/>
                    <w:kinsoku/>
                    <w:wordWrap/>
                    <w:overflowPunct/>
                    <w:topLinePunct w:val="0"/>
                    <w:autoSpaceDE/>
                    <w:autoSpaceDN/>
                    <w:bidi w:val="0"/>
                    <w:adjustRightInd/>
                    <w:snapToGrid/>
                    <w:spacing w:line="320" w:lineRule="exact"/>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0.9375</w:t>
                  </w:r>
                </w:p>
              </w:tc>
              <w:tc>
                <w:tcPr>
                  <w:tcW w:w="124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green"/>
                      <w:u w:val="none"/>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7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eastAsia" w:cs="Times New Roman" w:eastAsiaTheme="minorEastAsia"/>
                      <w:b w:val="0"/>
                      <w:bCs w:val="0"/>
                      <w:color w:val="auto"/>
                      <w:kern w:val="2"/>
                      <w:sz w:val="18"/>
                      <w:szCs w:val="18"/>
                      <w:highlight w:val="none"/>
                      <w:u w:val="none"/>
                      <w:lang w:val="en-US" w:eastAsia="zh-CN" w:bidi="ar-SA"/>
                    </w:rPr>
                    <w:t>4</w:t>
                  </w:r>
                </w:p>
              </w:tc>
              <w:tc>
                <w:tcPr>
                  <w:tcW w:w="68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eastAsia="zh-CN"/>
                    </w:rPr>
                  </w:pPr>
                  <w:r>
                    <w:rPr>
                      <w:rFonts w:hint="eastAsia" w:cs="Times New Roman" w:eastAsiaTheme="minorEastAsia"/>
                      <w:b w:val="0"/>
                      <w:bCs w:val="0"/>
                      <w:color w:val="auto"/>
                      <w:sz w:val="18"/>
                      <w:szCs w:val="18"/>
                      <w:highlight w:val="none"/>
                      <w:u w:val="none"/>
                      <w:lang w:eastAsia="zh-CN"/>
                    </w:rPr>
                    <w:t>原辅材料废包装</w:t>
                  </w:r>
                </w:p>
              </w:tc>
              <w:tc>
                <w:tcPr>
                  <w:tcW w:w="59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一般固废</w:t>
                  </w:r>
                </w:p>
              </w:tc>
              <w:tc>
                <w:tcPr>
                  <w:tcW w:w="615"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val="0"/>
                      <w:bCs w:val="0"/>
                      <w:color w:val="auto"/>
                      <w:sz w:val="18"/>
                      <w:szCs w:val="18"/>
                      <w:highlight w:val="none"/>
                      <w:u w:val="none"/>
                      <w:lang w:val="en-US" w:eastAsia="zh-CN"/>
                    </w:rPr>
                    <w:t>/</w:t>
                  </w:r>
                </w:p>
              </w:tc>
              <w:tc>
                <w:tcPr>
                  <w:tcW w:w="73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i w:val="0"/>
                      <w:iCs w:val="0"/>
                      <w:color w:val="auto"/>
                      <w:kern w:val="2"/>
                      <w:sz w:val="18"/>
                      <w:szCs w:val="18"/>
                      <w:highlight w:val="none"/>
                      <w:u w:val="none"/>
                      <w:lang w:val="en-US" w:eastAsia="zh-CN" w:bidi="ar-SA"/>
                    </w:rPr>
                  </w:pPr>
                  <w:r>
                    <w:rPr>
                      <w:rFonts w:hint="eastAsia" w:cs="Times New Roman"/>
                      <w:i w:val="0"/>
                      <w:iCs w:val="0"/>
                      <w:color w:val="auto"/>
                      <w:kern w:val="2"/>
                      <w:sz w:val="18"/>
                      <w:szCs w:val="18"/>
                      <w:highlight w:val="none"/>
                      <w:u w:val="none"/>
                      <w:lang w:val="en-US" w:eastAsia="zh-CN" w:bidi="ar-SA"/>
                    </w:rPr>
                    <w:t>/</w:t>
                  </w:r>
                </w:p>
              </w:tc>
              <w:tc>
                <w:tcPr>
                  <w:tcW w:w="74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eastAsia" w:cs="Times New Roman"/>
                      <w:i w:val="0"/>
                      <w:iCs w:val="0"/>
                      <w:color w:val="auto"/>
                      <w:kern w:val="2"/>
                      <w:sz w:val="18"/>
                      <w:szCs w:val="18"/>
                      <w:highlight w:val="none"/>
                      <w:u w:val="none"/>
                      <w:lang w:val="en-US" w:eastAsia="zh-CN" w:bidi="ar-SA"/>
                    </w:rPr>
                    <w:t>0.5</w:t>
                  </w:r>
                </w:p>
              </w:tc>
              <w:tc>
                <w:tcPr>
                  <w:tcW w:w="1246" w:type="pct"/>
                  <w:vMerge w:val="restart"/>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一般固废暂存</w:t>
                  </w:r>
                  <w:r>
                    <w:rPr>
                      <w:rFonts w:hint="default" w:ascii="Times New Roman" w:hAnsi="Times New Roman" w:cs="Times New Roman" w:eastAsiaTheme="minorEastAsia"/>
                      <w:b w:val="0"/>
                      <w:bCs w:val="0"/>
                      <w:color w:val="auto"/>
                      <w:sz w:val="18"/>
                      <w:szCs w:val="18"/>
                      <w:highlight w:val="none"/>
                      <w:u w:val="none"/>
                      <w:lang w:eastAsia="zh-CN"/>
                    </w:rPr>
                    <w:t>间</w:t>
                  </w:r>
                  <w:r>
                    <w:rPr>
                      <w:rFonts w:hint="default" w:ascii="Times New Roman" w:hAnsi="Times New Roman" w:cs="Times New Roman" w:eastAsiaTheme="minorEastAsia"/>
                      <w:b w:val="0"/>
                      <w:bCs w:val="0"/>
                      <w:color w:val="auto"/>
                      <w:sz w:val="18"/>
                      <w:szCs w:val="18"/>
                      <w:highlight w:val="none"/>
                      <w:u w:val="none"/>
                    </w:rPr>
                    <w:t>暂存后</w:t>
                  </w:r>
                  <w:r>
                    <w:rPr>
                      <w:rFonts w:hint="default" w:ascii="Times New Roman" w:hAnsi="Times New Roman" w:cs="Times New Roman" w:eastAsiaTheme="minorEastAsia"/>
                      <w:b w:val="0"/>
                      <w:bCs w:val="0"/>
                      <w:color w:val="auto"/>
                      <w:sz w:val="18"/>
                      <w:szCs w:val="18"/>
                      <w:highlight w:val="none"/>
                      <w:u w:val="none"/>
                      <w:lang w:eastAsia="zh-CN"/>
                    </w:rPr>
                    <w:t>，定期外售废品回收单位</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7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eastAsia" w:cs="Times New Roman" w:eastAsiaTheme="minorEastAsia"/>
                      <w:b w:val="0"/>
                      <w:bCs w:val="0"/>
                      <w:color w:val="auto"/>
                      <w:kern w:val="2"/>
                      <w:sz w:val="18"/>
                      <w:szCs w:val="18"/>
                      <w:highlight w:val="none"/>
                      <w:u w:val="none"/>
                      <w:lang w:val="en-US" w:eastAsia="zh-CN" w:bidi="ar-SA"/>
                    </w:rPr>
                    <w:t>5</w:t>
                  </w:r>
                </w:p>
              </w:tc>
              <w:tc>
                <w:tcPr>
                  <w:tcW w:w="68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eastAsia="zh-CN"/>
                    </w:rPr>
                  </w:pPr>
                  <w:r>
                    <w:rPr>
                      <w:rFonts w:hint="eastAsia" w:cs="Times New Roman" w:eastAsiaTheme="minorEastAsia"/>
                      <w:b w:val="0"/>
                      <w:bCs w:val="0"/>
                      <w:color w:val="auto"/>
                      <w:sz w:val="18"/>
                      <w:szCs w:val="18"/>
                      <w:highlight w:val="none"/>
                      <w:u w:val="none"/>
                      <w:lang w:eastAsia="zh-CN"/>
                    </w:rPr>
                    <w:t>分切边角料</w:t>
                  </w:r>
                </w:p>
              </w:tc>
              <w:tc>
                <w:tcPr>
                  <w:tcW w:w="59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eastAsia="zh-CN"/>
                    </w:rPr>
                  </w:pPr>
                  <w:r>
                    <w:rPr>
                      <w:rFonts w:hint="default" w:ascii="Times New Roman" w:hAnsi="Times New Roman" w:cs="Times New Roman" w:eastAsiaTheme="minorEastAsia"/>
                      <w:b w:val="0"/>
                      <w:bCs w:val="0"/>
                      <w:color w:val="auto"/>
                      <w:sz w:val="18"/>
                      <w:szCs w:val="18"/>
                      <w:highlight w:val="none"/>
                      <w:u w:val="none"/>
                      <w:lang w:eastAsia="zh-CN"/>
                    </w:rPr>
                    <w:t>一般固废</w:t>
                  </w:r>
                </w:p>
              </w:tc>
              <w:tc>
                <w:tcPr>
                  <w:tcW w:w="615"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u w:val="none"/>
                      <w:lang w:val="en-US" w:eastAsia="zh-CN"/>
                    </w:rPr>
                  </w:pPr>
                  <w:r>
                    <w:rPr>
                      <w:rFonts w:hint="default" w:ascii="Times New Roman" w:hAnsi="Times New Roman" w:cs="Times New Roman"/>
                      <w:b w:val="0"/>
                      <w:bCs w:val="0"/>
                      <w:color w:val="auto"/>
                      <w:sz w:val="18"/>
                      <w:szCs w:val="18"/>
                      <w:highlight w:val="none"/>
                      <w:u w:val="none"/>
                      <w:lang w:val="en-US" w:eastAsia="zh-CN"/>
                    </w:rPr>
                    <w:t>/</w:t>
                  </w:r>
                </w:p>
              </w:tc>
              <w:tc>
                <w:tcPr>
                  <w:tcW w:w="73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i w:val="0"/>
                      <w:iCs w:val="0"/>
                      <w:color w:val="auto"/>
                      <w:kern w:val="2"/>
                      <w:sz w:val="18"/>
                      <w:szCs w:val="18"/>
                      <w:highlight w:val="none"/>
                      <w:u w:val="none"/>
                      <w:lang w:val="en-US" w:eastAsia="zh-CN" w:bidi="ar-SA"/>
                    </w:rPr>
                  </w:pPr>
                  <w:r>
                    <w:rPr>
                      <w:rFonts w:hint="eastAsia" w:cs="Times New Roman"/>
                      <w:i w:val="0"/>
                      <w:iCs w:val="0"/>
                      <w:color w:val="auto"/>
                      <w:kern w:val="2"/>
                      <w:sz w:val="18"/>
                      <w:szCs w:val="18"/>
                      <w:highlight w:val="none"/>
                      <w:u w:val="none"/>
                      <w:lang w:val="en-US" w:eastAsia="zh-CN" w:bidi="ar-SA"/>
                    </w:rPr>
                    <w:t>/</w:t>
                  </w:r>
                </w:p>
              </w:tc>
              <w:tc>
                <w:tcPr>
                  <w:tcW w:w="74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eastAsia" w:cs="Times New Roman"/>
                      <w:i w:val="0"/>
                      <w:iCs w:val="0"/>
                      <w:color w:val="auto"/>
                      <w:kern w:val="2"/>
                      <w:sz w:val="18"/>
                      <w:szCs w:val="18"/>
                      <w:highlight w:val="none"/>
                      <w:u w:val="none"/>
                      <w:lang w:val="en-US" w:eastAsia="zh-CN" w:bidi="ar-SA"/>
                    </w:rPr>
                    <w:t>3</w:t>
                  </w:r>
                </w:p>
              </w:tc>
              <w:tc>
                <w:tcPr>
                  <w:tcW w:w="1246" w:type="pct"/>
                  <w:vMerge w:val="continue"/>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7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eastAsia" w:cs="Times New Roman" w:eastAsiaTheme="minorEastAsia"/>
                      <w:b w:val="0"/>
                      <w:bCs w:val="0"/>
                      <w:color w:val="auto"/>
                      <w:kern w:val="2"/>
                      <w:sz w:val="18"/>
                      <w:szCs w:val="18"/>
                      <w:highlight w:val="none"/>
                      <w:u w:val="none"/>
                      <w:lang w:val="en-US" w:eastAsia="zh-CN" w:bidi="ar-SA"/>
                    </w:rPr>
                    <w:t>6</w:t>
                  </w:r>
                </w:p>
              </w:tc>
              <w:tc>
                <w:tcPr>
                  <w:tcW w:w="68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eastAsia" w:cs="Times New Roman" w:eastAsiaTheme="minorEastAsia"/>
                      <w:b w:val="0"/>
                      <w:bCs w:val="0"/>
                      <w:color w:val="auto"/>
                      <w:sz w:val="18"/>
                      <w:szCs w:val="18"/>
                      <w:highlight w:val="none"/>
                      <w:u w:val="none"/>
                      <w:lang w:val="en-US" w:eastAsia="zh-CN"/>
                    </w:rPr>
                    <w:t>检验的不合格品电池</w:t>
                  </w:r>
                </w:p>
              </w:tc>
              <w:tc>
                <w:tcPr>
                  <w:tcW w:w="59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一般固废</w:t>
                  </w:r>
                </w:p>
              </w:tc>
              <w:tc>
                <w:tcPr>
                  <w:tcW w:w="615"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18"/>
                      <w:szCs w:val="18"/>
                      <w:highlight w:val="none"/>
                      <w:u w:val="none"/>
                      <w:lang w:val="en-US" w:eastAsia="zh-CN"/>
                    </w:rPr>
                  </w:pPr>
                  <w:r>
                    <w:rPr>
                      <w:rFonts w:hint="default" w:ascii="Times New Roman" w:hAnsi="Times New Roman" w:cs="Times New Roman"/>
                      <w:b w:val="0"/>
                      <w:bCs w:val="0"/>
                      <w:color w:val="auto"/>
                      <w:sz w:val="18"/>
                      <w:szCs w:val="18"/>
                      <w:highlight w:val="none"/>
                      <w:u w:val="none"/>
                      <w:lang w:val="en-US" w:eastAsia="zh-CN"/>
                    </w:rPr>
                    <w:t>/</w:t>
                  </w:r>
                </w:p>
              </w:tc>
              <w:tc>
                <w:tcPr>
                  <w:tcW w:w="73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cs="Times New Roman" w:eastAsiaTheme="minorEastAsia"/>
                      <w:b w:val="0"/>
                      <w:bCs w:val="0"/>
                      <w:color w:val="auto"/>
                      <w:sz w:val="18"/>
                      <w:szCs w:val="18"/>
                      <w:highlight w:val="none"/>
                      <w:u w:val="none"/>
                      <w:lang w:val="en-US" w:eastAsia="zh-CN"/>
                    </w:rPr>
                  </w:pPr>
                  <w:r>
                    <w:rPr>
                      <w:rFonts w:hint="eastAsia" w:cs="Times New Roman" w:eastAsiaTheme="minorEastAsia"/>
                      <w:b w:val="0"/>
                      <w:bCs w:val="0"/>
                      <w:color w:val="auto"/>
                      <w:sz w:val="18"/>
                      <w:szCs w:val="18"/>
                      <w:highlight w:val="none"/>
                      <w:u w:val="none"/>
                      <w:lang w:val="en-US" w:eastAsia="zh-CN"/>
                    </w:rPr>
                    <w:t>/</w:t>
                  </w:r>
                </w:p>
              </w:tc>
              <w:tc>
                <w:tcPr>
                  <w:tcW w:w="74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eastAsia" w:cs="Times New Roman" w:eastAsiaTheme="minorEastAsia"/>
                      <w:b w:val="0"/>
                      <w:bCs w:val="0"/>
                      <w:color w:val="auto"/>
                      <w:sz w:val="18"/>
                      <w:szCs w:val="18"/>
                      <w:highlight w:val="none"/>
                      <w:u w:val="none"/>
                      <w:lang w:val="en-US" w:eastAsia="zh-CN"/>
                    </w:rPr>
                    <w:t>14</w:t>
                  </w:r>
                </w:p>
              </w:tc>
              <w:tc>
                <w:tcPr>
                  <w:tcW w:w="1246" w:type="pct"/>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一般固废暂存</w:t>
                  </w:r>
                  <w:r>
                    <w:rPr>
                      <w:rFonts w:hint="default" w:ascii="Times New Roman" w:hAnsi="Times New Roman" w:cs="Times New Roman" w:eastAsiaTheme="minorEastAsia"/>
                      <w:b w:val="0"/>
                      <w:bCs w:val="0"/>
                      <w:color w:val="auto"/>
                      <w:sz w:val="18"/>
                      <w:szCs w:val="18"/>
                      <w:highlight w:val="none"/>
                      <w:u w:val="none"/>
                      <w:lang w:eastAsia="zh-CN"/>
                    </w:rPr>
                    <w:t>间</w:t>
                  </w:r>
                  <w:r>
                    <w:rPr>
                      <w:rFonts w:hint="default" w:ascii="Times New Roman" w:hAnsi="Times New Roman" w:cs="Times New Roman" w:eastAsiaTheme="minorEastAsia"/>
                      <w:b w:val="0"/>
                      <w:bCs w:val="0"/>
                      <w:color w:val="auto"/>
                      <w:sz w:val="18"/>
                      <w:szCs w:val="18"/>
                      <w:highlight w:val="none"/>
                      <w:u w:val="none"/>
                    </w:rPr>
                    <w:t>暂存后</w:t>
                  </w:r>
                  <w:r>
                    <w:rPr>
                      <w:rFonts w:hint="default" w:ascii="Times New Roman" w:hAnsi="Times New Roman" w:cs="Times New Roman" w:eastAsiaTheme="minorEastAsia"/>
                      <w:b w:val="0"/>
                      <w:bCs w:val="0"/>
                      <w:color w:val="auto"/>
                      <w:sz w:val="18"/>
                      <w:szCs w:val="18"/>
                      <w:highlight w:val="none"/>
                      <w:u w:val="none"/>
                      <w:lang w:eastAsia="zh-CN"/>
                    </w:rPr>
                    <w:t>，定期</w:t>
                  </w:r>
                  <w:r>
                    <w:rPr>
                      <w:rFonts w:hint="eastAsia" w:cs="Times New Roman" w:eastAsiaTheme="minorEastAsia"/>
                      <w:b w:val="0"/>
                      <w:bCs w:val="0"/>
                      <w:color w:val="auto"/>
                      <w:sz w:val="18"/>
                      <w:szCs w:val="18"/>
                      <w:highlight w:val="none"/>
                      <w:u w:val="none"/>
                      <w:lang w:eastAsia="zh-CN"/>
                    </w:rPr>
                    <w:t>交由废电池</w:t>
                  </w:r>
                  <w:r>
                    <w:rPr>
                      <w:rFonts w:hint="default" w:ascii="Times New Roman" w:hAnsi="Times New Roman" w:cs="Times New Roman" w:eastAsiaTheme="minorEastAsia"/>
                      <w:b w:val="0"/>
                      <w:bCs w:val="0"/>
                      <w:color w:val="auto"/>
                      <w:sz w:val="18"/>
                      <w:szCs w:val="18"/>
                      <w:highlight w:val="none"/>
                      <w:u w:val="none"/>
                      <w:lang w:eastAsia="zh-CN"/>
                    </w:rPr>
                    <w:t>回收单位</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7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cs="Times New Roman" w:eastAsiaTheme="minorEastAsia"/>
                      <w:b w:val="0"/>
                      <w:bCs w:val="0"/>
                      <w:color w:val="auto"/>
                      <w:kern w:val="2"/>
                      <w:sz w:val="18"/>
                      <w:szCs w:val="18"/>
                      <w:highlight w:val="none"/>
                      <w:u w:val="none"/>
                      <w:lang w:val="en-US" w:eastAsia="zh-CN" w:bidi="ar-SA"/>
                    </w:rPr>
                  </w:pPr>
                  <w:r>
                    <w:rPr>
                      <w:rFonts w:hint="eastAsia" w:cs="Times New Roman" w:eastAsiaTheme="minorEastAsia"/>
                      <w:b w:val="0"/>
                      <w:bCs w:val="0"/>
                      <w:color w:val="auto"/>
                      <w:kern w:val="2"/>
                      <w:sz w:val="18"/>
                      <w:szCs w:val="18"/>
                      <w:highlight w:val="none"/>
                      <w:u w:val="none"/>
                      <w:lang w:val="en-US" w:eastAsia="zh-CN" w:bidi="ar-SA"/>
                    </w:rPr>
                    <w:t>7</w:t>
                  </w:r>
                </w:p>
              </w:tc>
              <w:tc>
                <w:tcPr>
                  <w:tcW w:w="68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cs="Times New Roman" w:eastAsiaTheme="minorEastAsia"/>
                      <w:b w:val="0"/>
                      <w:bCs w:val="0"/>
                      <w:color w:val="auto"/>
                      <w:sz w:val="18"/>
                      <w:szCs w:val="18"/>
                      <w:highlight w:val="none"/>
                      <w:u w:val="none"/>
                      <w:lang w:val="en-US" w:eastAsia="zh-CN"/>
                    </w:rPr>
                  </w:pPr>
                  <w:r>
                    <w:rPr>
                      <w:rFonts w:hint="eastAsia" w:cs="Times New Roman" w:eastAsiaTheme="minorEastAsia"/>
                      <w:b w:val="0"/>
                      <w:bCs w:val="0"/>
                      <w:color w:val="auto"/>
                      <w:sz w:val="18"/>
                      <w:szCs w:val="18"/>
                      <w:highlight w:val="none"/>
                      <w:u w:val="none"/>
                      <w:lang w:val="en-US" w:eastAsia="zh-CN"/>
                    </w:rPr>
                    <w:t>污泥</w:t>
                  </w:r>
                </w:p>
              </w:tc>
              <w:tc>
                <w:tcPr>
                  <w:tcW w:w="59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eastAsiaTheme="minorEastAsia"/>
                      <w:b w:val="0"/>
                      <w:bCs w:val="0"/>
                      <w:color w:val="auto"/>
                      <w:sz w:val="18"/>
                      <w:szCs w:val="18"/>
                      <w:highlight w:val="none"/>
                      <w:u w:val="none"/>
                      <w:lang w:eastAsia="zh-CN"/>
                    </w:rPr>
                  </w:pPr>
                  <w:r>
                    <w:rPr>
                      <w:rFonts w:hint="eastAsia" w:cs="Times New Roman" w:eastAsiaTheme="minorEastAsia"/>
                      <w:b w:val="0"/>
                      <w:bCs w:val="0"/>
                      <w:color w:val="auto"/>
                      <w:sz w:val="18"/>
                      <w:szCs w:val="18"/>
                      <w:highlight w:val="none"/>
                      <w:u w:val="none"/>
                      <w:lang w:eastAsia="zh-CN"/>
                    </w:rPr>
                    <w:t>一般固废</w:t>
                  </w:r>
                </w:p>
              </w:tc>
              <w:tc>
                <w:tcPr>
                  <w:tcW w:w="615"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u w:val="none"/>
                      <w:lang w:val="en-US" w:eastAsia="zh-CN"/>
                    </w:rPr>
                  </w:pPr>
                  <w:r>
                    <w:rPr>
                      <w:rFonts w:hint="eastAsia" w:cs="Times New Roman"/>
                      <w:b w:val="0"/>
                      <w:bCs w:val="0"/>
                      <w:color w:val="auto"/>
                      <w:sz w:val="18"/>
                      <w:szCs w:val="18"/>
                      <w:highlight w:val="none"/>
                      <w:u w:val="none"/>
                      <w:lang w:val="en-US" w:eastAsia="zh-CN"/>
                    </w:rPr>
                    <w:t>/</w:t>
                  </w:r>
                </w:p>
              </w:tc>
              <w:tc>
                <w:tcPr>
                  <w:tcW w:w="73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cs="Times New Roman" w:eastAsiaTheme="minorEastAsia"/>
                      <w:b w:val="0"/>
                      <w:bCs w:val="0"/>
                      <w:color w:val="auto"/>
                      <w:sz w:val="18"/>
                      <w:szCs w:val="18"/>
                      <w:highlight w:val="none"/>
                      <w:u w:val="none"/>
                      <w:lang w:val="en-US" w:eastAsia="zh-CN"/>
                    </w:rPr>
                  </w:pPr>
                  <w:r>
                    <w:rPr>
                      <w:rFonts w:hint="eastAsia" w:cs="Times New Roman" w:eastAsiaTheme="minorEastAsia"/>
                      <w:b w:val="0"/>
                      <w:bCs w:val="0"/>
                      <w:color w:val="auto"/>
                      <w:sz w:val="18"/>
                      <w:szCs w:val="18"/>
                      <w:highlight w:val="none"/>
                      <w:u w:val="none"/>
                      <w:lang w:val="en-US" w:eastAsia="zh-CN"/>
                    </w:rPr>
                    <w:t>/</w:t>
                  </w:r>
                </w:p>
              </w:tc>
              <w:tc>
                <w:tcPr>
                  <w:tcW w:w="74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cs="Times New Roman" w:eastAsiaTheme="minorEastAsia"/>
                      <w:b w:val="0"/>
                      <w:bCs w:val="0"/>
                      <w:color w:val="auto"/>
                      <w:sz w:val="18"/>
                      <w:szCs w:val="18"/>
                      <w:highlight w:val="none"/>
                      <w:u w:val="none"/>
                      <w:lang w:val="en-US" w:eastAsia="zh-CN"/>
                    </w:rPr>
                  </w:pPr>
                  <w:r>
                    <w:rPr>
                      <w:rFonts w:hint="eastAsia" w:cs="Times New Roman" w:eastAsiaTheme="minorEastAsia"/>
                      <w:b w:val="0"/>
                      <w:bCs w:val="0"/>
                      <w:color w:val="auto"/>
                      <w:sz w:val="18"/>
                      <w:szCs w:val="18"/>
                      <w:highlight w:val="none"/>
                      <w:u w:val="none"/>
                      <w:lang w:val="en-US" w:eastAsia="zh-CN"/>
                    </w:rPr>
                    <w:t>0.0233</w:t>
                  </w:r>
                </w:p>
              </w:tc>
              <w:tc>
                <w:tcPr>
                  <w:tcW w:w="1246" w:type="pct"/>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cs="Times New Roman" w:eastAsiaTheme="minorEastAsia"/>
                      <w:b w:val="0"/>
                      <w:bCs w:val="0"/>
                      <w:color w:val="auto"/>
                      <w:sz w:val="18"/>
                      <w:szCs w:val="18"/>
                      <w:highlight w:val="none"/>
                      <w:u w:val="none"/>
                      <w:lang w:eastAsia="zh-CN"/>
                    </w:rPr>
                  </w:pPr>
                  <w:r>
                    <w:rPr>
                      <w:rFonts w:hint="eastAsia" w:cs="Times New Roman" w:eastAsiaTheme="minorEastAsia"/>
                      <w:b w:val="0"/>
                      <w:bCs w:val="0"/>
                      <w:color w:val="auto"/>
                      <w:sz w:val="18"/>
                      <w:szCs w:val="18"/>
                      <w:highlight w:val="none"/>
                      <w:u w:val="none"/>
                      <w:lang w:eastAsia="zh-CN"/>
                    </w:rPr>
                    <w:t>环卫部门清运处理</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7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eastAsia" w:cs="Times New Roman" w:eastAsiaTheme="minorEastAsia"/>
                      <w:b w:val="0"/>
                      <w:bCs w:val="0"/>
                      <w:color w:val="auto"/>
                      <w:kern w:val="2"/>
                      <w:sz w:val="18"/>
                      <w:szCs w:val="18"/>
                      <w:highlight w:val="none"/>
                      <w:u w:val="none"/>
                      <w:lang w:val="en-US" w:eastAsia="zh-CN" w:bidi="ar-SA"/>
                    </w:rPr>
                    <w:t>8</w:t>
                  </w:r>
                </w:p>
              </w:tc>
              <w:tc>
                <w:tcPr>
                  <w:tcW w:w="68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生活垃圾</w:t>
                  </w:r>
                </w:p>
              </w:tc>
              <w:tc>
                <w:tcPr>
                  <w:tcW w:w="59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一般固废</w:t>
                  </w:r>
                </w:p>
              </w:tc>
              <w:tc>
                <w:tcPr>
                  <w:tcW w:w="615"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w:t>
                  </w:r>
                </w:p>
              </w:tc>
              <w:tc>
                <w:tcPr>
                  <w:tcW w:w="73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cs="Times New Roman" w:eastAsiaTheme="minorEastAsia"/>
                      <w:b w:val="0"/>
                      <w:bCs w:val="0"/>
                      <w:color w:val="auto"/>
                      <w:sz w:val="18"/>
                      <w:szCs w:val="18"/>
                      <w:highlight w:val="none"/>
                      <w:u w:val="none"/>
                      <w:lang w:val="en-US" w:eastAsia="zh-CN"/>
                    </w:rPr>
                  </w:pPr>
                  <w:r>
                    <w:rPr>
                      <w:rFonts w:hint="eastAsia" w:cs="Times New Roman" w:eastAsiaTheme="minorEastAsia"/>
                      <w:b w:val="0"/>
                      <w:bCs w:val="0"/>
                      <w:color w:val="auto"/>
                      <w:sz w:val="18"/>
                      <w:szCs w:val="18"/>
                      <w:highlight w:val="none"/>
                      <w:u w:val="none"/>
                      <w:lang w:val="en-US" w:eastAsia="zh-CN"/>
                    </w:rPr>
                    <w:t>/</w:t>
                  </w:r>
                </w:p>
              </w:tc>
              <w:tc>
                <w:tcPr>
                  <w:tcW w:w="74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eastAsia" w:cs="Times New Roman" w:eastAsiaTheme="minorEastAsia"/>
                      <w:b w:val="0"/>
                      <w:bCs w:val="0"/>
                      <w:color w:val="auto"/>
                      <w:sz w:val="18"/>
                      <w:szCs w:val="18"/>
                      <w:highlight w:val="none"/>
                      <w:u w:val="none"/>
                      <w:lang w:val="en-US" w:eastAsia="zh-CN"/>
                    </w:rPr>
                    <w:t>4.5</w:t>
                  </w:r>
                </w:p>
              </w:tc>
              <w:tc>
                <w:tcPr>
                  <w:tcW w:w="1246" w:type="pct"/>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eastAsia="zh-CN"/>
                    </w:rPr>
                  </w:pPr>
                  <w:r>
                    <w:rPr>
                      <w:rFonts w:hint="default" w:ascii="Times New Roman" w:hAnsi="Times New Roman" w:cs="Times New Roman" w:eastAsiaTheme="minorEastAsia"/>
                      <w:b w:val="0"/>
                      <w:bCs w:val="0"/>
                      <w:color w:val="auto"/>
                      <w:sz w:val="18"/>
                      <w:szCs w:val="18"/>
                      <w:highlight w:val="none"/>
                      <w:u w:val="none"/>
                      <w:lang w:eastAsia="zh-CN"/>
                    </w:rPr>
                    <w:t>垃圾收集箱收集后，定期委托环卫部门清运处理</w:t>
                  </w:r>
                </w:p>
              </w:tc>
            </w:tr>
          </w:tbl>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危险废物产生及处置情况汇总表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24"/>
              <w:gridCol w:w="565"/>
              <w:gridCol w:w="649"/>
              <w:gridCol w:w="928"/>
              <w:gridCol w:w="808"/>
              <w:gridCol w:w="818"/>
              <w:gridCol w:w="619"/>
              <w:gridCol w:w="718"/>
              <w:gridCol w:w="548"/>
              <w:gridCol w:w="548"/>
              <w:gridCol w:w="494"/>
              <w:gridCol w:w="118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7" w:type="pc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344"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危险废物名称</w:t>
                  </w:r>
                </w:p>
              </w:tc>
              <w:tc>
                <w:tcPr>
                  <w:tcW w:w="395"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危险废物类别</w:t>
                  </w:r>
                </w:p>
              </w:tc>
              <w:tc>
                <w:tcPr>
                  <w:tcW w:w="565"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危险废物代码</w:t>
                  </w:r>
                </w:p>
              </w:tc>
              <w:tc>
                <w:tcPr>
                  <w:tcW w:w="492"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产生量（吨/年）</w:t>
                  </w:r>
                </w:p>
              </w:tc>
              <w:tc>
                <w:tcPr>
                  <w:tcW w:w="498"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产生工序及装置</w:t>
                  </w:r>
                </w:p>
              </w:tc>
              <w:tc>
                <w:tcPr>
                  <w:tcW w:w="377"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形态</w:t>
                  </w:r>
                </w:p>
              </w:tc>
              <w:tc>
                <w:tcPr>
                  <w:tcW w:w="437"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主要</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成分</w:t>
                  </w:r>
                </w:p>
              </w:tc>
              <w:tc>
                <w:tcPr>
                  <w:tcW w:w="334"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有害成分</w:t>
                  </w:r>
                </w:p>
              </w:tc>
              <w:tc>
                <w:tcPr>
                  <w:tcW w:w="334"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产废周期</w:t>
                  </w:r>
                </w:p>
              </w:tc>
              <w:tc>
                <w:tcPr>
                  <w:tcW w:w="301"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特性</w:t>
                  </w:r>
                </w:p>
              </w:tc>
              <w:tc>
                <w:tcPr>
                  <w:tcW w:w="721" w:type="pct"/>
                  <w:tcBorders>
                    <w:top w:val="single" w:color="auto" w:sz="8"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污染防治措施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w:t>
                  </w:r>
                </w:p>
              </w:tc>
              <w:tc>
                <w:tcPr>
                  <w:tcW w:w="3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eastAsia="zh-CN"/>
                    </w:rPr>
                    <w:t>废润滑油</w:t>
                  </w:r>
                </w:p>
              </w:tc>
              <w:tc>
                <w:tcPr>
                  <w:tcW w:w="3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HW08</w:t>
                  </w:r>
                </w:p>
              </w:tc>
              <w:tc>
                <w:tcPr>
                  <w:tcW w:w="5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900-21</w:t>
                  </w:r>
                  <w:r>
                    <w:rPr>
                      <w:rFonts w:hint="default" w:ascii="Times New Roman" w:hAnsi="Times New Roman" w:cs="Times New Roman"/>
                      <w:color w:val="auto"/>
                      <w:kern w:val="2"/>
                      <w:sz w:val="18"/>
                      <w:szCs w:val="18"/>
                      <w:highlight w:val="none"/>
                      <w:lang w:val="en-US" w:eastAsia="zh-CN" w:bidi="ar-SA"/>
                    </w:rPr>
                    <w:t>7</w:t>
                  </w:r>
                  <w:r>
                    <w:rPr>
                      <w:rFonts w:hint="default" w:ascii="Times New Roman" w:hAnsi="Times New Roman" w:eastAsia="宋体" w:cs="Times New Roman"/>
                      <w:color w:val="auto"/>
                      <w:kern w:val="2"/>
                      <w:sz w:val="18"/>
                      <w:szCs w:val="18"/>
                      <w:highlight w:val="none"/>
                      <w:lang w:val="en-US" w:eastAsia="zh-CN" w:bidi="ar-SA"/>
                    </w:rPr>
                    <w:t>-08</w:t>
                  </w: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0.2</w:t>
                  </w:r>
                </w:p>
              </w:tc>
              <w:tc>
                <w:tcPr>
                  <w:tcW w:w="4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设备维</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护过程</w:t>
                  </w:r>
                </w:p>
              </w:tc>
              <w:tc>
                <w:tcPr>
                  <w:tcW w:w="3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液态</w:t>
                  </w:r>
                </w:p>
              </w:tc>
              <w:tc>
                <w:tcPr>
                  <w:tcW w:w="4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废润</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滑油</w:t>
                  </w:r>
                </w:p>
              </w:tc>
              <w:tc>
                <w:tcPr>
                  <w:tcW w:w="3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废润滑油</w:t>
                  </w:r>
                </w:p>
              </w:tc>
              <w:tc>
                <w:tcPr>
                  <w:tcW w:w="3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6个月</w:t>
                  </w:r>
                </w:p>
              </w:tc>
              <w:tc>
                <w:tcPr>
                  <w:tcW w:w="3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T</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I</w:t>
                  </w:r>
                </w:p>
              </w:tc>
              <w:tc>
                <w:tcPr>
                  <w:tcW w:w="721" w:type="pct"/>
                  <w:vMerge w:val="restart"/>
                  <w:tcBorders>
                    <w:top w:val="single" w:color="auto" w:sz="4" w:space="0"/>
                    <w:left w:val="single" w:color="auto" w:sz="4" w:space="0"/>
                    <w:right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收集后暂存于危险废物暂存间，委托有处理资质的单位定期安全处置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2</w:t>
                  </w:r>
                </w:p>
              </w:tc>
              <w:tc>
                <w:tcPr>
                  <w:tcW w:w="3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eastAsia="zh-CN"/>
                    </w:rPr>
                    <w:t>废</w:t>
                  </w:r>
                  <w:r>
                    <w:rPr>
                      <w:rFonts w:hint="default" w:ascii="Times New Roman" w:hAnsi="Times New Roman" w:cs="Times New Roman" w:eastAsiaTheme="minorEastAsia"/>
                      <w:b w:val="0"/>
                      <w:bCs w:val="0"/>
                      <w:color w:val="auto"/>
                      <w:sz w:val="18"/>
                      <w:szCs w:val="18"/>
                      <w:highlight w:val="none"/>
                      <w:u w:val="none"/>
                      <w:lang w:val="en-US" w:eastAsia="zh-CN"/>
                    </w:rPr>
                    <w:t>UV灯管</w:t>
                  </w:r>
                </w:p>
              </w:tc>
              <w:tc>
                <w:tcPr>
                  <w:tcW w:w="3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HW</w:t>
                  </w:r>
                  <w:r>
                    <w:rPr>
                      <w:rFonts w:hint="default" w:ascii="Times New Roman" w:hAnsi="Times New Roman" w:cs="Times New Roman"/>
                      <w:color w:val="auto"/>
                      <w:sz w:val="18"/>
                      <w:szCs w:val="18"/>
                      <w:highlight w:val="none"/>
                      <w:lang w:val="en-US" w:eastAsia="zh-CN"/>
                    </w:rPr>
                    <w:t>29</w:t>
                  </w:r>
                </w:p>
              </w:tc>
              <w:tc>
                <w:tcPr>
                  <w:tcW w:w="5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900-0</w:t>
                  </w:r>
                  <w:r>
                    <w:rPr>
                      <w:rFonts w:hint="default" w:ascii="Times New Roman" w:hAnsi="Times New Roman" w:cs="Times New Roman"/>
                      <w:color w:val="auto"/>
                      <w:sz w:val="18"/>
                      <w:szCs w:val="18"/>
                      <w:highlight w:val="none"/>
                      <w:lang w:val="en-US" w:eastAsia="zh-CN"/>
                    </w:rPr>
                    <w:t>23</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29</w:t>
                  </w: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0.008</w:t>
                  </w:r>
                </w:p>
              </w:tc>
              <w:tc>
                <w:tcPr>
                  <w:tcW w:w="4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废气治理设施</w:t>
                  </w:r>
                </w:p>
              </w:tc>
              <w:tc>
                <w:tcPr>
                  <w:tcW w:w="3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固态</w:t>
                  </w:r>
                </w:p>
              </w:tc>
              <w:tc>
                <w:tcPr>
                  <w:tcW w:w="4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含汞</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eastAsia="zh-CN"/>
                    </w:rPr>
                    <w:t>灯管</w:t>
                  </w:r>
                </w:p>
              </w:tc>
              <w:tc>
                <w:tcPr>
                  <w:tcW w:w="3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含汞</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eastAsia="zh-CN"/>
                    </w:rPr>
                    <w:t>灯管</w:t>
                  </w:r>
                </w:p>
              </w:tc>
              <w:tc>
                <w:tcPr>
                  <w:tcW w:w="3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12个月</w:t>
                  </w:r>
                </w:p>
              </w:tc>
              <w:tc>
                <w:tcPr>
                  <w:tcW w:w="3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T</w:t>
                  </w:r>
                </w:p>
              </w:tc>
              <w:tc>
                <w:tcPr>
                  <w:tcW w:w="721" w:type="pct"/>
                  <w:vMerge w:val="continue"/>
                  <w:tcBorders>
                    <w:left w:val="single" w:color="auto" w:sz="4" w:space="0"/>
                    <w:right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gree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3</w:t>
                  </w:r>
                </w:p>
              </w:tc>
              <w:tc>
                <w:tcPr>
                  <w:tcW w:w="3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eastAsia="zh-CN"/>
                    </w:rPr>
                    <w:t>废活性炭</w:t>
                  </w:r>
                </w:p>
              </w:tc>
              <w:tc>
                <w:tcPr>
                  <w:tcW w:w="395" w:type="pct"/>
                  <w:tcBorders>
                    <w:top w:val="single" w:color="auto" w:sz="4" w:space="0"/>
                    <w:left w:val="single" w:color="auto" w:sz="4" w:space="0"/>
                    <w:bottom w:val="single" w:color="auto" w:sz="4" w:space="0"/>
                    <w:right w:val="single" w:color="auto" w:sz="4" w:space="0"/>
                  </w:tcBorders>
                  <w:noWrap w:val="0"/>
                  <w:vAlign w:val="center"/>
                </w:tcPr>
                <w:p>
                  <w:pPr>
                    <w:pStyle w:val="75"/>
                    <w:keepNext w:val="0"/>
                    <w:keepLines w:val="0"/>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HW49</w:t>
                  </w:r>
                </w:p>
              </w:tc>
              <w:tc>
                <w:tcPr>
                  <w:tcW w:w="565" w:type="pct"/>
                  <w:tcBorders>
                    <w:top w:val="single" w:color="auto" w:sz="4" w:space="0"/>
                    <w:left w:val="single" w:color="auto" w:sz="4" w:space="0"/>
                    <w:bottom w:val="single" w:color="auto" w:sz="4" w:space="0"/>
                    <w:right w:val="single" w:color="auto" w:sz="4" w:space="0"/>
                  </w:tcBorders>
                  <w:noWrap w:val="0"/>
                  <w:vAlign w:val="center"/>
                </w:tcPr>
                <w:p>
                  <w:pPr>
                    <w:pStyle w:val="75"/>
                    <w:keepNext w:val="0"/>
                    <w:keepLines w:val="0"/>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900-0</w:t>
                  </w:r>
                  <w:r>
                    <w:rPr>
                      <w:rFonts w:hint="default" w:ascii="Times New Roman" w:hAnsi="Times New Roman" w:cs="Times New Roman"/>
                      <w:color w:val="auto"/>
                      <w:sz w:val="18"/>
                      <w:szCs w:val="18"/>
                      <w:highlight w:val="none"/>
                      <w:lang w:val="en-US" w:eastAsia="zh-CN"/>
                    </w:rPr>
                    <w:t>39</w:t>
                  </w:r>
                  <w:r>
                    <w:rPr>
                      <w:rFonts w:hint="default" w:ascii="Times New Roman" w:hAnsi="Times New Roman" w:cs="Times New Roman"/>
                      <w:color w:val="auto"/>
                      <w:sz w:val="18"/>
                      <w:szCs w:val="18"/>
                      <w:highlight w:val="none"/>
                      <w:lang w:eastAsia="zh-CN"/>
                    </w:rPr>
                    <w:t>-49</w:t>
                  </w:r>
                </w:p>
              </w:tc>
              <w:tc>
                <w:tcPr>
                  <w:tcW w:w="492" w:type="pct"/>
                  <w:tcBorders>
                    <w:top w:val="single" w:color="auto" w:sz="4" w:space="0"/>
                    <w:left w:val="single" w:color="auto" w:sz="4" w:space="0"/>
                    <w:bottom w:val="single" w:color="auto" w:sz="4" w:space="0"/>
                    <w:right w:val="single" w:color="auto" w:sz="4" w:space="0"/>
                  </w:tcBorders>
                  <w:noWrap w:val="0"/>
                  <w:vAlign w:val="center"/>
                </w:tcPr>
                <w:p>
                  <w:pPr>
                    <w:pStyle w:val="75"/>
                    <w:keepNext w:val="0"/>
                    <w:keepLines w:val="0"/>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1.4063</w:t>
                  </w:r>
                </w:p>
              </w:tc>
              <w:tc>
                <w:tcPr>
                  <w:tcW w:w="4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废气治理设施</w:t>
                  </w:r>
                </w:p>
              </w:tc>
              <w:tc>
                <w:tcPr>
                  <w:tcW w:w="3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固态</w:t>
                  </w:r>
                </w:p>
              </w:tc>
              <w:tc>
                <w:tcPr>
                  <w:tcW w:w="4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eastAsia="zh-CN"/>
                    </w:rPr>
                    <w:t>含有机废气</w:t>
                  </w:r>
                </w:p>
              </w:tc>
              <w:tc>
                <w:tcPr>
                  <w:tcW w:w="3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有机物</w:t>
                  </w:r>
                </w:p>
              </w:tc>
              <w:tc>
                <w:tcPr>
                  <w:tcW w:w="3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6</w:t>
                  </w:r>
                  <w:r>
                    <w:rPr>
                      <w:rFonts w:hint="default" w:ascii="Times New Roman" w:hAnsi="Times New Roman" w:cs="Times New Roman"/>
                      <w:color w:val="auto"/>
                      <w:sz w:val="18"/>
                      <w:szCs w:val="18"/>
                      <w:highlight w:val="none"/>
                    </w:rPr>
                    <w:t>个月</w:t>
                  </w:r>
                </w:p>
              </w:tc>
              <w:tc>
                <w:tcPr>
                  <w:tcW w:w="3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T</w:t>
                  </w:r>
                </w:p>
              </w:tc>
              <w:tc>
                <w:tcPr>
                  <w:tcW w:w="721" w:type="pct"/>
                  <w:vMerge w:val="continue"/>
                  <w:tcBorders>
                    <w:left w:val="single" w:color="auto" w:sz="4" w:space="0"/>
                    <w:right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green"/>
                    </w:rPr>
                  </w:pPr>
                </w:p>
              </w:tc>
            </w:tr>
          </w:tbl>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危险废物贮存场所基本情况表</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16"/>
              <w:gridCol w:w="793"/>
              <w:gridCol w:w="969"/>
              <w:gridCol w:w="969"/>
              <w:gridCol w:w="1250"/>
              <w:gridCol w:w="864"/>
              <w:gridCol w:w="540"/>
              <w:gridCol w:w="1038"/>
              <w:gridCol w:w="581"/>
              <w:gridCol w:w="58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贮存场所</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名称</w:t>
                  </w:r>
                </w:p>
              </w:tc>
              <w:tc>
                <w:tcPr>
                  <w:tcW w:w="59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名称</w:t>
                  </w:r>
                </w:p>
              </w:tc>
              <w:tc>
                <w:tcPr>
                  <w:tcW w:w="59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类别</w:t>
                  </w:r>
                </w:p>
              </w:tc>
              <w:tc>
                <w:tcPr>
                  <w:tcW w:w="76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危险废物代码</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位置</w:t>
                  </w:r>
                </w:p>
              </w:tc>
              <w:tc>
                <w:tcPr>
                  <w:tcW w:w="32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占地</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面积</w:t>
                  </w:r>
                </w:p>
              </w:tc>
              <w:tc>
                <w:tcPr>
                  <w:tcW w:w="63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贮存</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方式</w:t>
                  </w:r>
                </w:p>
              </w:tc>
              <w:tc>
                <w:tcPr>
                  <w:tcW w:w="35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贮存</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能力</w:t>
                  </w:r>
                </w:p>
              </w:tc>
              <w:tc>
                <w:tcPr>
                  <w:tcW w:w="35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贮存</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周期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483"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暂存间</w:t>
                  </w:r>
                </w:p>
              </w:tc>
              <w:tc>
                <w:tcPr>
                  <w:tcW w:w="590" w:type="pct"/>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eastAsiaTheme="minorEastAsia"/>
                      <w:b w:val="0"/>
                      <w:bCs w:val="0"/>
                      <w:color w:val="auto"/>
                      <w:sz w:val="18"/>
                      <w:szCs w:val="18"/>
                      <w:highlight w:val="none"/>
                      <w:u w:val="none"/>
                      <w:lang w:eastAsia="zh-CN"/>
                    </w:rPr>
                    <w:t>废润滑油</w:t>
                  </w:r>
                </w:p>
              </w:tc>
              <w:tc>
                <w:tcPr>
                  <w:tcW w:w="590" w:type="pct"/>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HW08</w:t>
                  </w:r>
                </w:p>
              </w:tc>
              <w:tc>
                <w:tcPr>
                  <w:tcW w:w="761" w:type="pct"/>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900-21</w:t>
                  </w:r>
                  <w:r>
                    <w:rPr>
                      <w:rFonts w:hint="default" w:ascii="Times New Roman" w:hAnsi="Times New Roman" w:cs="Times New Roman"/>
                      <w:color w:val="auto"/>
                      <w:kern w:val="2"/>
                      <w:sz w:val="18"/>
                      <w:szCs w:val="18"/>
                      <w:highlight w:val="none"/>
                      <w:lang w:val="en-US" w:eastAsia="zh-CN" w:bidi="ar-SA"/>
                    </w:rPr>
                    <w:t>7</w:t>
                  </w:r>
                  <w:r>
                    <w:rPr>
                      <w:rFonts w:hint="default" w:ascii="Times New Roman" w:hAnsi="Times New Roman" w:eastAsia="宋体" w:cs="Times New Roman"/>
                      <w:color w:val="auto"/>
                      <w:kern w:val="2"/>
                      <w:sz w:val="18"/>
                      <w:szCs w:val="18"/>
                      <w:highlight w:val="none"/>
                      <w:lang w:val="en-US" w:eastAsia="zh-CN" w:bidi="ar-SA"/>
                    </w:rPr>
                    <w:t>-08</w:t>
                  </w:r>
                </w:p>
              </w:tc>
              <w:tc>
                <w:tcPr>
                  <w:tcW w:w="526"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车间北侧</w:t>
                  </w:r>
                </w:p>
              </w:tc>
              <w:tc>
                <w:tcPr>
                  <w:tcW w:w="329"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15</w:t>
                  </w:r>
                  <w:r>
                    <w:rPr>
                      <w:rFonts w:hint="default" w:ascii="Times New Roman" w:hAnsi="Times New Roman" w:cs="Times New Roman"/>
                      <w:color w:val="auto"/>
                      <w:sz w:val="18"/>
                      <w:szCs w:val="18"/>
                      <w:highlight w:val="none"/>
                      <w:lang w:val="en-US" w:eastAsia="zh-CN"/>
                    </w:rPr>
                    <w:t>m</w:t>
                  </w:r>
                  <w:r>
                    <w:rPr>
                      <w:rFonts w:hint="default" w:ascii="Times New Roman" w:hAnsi="Times New Roman" w:cs="Times New Roman"/>
                      <w:color w:val="auto"/>
                      <w:sz w:val="18"/>
                      <w:szCs w:val="18"/>
                      <w:highlight w:val="none"/>
                      <w:vertAlign w:val="superscript"/>
                      <w:lang w:val="en-US" w:eastAsia="zh-CN"/>
                    </w:rPr>
                    <w:t>2</w:t>
                  </w:r>
                </w:p>
              </w:tc>
              <w:tc>
                <w:tcPr>
                  <w:tcW w:w="632"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由密闭容器收集，存放</w:t>
                  </w:r>
                </w:p>
              </w:tc>
              <w:tc>
                <w:tcPr>
                  <w:tcW w:w="354"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8</w:t>
                  </w:r>
                  <w:r>
                    <w:rPr>
                      <w:rFonts w:hint="default" w:ascii="Times New Roman" w:hAnsi="Times New Roman" w:cs="Times New Roman"/>
                      <w:color w:val="auto"/>
                      <w:sz w:val="18"/>
                      <w:szCs w:val="18"/>
                      <w:highlight w:val="none"/>
                      <w:lang w:val="en-US" w:eastAsia="zh-CN"/>
                    </w:rPr>
                    <w:t>t</w:t>
                  </w:r>
                </w:p>
              </w:tc>
              <w:tc>
                <w:tcPr>
                  <w:tcW w:w="355"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pacing w:val="-6"/>
                      <w:sz w:val="18"/>
                      <w:szCs w:val="18"/>
                      <w:highlight w:val="none"/>
                    </w:rPr>
                    <w:t>1年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48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590" w:type="pct"/>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eastAsia="zh-CN"/>
                    </w:rPr>
                    <w:t>废</w:t>
                  </w:r>
                  <w:r>
                    <w:rPr>
                      <w:rFonts w:hint="default" w:ascii="Times New Roman" w:hAnsi="Times New Roman" w:cs="Times New Roman" w:eastAsiaTheme="minorEastAsia"/>
                      <w:b w:val="0"/>
                      <w:bCs w:val="0"/>
                      <w:color w:val="auto"/>
                      <w:sz w:val="18"/>
                      <w:szCs w:val="18"/>
                      <w:highlight w:val="none"/>
                      <w:u w:val="none"/>
                      <w:lang w:val="en-US" w:eastAsia="zh-CN"/>
                    </w:rPr>
                    <w:t>UV灯管</w:t>
                  </w:r>
                </w:p>
              </w:tc>
              <w:tc>
                <w:tcPr>
                  <w:tcW w:w="590" w:type="pct"/>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HW</w:t>
                  </w:r>
                  <w:r>
                    <w:rPr>
                      <w:rFonts w:hint="default" w:ascii="Times New Roman" w:hAnsi="Times New Roman" w:cs="Times New Roman"/>
                      <w:color w:val="auto"/>
                      <w:sz w:val="18"/>
                      <w:szCs w:val="18"/>
                      <w:highlight w:val="none"/>
                      <w:lang w:val="en-US" w:eastAsia="zh-CN"/>
                    </w:rPr>
                    <w:t>29</w:t>
                  </w:r>
                </w:p>
              </w:tc>
              <w:tc>
                <w:tcPr>
                  <w:tcW w:w="761" w:type="pct"/>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900-0</w:t>
                  </w:r>
                  <w:r>
                    <w:rPr>
                      <w:rFonts w:hint="default" w:ascii="Times New Roman" w:hAnsi="Times New Roman" w:cs="Times New Roman"/>
                      <w:color w:val="auto"/>
                      <w:sz w:val="18"/>
                      <w:szCs w:val="18"/>
                      <w:highlight w:val="none"/>
                      <w:lang w:val="en-US" w:eastAsia="zh-CN"/>
                    </w:rPr>
                    <w:t>23</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29</w:t>
                  </w:r>
                </w:p>
              </w:tc>
              <w:tc>
                <w:tcPr>
                  <w:tcW w:w="52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green"/>
                      <w:lang w:val="en-US" w:eastAsia="zh-CN"/>
                    </w:rPr>
                  </w:pPr>
                </w:p>
              </w:tc>
              <w:tc>
                <w:tcPr>
                  <w:tcW w:w="329"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green"/>
                      <w:lang w:val="en-US" w:eastAsia="zh-CN"/>
                    </w:rPr>
                  </w:pPr>
                </w:p>
              </w:tc>
              <w:tc>
                <w:tcPr>
                  <w:tcW w:w="632"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green"/>
                    </w:rPr>
                  </w:pPr>
                </w:p>
              </w:tc>
              <w:tc>
                <w:tcPr>
                  <w:tcW w:w="354"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green"/>
                      <w:lang w:val="en-US" w:eastAsia="zh-CN"/>
                    </w:rPr>
                  </w:pPr>
                </w:p>
              </w:tc>
              <w:tc>
                <w:tcPr>
                  <w:tcW w:w="355"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pacing w:val="-6"/>
                      <w:sz w:val="18"/>
                      <w:szCs w:val="18"/>
                      <w:highlight w:val="gree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48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590" w:type="pct"/>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eastAsia="zh-CN"/>
                    </w:rPr>
                    <w:t>废活性炭</w:t>
                  </w:r>
                </w:p>
              </w:tc>
              <w:tc>
                <w:tcPr>
                  <w:tcW w:w="590" w:type="pct"/>
                  <w:tcBorders>
                    <w:bottom w:val="single" w:color="000000" w:sz="4" w:space="0"/>
                  </w:tcBorders>
                  <w:noWrap w:val="0"/>
                  <w:vAlign w:val="center"/>
                </w:tcPr>
                <w:p>
                  <w:pPr>
                    <w:pStyle w:val="75"/>
                    <w:keepNext w:val="0"/>
                    <w:keepLines w:val="0"/>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HW49</w:t>
                  </w:r>
                </w:p>
              </w:tc>
              <w:tc>
                <w:tcPr>
                  <w:tcW w:w="761" w:type="pct"/>
                  <w:tcBorders>
                    <w:bottom w:val="single" w:color="000000" w:sz="4" w:space="0"/>
                  </w:tcBorders>
                  <w:noWrap w:val="0"/>
                  <w:vAlign w:val="center"/>
                </w:tcPr>
                <w:p>
                  <w:pPr>
                    <w:pStyle w:val="75"/>
                    <w:keepNext w:val="0"/>
                    <w:keepLines w:val="0"/>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900-0</w:t>
                  </w:r>
                  <w:r>
                    <w:rPr>
                      <w:rFonts w:hint="default" w:ascii="Times New Roman" w:hAnsi="Times New Roman" w:cs="Times New Roman"/>
                      <w:color w:val="auto"/>
                      <w:sz w:val="18"/>
                      <w:szCs w:val="18"/>
                      <w:highlight w:val="none"/>
                      <w:lang w:val="en-US" w:eastAsia="zh-CN"/>
                    </w:rPr>
                    <w:t>39</w:t>
                  </w:r>
                  <w:r>
                    <w:rPr>
                      <w:rFonts w:hint="default" w:ascii="Times New Roman" w:hAnsi="Times New Roman" w:cs="Times New Roman"/>
                      <w:color w:val="auto"/>
                      <w:sz w:val="18"/>
                      <w:szCs w:val="18"/>
                      <w:highlight w:val="none"/>
                      <w:lang w:eastAsia="zh-CN"/>
                    </w:rPr>
                    <w:t>-49</w:t>
                  </w:r>
                </w:p>
              </w:tc>
              <w:tc>
                <w:tcPr>
                  <w:tcW w:w="52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green"/>
                      <w:lang w:val="en-US" w:eastAsia="zh-CN"/>
                    </w:rPr>
                  </w:pPr>
                </w:p>
              </w:tc>
              <w:tc>
                <w:tcPr>
                  <w:tcW w:w="329"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green"/>
                      <w:lang w:val="en-US" w:eastAsia="zh-CN"/>
                    </w:rPr>
                  </w:pPr>
                </w:p>
              </w:tc>
              <w:tc>
                <w:tcPr>
                  <w:tcW w:w="632"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green"/>
                    </w:rPr>
                  </w:pPr>
                </w:p>
              </w:tc>
              <w:tc>
                <w:tcPr>
                  <w:tcW w:w="354"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green"/>
                      <w:lang w:val="en-US" w:eastAsia="zh-CN"/>
                    </w:rPr>
                  </w:pPr>
                </w:p>
              </w:tc>
              <w:tc>
                <w:tcPr>
                  <w:tcW w:w="355"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pacing w:val="-6"/>
                      <w:sz w:val="18"/>
                      <w:szCs w:val="18"/>
                      <w:highlight w:val="green"/>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both"/>
              <w:textAlignment w:val="auto"/>
              <w:rPr>
                <w:rFonts w:hint="default" w:ascii="Times New Roman" w:hAnsi="Times New Roman" w:cs="Times New Roman"/>
                <w:b/>
                <w:bCs/>
                <w:color w:val="auto"/>
                <w:kern w:val="0"/>
                <w:szCs w:val="21"/>
                <w:highlight w:val="none"/>
              </w:rPr>
            </w:pPr>
            <w:r>
              <w:rPr>
                <w:rFonts w:hint="eastAsia" w:cs="Times New Roman"/>
                <w:b/>
                <w:bCs/>
                <w:color w:val="auto"/>
                <w:kern w:val="0"/>
                <w:szCs w:val="21"/>
                <w:highlight w:val="none"/>
                <w:lang w:val="en-US" w:eastAsia="zh-CN"/>
              </w:rPr>
              <w:t>4.2</w:t>
            </w:r>
            <w:r>
              <w:rPr>
                <w:rFonts w:hint="default" w:ascii="Times New Roman" w:hAnsi="Times New Roman" w:cs="Times New Roman"/>
                <w:b/>
                <w:bCs/>
                <w:color w:val="auto"/>
                <w:kern w:val="0"/>
                <w:szCs w:val="21"/>
                <w:highlight w:val="none"/>
              </w:rPr>
              <w:t>固废环境管理要求</w:t>
            </w:r>
          </w:p>
          <w:p>
            <w:pPr>
              <w:keepNext w:val="0"/>
              <w:keepLines w:val="0"/>
              <w:pageBreakBefore w:val="0"/>
              <w:widowControl w:val="0"/>
              <w:kinsoku/>
              <w:wordWrap/>
              <w:overflowPunct/>
              <w:topLinePunct w:val="0"/>
              <w:bidi w:val="0"/>
              <w:adjustRightInd/>
              <w:snapToGrid/>
              <w:spacing w:line="360" w:lineRule="auto"/>
              <w:ind w:firstLine="422" w:firstLineChars="200"/>
              <w:jc w:val="both"/>
              <w:textAlignment w:val="auto"/>
              <w:rPr>
                <w:rFonts w:hint="default" w:ascii="Times New Roman" w:hAnsi="Times New Roman" w:eastAsia="宋体" w:cs="Times New Roman"/>
                <w:b/>
                <w:bCs/>
                <w:color w:val="auto"/>
                <w:kern w:val="0"/>
                <w:szCs w:val="21"/>
                <w:highlight w:val="none"/>
                <w:lang w:eastAsia="zh-CN"/>
              </w:rPr>
            </w:pPr>
            <w:r>
              <w:rPr>
                <w:rFonts w:hint="eastAsia" w:cs="Times New Roman"/>
                <w:b/>
                <w:bCs/>
                <w:color w:val="auto"/>
                <w:kern w:val="0"/>
                <w:szCs w:val="21"/>
                <w:highlight w:val="none"/>
                <w:lang w:eastAsia="zh-CN"/>
              </w:rPr>
              <w:t>（</w:t>
            </w:r>
            <w:r>
              <w:rPr>
                <w:rFonts w:hint="eastAsia" w:cs="Times New Roman"/>
                <w:b/>
                <w:bCs/>
                <w:color w:val="auto"/>
                <w:kern w:val="0"/>
                <w:szCs w:val="21"/>
                <w:highlight w:val="none"/>
                <w:lang w:val="en-US" w:eastAsia="zh-CN"/>
              </w:rPr>
              <w:t>1</w:t>
            </w:r>
            <w:r>
              <w:rPr>
                <w:rFonts w:hint="eastAsia" w:cs="Times New Roman"/>
                <w:b/>
                <w:bCs/>
                <w:color w:val="auto"/>
                <w:kern w:val="0"/>
                <w:szCs w:val="21"/>
                <w:highlight w:val="none"/>
                <w:lang w:eastAsia="zh-CN"/>
              </w:rPr>
              <w:t>）</w:t>
            </w:r>
            <w:r>
              <w:rPr>
                <w:rFonts w:hint="default" w:ascii="Times New Roman" w:hAnsi="Times New Roman" w:cs="Times New Roman"/>
                <w:b/>
                <w:bCs/>
                <w:color w:val="auto"/>
                <w:kern w:val="0"/>
                <w:szCs w:val="21"/>
                <w:highlight w:val="none"/>
                <w:lang w:eastAsia="zh-CN"/>
              </w:rPr>
              <w:t>危险固废管理要求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依据《危险废物贮存污染控制标准》（GB18597-2023）</w:t>
            </w:r>
            <w:r>
              <w:rPr>
                <w:rFonts w:hint="default" w:ascii="Times New Roman" w:hAnsi="Times New Roman" w:eastAsia="宋体" w:cs="Times New Roman"/>
                <w:color w:val="auto"/>
                <w:sz w:val="21"/>
                <w:szCs w:val="21"/>
                <w:highlight w:val="none"/>
              </w:rPr>
              <w:t>、《建设项目危险废物环境影响评价指南》相关内容，本次评价对项目危废管理提出如下要求：</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危险废物贮存设施污染控制要求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本项目危废均通过新建1间15m</w:t>
            </w:r>
            <w:r>
              <w:rPr>
                <w:rFonts w:hint="eastAsia" w:cs="Times New Roman"/>
                <w:b w:val="0"/>
                <w:bCs w:val="0"/>
                <w:color w:val="auto"/>
                <w:sz w:val="21"/>
                <w:szCs w:val="21"/>
                <w:highlight w:val="none"/>
                <w:vertAlign w:val="superscript"/>
                <w:lang w:val="en-US" w:eastAsia="zh-CN"/>
              </w:rPr>
              <w:t>2</w:t>
            </w:r>
            <w:r>
              <w:rPr>
                <w:rFonts w:hint="eastAsia" w:cs="Times New Roman"/>
                <w:b w:val="0"/>
                <w:bCs w:val="0"/>
                <w:color w:val="auto"/>
                <w:sz w:val="21"/>
                <w:szCs w:val="21"/>
                <w:highlight w:val="none"/>
                <w:lang w:val="en-US" w:eastAsia="zh-CN"/>
              </w:rPr>
              <w:t>危险固废暂存间暂存，结合</w:t>
            </w:r>
            <w:r>
              <w:rPr>
                <w:rFonts w:hint="default" w:ascii="Times New Roman" w:hAnsi="Times New Roman" w:cs="Times New Roman"/>
                <w:color w:val="auto"/>
                <w:sz w:val="21"/>
                <w:szCs w:val="21"/>
                <w:highlight w:val="none"/>
              </w:rPr>
              <w:t>《危险废物贮存污染控制标准》（GB18597-2023）</w:t>
            </w:r>
            <w:r>
              <w:rPr>
                <w:rFonts w:hint="default" w:ascii="Times New Roman" w:hAnsi="Times New Roman" w:eastAsia="宋体" w:cs="Times New Roman"/>
                <w:color w:val="auto"/>
                <w:sz w:val="21"/>
                <w:szCs w:val="21"/>
                <w:highlight w:val="none"/>
              </w:rPr>
              <w:t>相关内容</w:t>
            </w:r>
            <w:r>
              <w:rPr>
                <w:rFonts w:hint="eastAsia" w:cs="Times New Roman"/>
                <w:b w:val="0"/>
                <w:bCs w:val="0"/>
                <w:color w:val="auto"/>
                <w:sz w:val="21"/>
                <w:szCs w:val="21"/>
                <w:highlight w:val="none"/>
                <w:lang w:val="en-US" w:eastAsia="zh-CN"/>
              </w:rPr>
              <w:t>，要求企业危险固废暂存间设置具体要求如下：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a.</w:t>
            </w:r>
            <w:r>
              <w:rPr>
                <w:rFonts w:hint="default" w:ascii="Times New Roman" w:hAnsi="Times New Roman" w:eastAsia="宋体" w:cs="Times New Roman"/>
                <w:b w:val="0"/>
                <w:bCs w:val="0"/>
                <w:color w:val="auto"/>
                <w:sz w:val="21"/>
                <w:szCs w:val="21"/>
                <w:highlight w:val="none"/>
              </w:rPr>
              <w:t>贮存设施应根据危险废物的形态、物理化学性质、包装形式和污染物迁移途径，采取必要的防风、防晒、防雨、防漏、防渗、防腐以及其他环境污染防治措施，不应露天堆放危险废物。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b.</w:t>
            </w:r>
            <w:r>
              <w:rPr>
                <w:rFonts w:hint="default" w:ascii="Times New Roman" w:hAnsi="Times New Roman" w:eastAsia="宋体" w:cs="Times New Roman"/>
                <w:b w:val="0"/>
                <w:bCs w:val="0"/>
                <w:color w:val="auto"/>
                <w:sz w:val="21"/>
                <w:szCs w:val="21"/>
                <w:highlight w:val="none"/>
              </w:rPr>
              <w:t>贮存设施应根据危险废物的类别、数量、形态、物理化学性质和污染防治等要求设置必要的贮存分区，避免不相容的危险废物接触、混合。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c.贮存设施或贮存分区内地面、墙面裙脚、堵截泄漏的围堰、接触危险废物的隔板和墙体等应采用坚固的材料建造，表面无裂缝。</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d.贮存设施地面与裙脚应采取表面防渗措施；表面防渗材料应与所接触的物料或污染物相容，可采用抗渗混凝土、高密度聚乙烯膜、钠基膨润土防水毯或其他防渗性能等效的材料。</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e.</w:t>
            </w:r>
            <w:r>
              <w:rPr>
                <w:rFonts w:hint="default" w:cs="Times New Roman"/>
                <w:b w:val="0"/>
                <w:bCs w:val="0"/>
                <w:color w:val="auto"/>
                <w:sz w:val="21"/>
                <w:szCs w:val="21"/>
                <w:highlight w:val="none"/>
                <w:lang w:val="en-US" w:eastAsia="zh-CN"/>
              </w:rPr>
              <w:t>同一贮存设施宜采用相同的防渗、防腐工艺（包括防渗、防腐结构或材料），防渗、防腐材料应覆盖所有可能与废物及其渗滤液、渗漏液等接触的构筑物表面；采用不同防渗、防腐工艺应分别建设贮存分区。</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f.</w:t>
            </w:r>
            <w:r>
              <w:rPr>
                <w:rFonts w:hint="default" w:ascii="Times New Roman" w:hAnsi="Times New Roman" w:eastAsia="宋体" w:cs="Times New Roman"/>
                <w:b w:val="0"/>
                <w:bCs w:val="0"/>
                <w:color w:val="auto"/>
                <w:sz w:val="21"/>
                <w:szCs w:val="21"/>
                <w:highlight w:val="none"/>
              </w:rPr>
              <w:t>贮存设施应采取技术和管理措施防止无关人员进入。</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危险废物容器和包装物污染控制要求：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a.</w:t>
            </w:r>
            <w:r>
              <w:rPr>
                <w:rFonts w:hint="default" w:ascii="Times New Roman" w:hAnsi="Times New Roman" w:eastAsia="宋体" w:cs="Times New Roman"/>
                <w:b w:val="0"/>
                <w:bCs w:val="0"/>
                <w:color w:val="auto"/>
                <w:sz w:val="21"/>
                <w:szCs w:val="21"/>
                <w:highlight w:val="none"/>
              </w:rPr>
              <w:t>容器和包装物材质、内衬应与盛装的危险废物相容。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b.</w:t>
            </w:r>
            <w:r>
              <w:rPr>
                <w:rFonts w:hint="default" w:ascii="Times New Roman" w:hAnsi="Times New Roman" w:eastAsia="宋体" w:cs="Times New Roman"/>
                <w:b w:val="0"/>
                <w:bCs w:val="0"/>
                <w:color w:val="auto"/>
                <w:sz w:val="21"/>
                <w:szCs w:val="21"/>
                <w:highlight w:val="none"/>
              </w:rPr>
              <w:t>针对不同类别、形态、物理化学性质的危险废物，其容器和包装物应满足相应的防渗、防漏、防腐和强度等要求。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c.</w:t>
            </w:r>
            <w:r>
              <w:rPr>
                <w:rFonts w:hint="default" w:ascii="Times New Roman" w:hAnsi="Times New Roman" w:eastAsia="宋体" w:cs="Times New Roman"/>
                <w:b w:val="0"/>
                <w:bCs w:val="0"/>
                <w:color w:val="auto"/>
                <w:sz w:val="21"/>
                <w:szCs w:val="21"/>
                <w:highlight w:val="none"/>
              </w:rPr>
              <w:t>硬质容器和包装物及其支护结构堆叠码放时不应有明显变形，无破损泄漏。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d.</w:t>
            </w:r>
            <w:r>
              <w:rPr>
                <w:rFonts w:hint="default" w:ascii="Times New Roman" w:hAnsi="Times New Roman" w:eastAsia="宋体" w:cs="Times New Roman"/>
                <w:b w:val="0"/>
                <w:bCs w:val="0"/>
                <w:color w:val="auto"/>
                <w:sz w:val="21"/>
                <w:szCs w:val="21"/>
                <w:highlight w:val="none"/>
              </w:rPr>
              <w:t>柔性容器和包装物堆叠码放时应封口严密，无破损泄漏。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e.</w:t>
            </w:r>
            <w:r>
              <w:rPr>
                <w:rFonts w:hint="default" w:ascii="Times New Roman" w:hAnsi="Times New Roman" w:eastAsia="宋体" w:cs="Times New Roman"/>
                <w:b w:val="0"/>
                <w:bCs w:val="0"/>
                <w:color w:val="auto"/>
                <w:sz w:val="21"/>
                <w:szCs w:val="21"/>
                <w:highlight w:val="none"/>
              </w:rPr>
              <w:t>使用容器盛装液态、半固态危险废物时，容器内部应留有适当的空间，以适应因温度变化等可能引发的收缩和膨胀，防止其导致容器渗漏或永久变形。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f.</w:t>
            </w:r>
            <w:r>
              <w:rPr>
                <w:rFonts w:hint="default" w:ascii="Times New Roman" w:hAnsi="Times New Roman" w:eastAsia="宋体" w:cs="Times New Roman"/>
                <w:b w:val="0"/>
                <w:bCs w:val="0"/>
                <w:color w:val="auto"/>
                <w:sz w:val="21"/>
                <w:szCs w:val="21"/>
                <w:highlight w:val="none"/>
              </w:rPr>
              <w:t>容器和包装物外表面应保持清洁。</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贮存过程污染控制要求：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a.危险废物存入贮存设施前应对危险废物类别和特性与危险废物标签等危险废物识别标志的一致性进行核验，不一致的或类别、特性不明的不应存入。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b.应定期检查危险废物的贮存状况，及时清理贮存设施地面，更换破损泄漏的危险废物贮存容器和包装物，保证堆存危险废物的防雨、防风、防扬尘等设施功能完好。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c.作业设备及车辆等结束作业离开贮存设施时，应对其残留的危险废物进行清理，清理的废物或清洗废水应收集处理。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d.贮存设施运行期间，应按国家有关标准和规定建立危险废物管理台账并保存。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e.贮存设施所有者或运营者应建立贮存设施环境管理制度、管理人员岗位职责制度、设施运行操作制度、人员岗位培训制度等。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f.贮存设施所有者或运营者应依据国家土壤和地下水污染防治的有关规定，结合贮存设施特点建立土壤和地下水污染隐患排查制度，并定期开展隐患排查；发现隐患应及时采取措施消除隐患，并建立档案。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g.贮存设施所有者或运营者应建立贮存设施全部档案，包括设计、施工、验收、运行、监测和环境应急等，应按国家有关档案管理的法律法规进行整理和归档。</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eastAsia="宋体" w:cs="Times New Roman"/>
                <w:b/>
                <w:bCs/>
                <w:color w:val="auto"/>
                <w:kern w:val="0"/>
                <w:szCs w:val="21"/>
                <w:highlight w:val="none"/>
                <w:lang w:eastAsia="zh-CN"/>
              </w:rPr>
            </w:pPr>
            <w:r>
              <w:rPr>
                <w:rFonts w:hint="eastAsia" w:cs="Times New Roman"/>
                <w:b/>
                <w:bCs/>
                <w:color w:val="auto"/>
                <w:kern w:val="0"/>
                <w:szCs w:val="21"/>
                <w:highlight w:val="none"/>
                <w:lang w:eastAsia="zh-CN"/>
              </w:rPr>
              <w:t>（</w:t>
            </w:r>
            <w:r>
              <w:rPr>
                <w:rFonts w:hint="eastAsia" w:cs="Times New Roman"/>
                <w:b/>
                <w:bCs/>
                <w:color w:val="auto"/>
                <w:kern w:val="0"/>
                <w:szCs w:val="21"/>
                <w:highlight w:val="none"/>
                <w:lang w:val="en-US" w:eastAsia="zh-CN"/>
              </w:rPr>
              <w:t>2</w:t>
            </w:r>
            <w:r>
              <w:rPr>
                <w:rFonts w:hint="eastAsia" w:cs="Times New Roman"/>
                <w:b/>
                <w:bCs/>
                <w:color w:val="auto"/>
                <w:kern w:val="0"/>
                <w:szCs w:val="21"/>
                <w:highlight w:val="none"/>
                <w:lang w:eastAsia="zh-CN"/>
              </w:rPr>
              <w:t>）</w:t>
            </w:r>
            <w:r>
              <w:rPr>
                <w:rFonts w:hint="default" w:ascii="Times New Roman" w:hAnsi="Times New Roman" w:cs="Times New Roman"/>
                <w:b/>
                <w:bCs/>
                <w:color w:val="auto"/>
                <w:kern w:val="0"/>
                <w:szCs w:val="21"/>
                <w:highlight w:val="none"/>
                <w:lang w:eastAsia="zh-CN"/>
              </w:rPr>
              <w:t>一般固废管理要求</w:t>
            </w:r>
          </w:p>
          <w:p>
            <w:pPr>
              <w:keepNext w:val="0"/>
              <w:keepLines w:val="0"/>
              <w:pageBreakBefore w:val="0"/>
              <w:widowControl w:val="0"/>
              <w:kinsoku/>
              <w:wordWrap/>
              <w:overflowPunct/>
              <w:topLinePunct w:val="0"/>
              <w:bidi w:val="0"/>
              <w:adjustRightInd/>
              <w:snapToGrid/>
              <w:spacing w:line="360" w:lineRule="auto"/>
              <w:ind w:firstLine="420" w:firstLineChars="200"/>
              <w:jc w:val="both"/>
              <w:textAlignment w:val="auto"/>
              <w:rPr>
                <w:rFonts w:hint="default" w:ascii="Times New Roman" w:hAnsi="Times New Roman" w:cs="Times New Roman"/>
                <w:bCs/>
                <w:color w:val="auto"/>
                <w:kern w:val="0"/>
                <w:szCs w:val="21"/>
                <w:highlight w:val="cyan"/>
              </w:rPr>
            </w:pPr>
            <w:r>
              <w:rPr>
                <w:rFonts w:hint="eastAsia" w:cs="Times New Roman"/>
                <w:bCs/>
                <w:color w:val="auto"/>
                <w:kern w:val="0"/>
                <w:szCs w:val="21"/>
                <w:highlight w:val="none"/>
                <w:lang w:eastAsia="zh-CN"/>
              </w:rPr>
              <w:t>本项目拟在车间</w:t>
            </w:r>
            <w:r>
              <w:rPr>
                <w:rFonts w:hint="default" w:ascii="Times New Roman" w:hAnsi="Times New Roman" w:cs="Times New Roman"/>
                <w:bCs/>
                <w:color w:val="auto"/>
                <w:kern w:val="0"/>
                <w:szCs w:val="21"/>
                <w:highlight w:val="none"/>
              </w:rPr>
              <w:t>内设置1</w:t>
            </w:r>
            <w:r>
              <w:rPr>
                <w:rFonts w:hint="eastAsia" w:cs="Times New Roman"/>
                <w:bCs/>
                <w:color w:val="auto"/>
                <w:kern w:val="0"/>
                <w:szCs w:val="21"/>
                <w:highlight w:val="none"/>
                <w:lang w:eastAsia="zh-CN"/>
              </w:rPr>
              <w:t>间</w:t>
            </w:r>
            <w:r>
              <w:rPr>
                <w:rFonts w:hint="eastAsia" w:cs="Times New Roman"/>
                <w:bCs/>
                <w:color w:val="auto"/>
                <w:kern w:val="0"/>
                <w:szCs w:val="21"/>
                <w:highlight w:val="none"/>
                <w:lang w:val="en-US" w:eastAsia="zh-CN"/>
              </w:rPr>
              <w:t>20</w:t>
            </w:r>
            <w:r>
              <w:rPr>
                <w:rFonts w:hint="default" w:ascii="Times New Roman" w:hAnsi="Times New Roman" w:cs="Times New Roman"/>
                <w:bCs/>
                <w:color w:val="auto"/>
                <w:kern w:val="0"/>
                <w:szCs w:val="21"/>
                <w:highlight w:val="none"/>
              </w:rPr>
              <w:t>m</w:t>
            </w:r>
            <w:r>
              <w:rPr>
                <w:rFonts w:hint="default" w:ascii="Times New Roman" w:hAnsi="Times New Roman" w:cs="Times New Roman"/>
                <w:bCs/>
                <w:color w:val="auto"/>
                <w:kern w:val="0"/>
                <w:szCs w:val="21"/>
                <w:highlight w:val="none"/>
                <w:vertAlign w:val="superscript"/>
              </w:rPr>
              <w:t>2</w:t>
            </w:r>
            <w:r>
              <w:rPr>
                <w:rFonts w:hint="default" w:ascii="Times New Roman" w:hAnsi="Times New Roman" w:cs="Times New Roman"/>
                <w:bCs/>
                <w:color w:val="auto"/>
                <w:kern w:val="0"/>
                <w:szCs w:val="21"/>
                <w:highlight w:val="none"/>
              </w:rPr>
              <w:t>一般固废暂存间，用于产生的一般固体废物暂存，本项目一般固废贮存采用库房，根据《一般工业固体废物贮存和填埋污染控制标准》（GB18599-2020）中</w:t>
            </w:r>
            <w:r>
              <w:rPr>
                <w:rFonts w:hint="eastAsia" w:cs="Times New Roman"/>
                <w:bCs/>
                <w:color w:val="auto"/>
                <w:kern w:val="0"/>
                <w:szCs w:val="21"/>
                <w:highlight w:val="none"/>
                <w:lang w:eastAsia="zh-CN"/>
              </w:rPr>
              <w:t>适用</w:t>
            </w:r>
            <w:r>
              <w:rPr>
                <w:rFonts w:hint="default" w:ascii="Times New Roman" w:hAnsi="Times New Roman" w:cs="Times New Roman"/>
                <w:bCs/>
                <w:color w:val="auto"/>
                <w:kern w:val="0"/>
                <w:szCs w:val="21"/>
                <w:highlight w:val="none"/>
              </w:rPr>
              <w:t>范围，“采用库房、包装工具（罐、桶、包装袋等）贮存一般工业固体废物过程的污染控制，不适用本标准，其贮存过程应满足相应防渗漏、防雨淋、防扬尘等环境保护要求”，因此不适用于本项目的一般固废暂存间，一般固废贮存过程应满足相应防渗漏、防雨淋、防扬尘等环境保护要求</w:t>
            </w:r>
            <w:r>
              <w:rPr>
                <w:rFonts w:hint="default" w:ascii="Times New Roman" w:hAnsi="Times New Roman" w:cs="Times New Roman"/>
                <w:bCs/>
                <w:color w:val="auto"/>
                <w:kern w:val="0"/>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综上，项目各类固废能得到合理利用，妥善处置，不擅自向环境排放，符合国家对固体废物减量化、资源化、无害化的要求，不会对周围环境造成影响，因此本项目固废处置方案可行。</w:t>
            </w:r>
          </w:p>
          <w:p>
            <w:pPr>
              <w:pStyle w:val="20"/>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both"/>
              <w:textAlignment w:val="auto"/>
              <w:rPr>
                <w:rFonts w:hint="eastAsia" w:cs="Times New Roman"/>
                <w:b/>
                <w:bCs w:val="0"/>
                <w:color w:val="auto"/>
                <w:kern w:val="0"/>
                <w:sz w:val="21"/>
                <w:szCs w:val="21"/>
                <w:highlight w:val="none"/>
                <w:lang w:val="en-US" w:eastAsia="zh-CN"/>
              </w:rPr>
            </w:pPr>
            <w:r>
              <w:rPr>
                <w:rFonts w:hint="default" w:ascii="Times New Roman" w:hAnsi="Times New Roman" w:cs="Times New Roman"/>
                <w:b/>
                <w:bCs w:val="0"/>
                <w:color w:val="auto"/>
                <w:kern w:val="0"/>
                <w:sz w:val="21"/>
                <w:szCs w:val="21"/>
                <w:highlight w:val="none"/>
                <w:lang w:val="en-US" w:eastAsia="zh-CN"/>
              </w:rPr>
              <w:t>5、土壤</w:t>
            </w:r>
            <w:r>
              <w:rPr>
                <w:rFonts w:hint="eastAsia" w:cs="Times New Roman"/>
                <w:b/>
                <w:bCs w:val="0"/>
                <w:color w:val="auto"/>
                <w:kern w:val="0"/>
                <w:sz w:val="21"/>
                <w:szCs w:val="21"/>
                <w:highlight w:val="none"/>
                <w:lang w:val="en-US" w:eastAsia="zh-CN"/>
              </w:rPr>
              <w:t>及地下水</w:t>
            </w:r>
          </w:p>
          <w:p>
            <w:pPr>
              <w:keepNext w:val="0"/>
              <w:keepLines w:val="0"/>
              <w:pageBreakBefore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eastAsia" w:cs="Times New Roman"/>
                <w:color w:val="auto"/>
                <w:highlight w:val="none"/>
                <w:lang w:val="en-US" w:eastAsia="zh-CN"/>
              </w:rPr>
              <w:t>本项目生产过程产生的有机废气经设置1套“UV光催化氧化+活性炭吸附”装置处理后经15m高排气筒排放；项目无生产废水产生，生活污水经自建1套地埋式A/O一体化污水处理设施处理后，近期定期清运，远期待区域规划的新乡市凤泉区污水处理厂建成，且区域污水管网铺设完成后排入新乡市凤泉区污水处理厂进一步处理；一般固废经设置的一般固废暂存间暂存后定期外售处理，危险废物经设置的危险固废暂存间暂存后定期交由有资质的单位安全处置。</w:t>
            </w:r>
            <w:r>
              <w:rPr>
                <w:rFonts w:hint="default" w:ascii="Times New Roman" w:hAnsi="Times New Roman" w:cs="Times New Roman"/>
                <w:color w:val="auto"/>
                <w:sz w:val="21"/>
                <w:szCs w:val="21"/>
                <w:highlight w:val="none"/>
              </w:rPr>
              <w:t>一般固废</w:t>
            </w:r>
            <w:r>
              <w:rPr>
                <w:rFonts w:hint="default" w:ascii="Times New Roman" w:hAnsi="Times New Roman" w:cs="Times New Roman"/>
                <w:color w:val="auto"/>
                <w:sz w:val="21"/>
                <w:szCs w:val="21"/>
                <w:highlight w:val="none"/>
                <w:lang w:eastAsia="zh-CN"/>
              </w:rPr>
              <w:t>暂存间</w:t>
            </w:r>
            <w:r>
              <w:rPr>
                <w:rFonts w:hint="default" w:ascii="Times New Roman" w:hAnsi="Times New Roman" w:cs="Times New Roman"/>
                <w:color w:val="auto"/>
                <w:sz w:val="21"/>
                <w:szCs w:val="21"/>
                <w:highlight w:val="none"/>
              </w:rPr>
              <w:t>地面硬化，严格按照用于产生的一般固体废物暂存，一般固废暂存场所应按照《一般工业固体废物贮存和填埋污染控制标准》（GB18599-2020）</w:t>
            </w:r>
            <w:r>
              <w:rPr>
                <w:rFonts w:hint="default" w:ascii="Times New Roman" w:hAnsi="Times New Roman" w:cs="Times New Roman"/>
                <w:color w:val="auto"/>
                <w:sz w:val="21"/>
                <w:szCs w:val="21"/>
                <w:highlight w:val="none"/>
                <w:lang w:eastAsia="zh-CN"/>
              </w:rPr>
              <w:t>中</w:t>
            </w:r>
            <w:r>
              <w:rPr>
                <w:rFonts w:hint="default" w:ascii="Times New Roman" w:hAnsi="Times New Roman" w:cs="Times New Roman"/>
                <w:color w:val="auto"/>
                <w:sz w:val="21"/>
                <w:szCs w:val="21"/>
                <w:highlight w:val="none"/>
              </w:rPr>
              <w:t>“防渗漏、防雨淋、防扬尘”要求</w:t>
            </w:r>
            <w:r>
              <w:rPr>
                <w:rFonts w:hint="default" w:ascii="Times New Roman" w:hAnsi="Times New Roman" w:cs="Times New Roman"/>
                <w:color w:val="auto"/>
                <w:sz w:val="21"/>
                <w:szCs w:val="21"/>
                <w:highlight w:val="none"/>
                <w:lang w:eastAsia="zh-CN"/>
              </w:rPr>
              <w:t>设置</w:t>
            </w:r>
            <w:r>
              <w:rPr>
                <w:rFonts w:hint="default" w:ascii="Times New Roman" w:hAnsi="Times New Roman" w:cs="Times New Roman"/>
                <w:color w:val="auto"/>
                <w:sz w:val="21"/>
                <w:szCs w:val="21"/>
                <w:highlight w:val="none"/>
              </w:rPr>
              <w:t>，不得直接接触土壤。危险废物应使用规范的容器包装，并设置在单独危险固废暂存间内分类存放，危废在从工艺装置中卸出、包装、暂存到按照管理要求装车转移过程，均不得接触土壤，同时危险固废暂存间应严格按照《危险废物贮存污染控制标准》（GB18597-2023）要求，</w:t>
            </w:r>
            <w:r>
              <w:rPr>
                <w:rFonts w:hint="default" w:ascii="Times New Roman" w:hAnsi="Times New Roman" w:eastAsia="宋体" w:cs="Times New Roman"/>
                <w:b w:val="0"/>
                <w:bCs w:val="0"/>
                <w:color w:val="auto"/>
                <w:sz w:val="21"/>
                <w:szCs w:val="21"/>
                <w:highlight w:val="none"/>
              </w:rPr>
              <w:t>根据危险废物的形态、物理化学性质、包装形式和污染物迁移途径，采取必要的防风、防晒、防雨、防漏、防渗、防腐以及其他环境污染防治措施</w:t>
            </w:r>
            <w:r>
              <w:rPr>
                <w:rFonts w:hint="default" w:ascii="Times New Roman" w:hAnsi="Times New Roman" w:cs="Times New Roman"/>
                <w:color w:val="auto"/>
                <w:sz w:val="21"/>
                <w:szCs w:val="21"/>
                <w:highlight w:val="none"/>
              </w:rPr>
              <w:t>。</w:t>
            </w:r>
            <w:r>
              <w:rPr>
                <w:rFonts w:hint="default" w:ascii="Times New Roman" w:hAnsi="Times New Roman" w:cs="Times New Roman"/>
                <w:b w:val="0"/>
                <w:bCs w:val="0"/>
                <w:color w:val="auto"/>
                <w:sz w:val="21"/>
                <w:szCs w:val="21"/>
                <w:highlight w:val="none"/>
                <w:lang w:val="en-US" w:eastAsia="zh-CN"/>
              </w:rPr>
              <w:t>表面防渗材料应与所接触的物料或污染物相容，可采用抗渗混凝土、高密度聚乙烯膜、钠基膨润土防水毯或其他防渗性能等效的材料。贮存的危险废物直接接触地面的，还应进行基础防渗，防渗层为至少1 m厚黏土层（渗透系数不大于10</w:t>
            </w:r>
            <w:r>
              <w:rPr>
                <w:rFonts w:hint="default" w:ascii="Times New Roman" w:hAnsi="Times New Roman" w:cs="Times New Roman"/>
                <w:b w:val="0"/>
                <w:bCs w:val="0"/>
                <w:color w:val="auto"/>
                <w:sz w:val="21"/>
                <w:szCs w:val="21"/>
                <w:highlight w:val="none"/>
                <w:vertAlign w:val="superscript"/>
                <w:lang w:val="en-US" w:eastAsia="zh-CN"/>
              </w:rPr>
              <w:t>-7</w:t>
            </w:r>
            <w:r>
              <w:rPr>
                <w:rFonts w:hint="default" w:ascii="Times New Roman" w:hAnsi="Times New Roman" w:cs="Times New Roman"/>
                <w:b w:val="0"/>
                <w:bCs w:val="0"/>
                <w:color w:val="auto"/>
                <w:sz w:val="21"/>
                <w:szCs w:val="21"/>
                <w:highlight w:val="none"/>
                <w:lang w:val="en-US" w:eastAsia="zh-CN"/>
              </w:rPr>
              <w:t xml:space="preserve"> cm/s），或至少2 mm厚高密度聚乙烯膜等人工防渗材料（渗透系数不大于10</w:t>
            </w:r>
            <w:r>
              <w:rPr>
                <w:rFonts w:hint="default" w:ascii="Times New Roman" w:hAnsi="Times New Roman" w:cs="Times New Roman"/>
                <w:b w:val="0"/>
                <w:bCs w:val="0"/>
                <w:color w:val="auto"/>
                <w:sz w:val="21"/>
                <w:szCs w:val="21"/>
                <w:highlight w:val="none"/>
                <w:vertAlign w:val="superscript"/>
                <w:lang w:val="en-US" w:eastAsia="zh-CN"/>
              </w:rPr>
              <w:t>-10</w:t>
            </w:r>
            <w:r>
              <w:rPr>
                <w:rFonts w:hint="default" w:ascii="Times New Roman" w:hAnsi="Times New Roman" w:cs="Times New Roman"/>
                <w:b w:val="0"/>
                <w:bCs w:val="0"/>
                <w:color w:val="auto"/>
                <w:sz w:val="21"/>
                <w:szCs w:val="21"/>
                <w:highlight w:val="none"/>
                <w:lang w:val="en-US" w:eastAsia="zh-CN"/>
              </w:rPr>
              <w:t xml:space="preserve"> cm/s），或其他防渗性能等效的材料</w:t>
            </w:r>
            <w:r>
              <w:rPr>
                <w:rFonts w:hint="default" w:ascii="Times New Roman" w:hAnsi="Times New Roman" w:cs="Times New Roman"/>
                <w:color w:val="auto"/>
                <w:sz w:val="21"/>
                <w:szCs w:val="21"/>
                <w:highlight w:val="none"/>
              </w:rPr>
              <w:t xml:space="preserve">。各种原料、产品、中间产物在卸出、装车、转运过程中均要在经过防渗的场地进行，不得发生物料接触土壤的情况，如果有事故状态发生要及时处置。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为进一步加强对地下水、土壤的保护，要求采用分区防渗措施，具体分区及相应措施如下：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项目分区防渗要求一览表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1929"/>
              <w:gridCol w:w="502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21"/>
                      <w:szCs w:val="21"/>
                      <w:highlight w:val="cyan"/>
                      <w:vertAlign w:val="baseline"/>
                      <w:lang w:val="en-US" w:eastAsia="zh-CN"/>
                    </w:rPr>
                  </w:pPr>
                  <w:r>
                    <w:rPr>
                      <w:rFonts w:hint="default" w:ascii="Times New Roman" w:hAnsi="Times New Roman" w:cs="Times New Roman"/>
                      <w:color w:val="auto"/>
                      <w:sz w:val="18"/>
                      <w:szCs w:val="18"/>
                    </w:rPr>
                    <w:t>防渗分区</w:t>
                  </w:r>
                </w:p>
              </w:tc>
              <w:tc>
                <w:tcPr>
                  <w:tcW w:w="192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21"/>
                      <w:szCs w:val="21"/>
                      <w:highlight w:val="cyan"/>
                      <w:vertAlign w:val="baseline"/>
                      <w:lang w:val="en-US" w:eastAsia="zh-CN"/>
                    </w:rPr>
                  </w:pPr>
                  <w:r>
                    <w:rPr>
                      <w:rFonts w:hint="default" w:ascii="Times New Roman" w:hAnsi="Times New Roman" w:cs="Times New Roman"/>
                      <w:color w:val="auto"/>
                      <w:sz w:val="18"/>
                      <w:szCs w:val="18"/>
                    </w:rPr>
                    <w:t>区域</w:t>
                  </w:r>
                </w:p>
              </w:tc>
              <w:tc>
                <w:tcPr>
                  <w:tcW w:w="502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21"/>
                      <w:szCs w:val="21"/>
                      <w:highlight w:val="cyan"/>
                      <w:vertAlign w:val="baseline"/>
                      <w:lang w:val="en-US" w:eastAsia="zh-CN"/>
                    </w:rPr>
                  </w:pPr>
                  <w:r>
                    <w:rPr>
                      <w:rFonts w:hint="default" w:ascii="Times New Roman" w:hAnsi="Times New Roman" w:cs="Times New Roman"/>
                      <w:color w:val="auto"/>
                      <w:sz w:val="18"/>
                      <w:szCs w:val="18"/>
                    </w:rPr>
                    <w:t>具体防渗要求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21"/>
                      <w:szCs w:val="21"/>
                      <w:highlight w:val="cyan"/>
                      <w:vertAlign w:val="baseline"/>
                      <w:lang w:val="en-US" w:eastAsia="zh-CN"/>
                    </w:rPr>
                  </w:pPr>
                  <w:r>
                    <w:rPr>
                      <w:rFonts w:hint="default" w:ascii="Times New Roman" w:hAnsi="Times New Roman" w:cs="Times New Roman"/>
                      <w:color w:val="auto"/>
                      <w:sz w:val="18"/>
                      <w:szCs w:val="18"/>
                    </w:rPr>
                    <w:t>重点防渗区</w:t>
                  </w:r>
                </w:p>
              </w:tc>
              <w:tc>
                <w:tcPr>
                  <w:tcW w:w="1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cs="Times New Roman"/>
                      <w:color w:val="auto"/>
                      <w:sz w:val="18"/>
                      <w:szCs w:val="18"/>
                      <w:highlight w:val="none"/>
                    </w:rPr>
                    <w:t>危废暂存间</w:t>
                  </w:r>
                  <w:r>
                    <w:rPr>
                      <w:rFonts w:hint="eastAsia" w:cs="Times New Roman"/>
                      <w:color w:val="auto"/>
                      <w:sz w:val="18"/>
                      <w:szCs w:val="18"/>
                      <w:highlight w:val="none"/>
                      <w:lang w:eastAsia="zh-CN"/>
                    </w:rPr>
                    <w:t>、注液封口生产区</w:t>
                  </w:r>
                </w:p>
              </w:tc>
              <w:tc>
                <w:tcPr>
                  <w:tcW w:w="50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cs="Times New Roman"/>
                      <w:color w:val="auto"/>
                      <w:sz w:val="18"/>
                      <w:szCs w:val="18"/>
                      <w:highlight w:val="none"/>
                    </w:rPr>
                    <w:t>混凝土硬化地面上采用“耐磨耐酸水泥+高密度聚乙烯+环氧地坪漆”防渗处理，防渗层高密度聚氯乙烯厚度不低于2mm，渗透系数小于1.0×10</w:t>
                  </w:r>
                  <w:r>
                    <w:rPr>
                      <w:rFonts w:hint="default" w:ascii="Times New Roman" w:hAnsi="Times New Roman" w:cs="Times New Roman"/>
                      <w:color w:val="auto"/>
                      <w:sz w:val="18"/>
                      <w:szCs w:val="18"/>
                      <w:highlight w:val="none"/>
                      <w:vertAlign w:val="superscript"/>
                    </w:rPr>
                    <w:t>-10</w:t>
                  </w:r>
                  <w:r>
                    <w:rPr>
                      <w:rFonts w:hint="default" w:ascii="Times New Roman" w:hAnsi="Times New Roman" w:cs="Times New Roman"/>
                      <w:color w:val="auto"/>
                      <w:sz w:val="18"/>
                      <w:szCs w:val="18"/>
                      <w:highlight w:val="none"/>
                    </w:rPr>
                    <w:t>cm/s。</w:t>
                  </w:r>
                  <w:r>
                    <w:rPr>
                      <w:rFonts w:hint="default" w:ascii="Times New Roman" w:hAnsi="Times New Roman" w:eastAsia="宋体" w:cs="Times New Roman"/>
                      <w:b w:val="0"/>
                      <w:bCs/>
                      <w:color w:val="auto"/>
                      <w:kern w:val="0"/>
                      <w:sz w:val="18"/>
                      <w:szCs w:val="18"/>
                      <w:highlight w:val="none"/>
                      <w:lang w:val="en-US" w:eastAsia="zh-CN" w:bidi="ar"/>
                    </w:rPr>
                    <w:t>等效黏土防渗层 Mb≥6.0m，K≤1×10</w:t>
                  </w:r>
                  <w:r>
                    <w:rPr>
                      <w:rFonts w:hint="default" w:ascii="Times New Roman" w:hAnsi="Times New Roman" w:eastAsia="宋体" w:cs="Times New Roman"/>
                      <w:b w:val="0"/>
                      <w:bCs/>
                      <w:color w:val="auto"/>
                      <w:kern w:val="0"/>
                      <w:sz w:val="18"/>
                      <w:szCs w:val="18"/>
                      <w:highlight w:val="none"/>
                      <w:vertAlign w:val="superscript"/>
                      <w:lang w:val="en-US" w:eastAsia="zh-CN" w:bidi="ar"/>
                    </w:rPr>
                    <w:t>-10</w:t>
                  </w:r>
                  <w:r>
                    <w:rPr>
                      <w:rFonts w:hint="default" w:ascii="Times New Roman" w:hAnsi="Times New Roman" w:eastAsia="宋体" w:cs="Times New Roman"/>
                      <w:b w:val="0"/>
                      <w:bCs/>
                      <w:color w:val="auto"/>
                      <w:kern w:val="0"/>
                      <w:sz w:val="18"/>
                      <w:szCs w:val="18"/>
                      <w:highlight w:val="none"/>
                      <w:lang w:val="en-US" w:eastAsia="zh-CN" w:bidi="ar"/>
                    </w:rPr>
                    <w:t>cm/s；或参照GB18598 执行</w:t>
                  </w:r>
                  <w:r>
                    <w:rPr>
                      <w:rFonts w:hint="default" w:ascii="Times New Roman" w:hAnsi="Times New Roman" w:cs="Times New Roman"/>
                      <w:color w:val="auto"/>
                      <w:sz w:val="18"/>
                      <w:szCs w:val="18"/>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21"/>
                      <w:szCs w:val="21"/>
                      <w:highlight w:val="cyan"/>
                      <w:vertAlign w:val="baseline"/>
                      <w:lang w:val="en-US" w:eastAsia="zh-CN"/>
                    </w:rPr>
                  </w:pPr>
                  <w:r>
                    <w:rPr>
                      <w:rFonts w:hint="default" w:ascii="Times New Roman" w:hAnsi="Times New Roman" w:cs="Times New Roman"/>
                      <w:color w:val="auto"/>
                      <w:sz w:val="18"/>
                      <w:szCs w:val="18"/>
                      <w:lang w:eastAsia="zh-CN"/>
                    </w:rPr>
                    <w:t>一般防渗区</w:t>
                  </w:r>
                </w:p>
              </w:tc>
              <w:tc>
                <w:tcPr>
                  <w:tcW w:w="1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cs="Times New Roman"/>
                      <w:color w:val="auto"/>
                      <w:sz w:val="18"/>
                      <w:szCs w:val="18"/>
                      <w:highlight w:val="none"/>
                    </w:rPr>
                    <w:t>一般固废暂存间、</w:t>
                  </w:r>
                  <w:r>
                    <w:rPr>
                      <w:rFonts w:hint="eastAsia" w:cs="Times New Roman"/>
                      <w:color w:val="auto"/>
                      <w:sz w:val="18"/>
                      <w:szCs w:val="18"/>
                      <w:highlight w:val="none"/>
                      <w:lang w:eastAsia="zh-CN"/>
                    </w:rPr>
                    <w:t>原料库、成品区、其他生产区（焊接装配、极片制作、化成、分容等区域）</w:t>
                  </w:r>
                </w:p>
              </w:tc>
              <w:tc>
                <w:tcPr>
                  <w:tcW w:w="50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val="0"/>
                      <w:bCs/>
                      <w:color w:val="auto"/>
                      <w:kern w:val="0"/>
                      <w:sz w:val="18"/>
                      <w:szCs w:val="18"/>
                      <w:highlight w:val="none"/>
                      <w:lang w:val="en-US" w:eastAsia="zh-CN" w:bidi="ar"/>
                    </w:rPr>
                    <w:t>在清场夯压的基础上铺设混凝土防渗，</w:t>
                  </w:r>
                  <w:r>
                    <w:rPr>
                      <w:rFonts w:hint="default" w:ascii="Times New Roman" w:hAnsi="Times New Roman" w:cs="Times New Roman"/>
                      <w:bCs/>
                      <w:color w:val="auto"/>
                      <w:sz w:val="18"/>
                      <w:szCs w:val="18"/>
                      <w:highlight w:val="none"/>
                    </w:rPr>
                    <w:t>等效黏土防渗层Mb≥1.5m，渗透系数K≤1×l0</w:t>
                  </w:r>
                  <w:r>
                    <w:rPr>
                      <w:rFonts w:hint="default" w:ascii="Times New Roman" w:hAnsi="Times New Roman" w:cs="Times New Roman"/>
                      <w:bCs/>
                      <w:color w:val="auto"/>
                      <w:sz w:val="18"/>
                      <w:szCs w:val="18"/>
                      <w:highlight w:val="none"/>
                      <w:vertAlign w:val="superscript"/>
                    </w:rPr>
                    <w:t>-7</w:t>
                  </w:r>
                  <w:r>
                    <w:rPr>
                      <w:rFonts w:hint="default" w:ascii="Times New Roman" w:hAnsi="Times New Roman" w:cs="Times New Roman"/>
                      <w:bCs/>
                      <w:color w:val="auto"/>
                      <w:sz w:val="18"/>
                      <w:szCs w:val="18"/>
                      <w:highlight w:val="none"/>
                    </w:rPr>
                    <w:t>cm/s，或参照GB16889执行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简单防渗区</w:t>
                  </w:r>
                </w:p>
              </w:tc>
              <w:tc>
                <w:tcPr>
                  <w:tcW w:w="19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21"/>
                      <w:szCs w:val="21"/>
                      <w:highlight w:val="cyan"/>
                      <w:vertAlign w:val="baseline"/>
                      <w:lang w:val="en-US" w:eastAsia="zh-CN"/>
                    </w:rPr>
                  </w:pPr>
                  <w:r>
                    <w:rPr>
                      <w:rFonts w:hint="default" w:ascii="Times New Roman" w:hAnsi="Times New Roman" w:cs="Times New Roman"/>
                      <w:color w:val="auto"/>
                      <w:sz w:val="18"/>
                      <w:szCs w:val="18"/>
                    </w:rPr>
                    <w:t>办公区、成品区</w:t>
                  </w:r>
                </w:p>
              </w:tc>
              <w:tc>
                <w:tcPr>
                  <w:tcW w:w="50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lang w:val="en-US" w:eastAsia="zh-CN" w:bidi="ar"/>
                    </w:rPr>
                  </w:pPr>
                  <w:r>
                    <w:rPr>
                      <w:rFonts w:hint="default" w:ascii="Times New Roman" w:hAnsi="Times New Roman" w:cs="Times New Roman"/>
                      <w:bCs/>
                      <w:color w:val="auto"/>
                      <w:sz w:val="18"/>
                      <w:szCs w:val="18"/>
                    </w:rPr>
                    <w:t>一般地面硬化</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综上分析，厂区做好防渗工作，切断其对地下水、土壤环境的影响源。在落实好防渗、防污措施后，本项目的地下水、土壤环境影响是可以接受的。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b/>
                <w:bCs w:val="0"/>
                <w:color w:val="auto"/>
                <w:kern w:val="0"/>
                <w:sz w:val="21"/>
                <w:szCs w:val="21"/>
                <w:highlight w:val="none"/>
                <w:lang w:val="en-US" w:eastAsia="zh-CN"/>
              </w:rPr>
            </w:pPr>
            <w:r>
              <w:rPr>
                <w:rFonts w:hint="default" w:ascii="Times New Roman" w:hAnsi="Times New Roman" w:cs="Times New Roman"/>
                <w:b/>
                <w:bCs w:val="0"/>
                <w:color w:val="auto"/>
                <w:kern w:val="0"/>
                <w:sz w:val="21"/>
                <w:szCs w:val="21"/>
                <w:highlight w:val="none"/>
                <w:lang w:val="en-US" w:eastAsia="zh-CN"/>
              </w:rPr>
              <w:t>6、环境风险</w:t>
            </w:r>
          </w:p>
          <w:p>
            <w:pPr>
              <w:pStyle w:val="9"/>
              <w:keepNext w:val="0"/>
              <w:keepLines w:val="0"/>
              <w:pageBreakBefore w:val="0"/>
              <w:widowControl w:val="0"/>
              <w:kinsoku/>
              <w:wordWrap/>
              <w:overflowPunct/>
              <w:topLinePunct w:val="0"/>
              <w:bidi w:val="0"/>
              <w:adjustRightInd/>
              <w:snapToGrid/>
              <w:spacing w:after="0" w:line="360" w:lineRule="auto"/>
              <w:ind w:left="0" w:leftChars="0" w:firstLine="0" w:firstLineChars="0"/>
              <w:jc w:val="both"/>
              <w:textAlignment w:val="auto"/>
              <w:rPr>
                <w:rFonts w:hint="default" w:ascii="Times New Roman" w:hAnsi="Times New Roman" w:eastAsia="宋体" w:cs="Times New Roman"/>
                <w:b/>
                <w:bCs/>
                <w:color w:val="auto"/>
                <w:kern w:val="0"/>
                <w:sz w:val="21"/>
                <w:szCs w:val="21"/>
                <w:highlight w:val="none"/>
                <w:lang w:eastAsia="zh-CN"/>
              </w:rPr>
            </w:pPr>
            <w:r>
              <w:rPr>
                <w:rFonts w:hint="eastAsia" w:cs="Times New Roman"/>
                <w:b/>
                <w:bCs/>
                <w:color w:val="auto"/>
                <w:kern w:val="0"/>
                <w:sz w:val="21"/>
                <w:szCs w:val="21"/>
                <w:highlight w:val="none"/>
                <w:lang w:val="en-US" w:eastAsia="zh-CN"/>
              </w:rPr>
              <w:t>6.1</w:t>
            </w:r>
            <w:r>
              <w:rPr>
                <w:rFonts w:hint="default" w:ascii="Times New Roman" w:hAnsi="Times New Roman" w:cs="Times New Roman"/>
                <w:b/>
                <w:bCs/>
                <w:color w:val="auto"/>
                <w:kern w:val="0"/>
                <w:sz w:val="21"/>
                <w:szCs w:val="21"/>
                <w:highlight w:val="none"/>
                <w:lang w:eastAsia="zh-CN"/>
              </w:rPr>
              <w:t>危险物质识别</w:t>
            </w:r>
          </w:p>
          <w:p>
            <w:pPr>
              <w:pStyle w:val="9"/>
              <w:keepNext w:val="0"/>
              <w:keepLines w:val="0"/>
              <w:pageBreakBefore w:val="0"/>
              <w:widowControl w:val="0"/>
              <w:kinsoku/>
              <w:wordWrap/>
              <w:overflowPunct/>
              <w:topLinePunct w:val="0"/>
              <w:bidi w:val="0"/>
              <w:adjustRightInd/>
              <w:snapToGrid/>
              <w:spacing w:after="0" w:line="360" w:lineRule="auto"/>
              <w:ind w:left="0" w:leftChars="0" w:firstLine="420" w:firstLineChars="200"/>
              <w:jc w:val="both"/>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eastAsia="zh-CN"/>
              </w:rPr>
              <w:t>本项目生产过程</w:t>
            </w:r>
            <w:r>
              <w:rPr>
                <w:rFonts w:hint="default" w:ascii="Times New Roman" w:hAnsi="Times New Roman" w:eastAsia="宋体" w:cs="Times New Roman"/>
                <w:color w:val="auto"/>
                <w:kern w:val="0"/>
                <w:sz w:val="21"/>
                <w:szCs w:val="21"/>
                <w:highlight w:val="none"/>
              </w:rPr>
              <w:t>涉及的风险物质为</w:t>
            </w:r>
            <w:r>
              <w:rPr>
                <w:rFonts w:hint="eastAsia" w:cs="Times New Roman"/>
                <w:color w:val="auto"/>
                <w:kern w:val="0"/>
                <w:sz w:val="21"/>
                <w:szCs w:val="21"/>
                <w:highlight w:val="none"/>
                <w:lang w:eastAsia="zh-CN"/>
              </w:rPr>
              <w:t>电解</w:t>
            </w:r>
            <w:r>
              <w:rPr>
                <w:rFonts w:hint="eastAsia" w:ascii="Times New Roman" w:hAnsi="Times New Roman" w:eastAsia="宋体" w:cs="Times New Roman"/>
                <w:color w:val="auto"/>
                <w:kern w:val="0"/>
                <w:sz w:val="21"/>
                <w:szCs w:val="21"/>
                <w:highlight w:val="none"/>
                <w:lang w:eastAsia="zh-CN"/>
              </w:rPr>
              <w:t>液</w:t>
            </w:r>
            <w:r>
              <w:rPr>
                <w:rFonts w:hint="eastAsia" w:cs="Times New Roman"/>
                <w:color w:val="auto"/>
                <w:kern w:val="0"/>
                <w:sz w:val="21"/>
                <w:szCs w:val="21"/>
                <w:highlight w:val="none"/>
                <w:lang w:eastAsia="zh-CN"/>
              </w:rPr>
              <w:t>和废润滑油</w:t>
            </w:r>
            <w:r>
              <w:rPr>
                <w:rFonts w:hint="default" w:ascii="Times New Roman" w:hAnsi="Times New Roman" w:eastAsia="宋体" w:cs="Times New Roman"/>
                <w:color w:val="auto"/>
                <w:kern w:val="0"/>
                <w:sz w:val="21"/>
                <w:szCs w:val="21"/>
                <w:highlight w:val="none"/>
                <w:lang w:eastAsia="zh-CN"/>
              </w:rPr>
              <w:t>，经对照《建设项目环境风险评价技术导则》（HJ169-2018）</w:t>
            </w:r>
            <w:r>
              <w:rPr>
                <w:rFonts w:hint="default" w:ascii="Times New Roman" w:hAnsi="Times New Roman" w:eastAsia="宋体"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本项目废润滑油临界量为2500t，而所用电解液则</w:t>
            </w:r>
            <w:r>
              <w:rPr>
                <w:rFonts w:hint="default" w:ascii="Times New Roman" w:hAnsi="Times New Roman" w:cs="Times New Roman"/>
                <w:color w:val="auto"/>
                <w:kern w:val="0"/>
                <w:sz w:val="21"/>
                <w:szCs w:val="21"/>
                <w:highlight w:val="none"/>
                <w:lang w:val="en-US" w:eastAsia="zh-CN"/>
              </w:rPr>
              <w:t>不</w:t>
            </w:r>
            <w:r>
              <w:rPr>
                <w:rFonts w:hint="default" w:ascii="Times New Roman" w:hAnsi="Times New Roman" w:eastAsia="宋体" w:cs="Times New Roman"/>
                <w:color w:val="auto"/>
                <w:kern w:val="0"/>
                <w:sz w:val="21"/>
                <w:szCs w:val="21"/>
                <w:highlight w:val="none"/>
                <w:lang w:val="en-US" w:eastAsia="zh-CN"/>
              </w:rPr>
              <w:t>属于导则中重点关注的危险物质</w:t>
            </w:r>
            <w:r>
              <w:rPr>
                <w:rFonts w:hint="default" w:ascii="Times New Roman" w:hAnsi="Times New Roman" w:cs="Times New Roman"/>
                <w:color w:val="auto"/>
                <w:kern w:val="0"/>
                <w:sz w:val="21"/>
                <w:szCs w:val="21"/>
                <w:highlight w:val="none"/>
                <w:lang w:val="en-US" w:eastAsia="zh-CN"/>
              </w:rPr>
              <w:t>，根据《化学品分类和标签规范 第7部分：易燃液体》（GB30000.7-2013）中表1易燃液体分类，生产过程中使用的电解液中的溶剂碳酸二甲酯为2类易燃液体，属于《危险化学品重大危险源辨识》（GB18218-2018）表2中危险性为W5.3的易燃液体，其贮存场所临界量为1000t，项目危险化学品年用量和最大库存量见下表。</w:t>
            </w:r>
          </w:p>
          <w:p>
            <w:pPr>
              <w:pStyle w:val="8"/>
              <w:rPr>
                <w:rFonts w:hint="default" w:ascii="Times New Roman" w:hAnsi="Times New Roman" w:cs="Times New Roman"/>
                <w:color w:val="auto"/>
                <w:kern w:val="0"/>
                <w:sz w:val="21"/>
                <w:szCs w:val="21"/>
                <w:highlight w:val="none"/>
                <w:lang w:val="en-US" w:eastAsia="zh-CN"/>
              </w:rPr>
            </w:pPr>
          </w:p>
          <w:p>
            <w:pPr>
              <w:pStyle w:val="7"/>
              <w:rPr>
                <w:rFonts w:hint="default"/>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本项目危险物质临界量与实际量对比一览表</w:t>
            </w:r>
          </w:p>
          <w:tbl>
            <w:tblPr>
              <w:tblStyle w:val="2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7"/>
              <w:gridCol w:w="1334"/>
              <w:gridCol w:w="1591"/>
              <w:gridCol w:w="1619"/>
              <w:gridCol w:w="1017"/>
              <w:gridCol w:w="89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物料名称</w:t>
                  </w:r>
                </w:p>
              </w:tc>
              <w:tc>
                <w:tcPr>
                  <w:tcW w:w="813"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危险性</w:t>
                  </w:r>
                </w:p>
              </w:tc>
              <w:tc>
                <w:tcPr>
                  <w:tcW w:w="97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临界储量</w:t>
                  </w:r>
                </w:p>
              </w:tc>
              <w:tc>
                <w:tcPr>
                  <w:tcW w:w="987"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实际储量</w:t>
                  </w:r>
                </w:p>
              </w:tc>
              <w:tc>
                <w:tcPr>
                  <w:tcW w:w="62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Q=q/Q</w:t>
                  </w:r>
                </w:p>
              </w:tc>
              <w:tc>
                <w:tcPr>
                  <w:tcW w:w="543"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rPr>
                    <w:t>ΣQ</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18"/>
                      <w:szCs w:val="18"/>
                      <w:lang w:eastAsia="zh-CN"/>
                    </w:rPr>
                  </w:pPr>
                  <w:r>
                    <w:rPr>
                      <w:rFonts w:hint="eastAsia" w:cs="Times New Roman"/>
                      <w:b w:val="0"/>
                      <w:bCs w:val="0"/>
                      <w:color w:val="auto"/>
                      <w:sz w:val="18"/>
                      <w:szCs w:val="18"/>
                      <w:lang w:eastAsia="zh-CN"/>
                    </w:rPr>
                    <w:t>电解液</w:t>
                  </w:r>
                </w:p>
              </w:tc>
              <w:tc>
                <w:tcPr>
                  <w:tcW w:w="813"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易燃</w:t>
                  </w:r>
                </w:p>
              </w:tc>
              <w:tc>
                <w:tcPr>
                  <w:tcW w:w="97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rPr>
                  </w:pPr>
                  <w:r>
                    <w:rPr>
                      <w:rFonts w:hint="eastAsia" w:cs="Times New Roman"/>
                      <w:b w:val="0"/>
                      <w:bCs w:val="0"/>
                      <w:color w:val="auto"/>
                      <w:sz w:val="18"/>
                      <w:szCs w:val="18"/>
                      <w:lang w:val="en-US" w:eastAsia="zh-CN"/>
                    </w:rPr>
                    <w:t>1000</w:t>
                  </w:r>
                  <w:r>
                    <w:rPr>
                      <w:rFonts w:hint="default" w:ascii="Times New Roman" w:hAnsi="Times New Roman" w:cs="Times New Roman"/>
                      <w:b w:val="0"/>
                      <w:bCs w:val="0"/>
                      <w:color w:val="auto"/>
                      <w:sz w:val="18"/>
                      <w:szCs w:val="18"/>
                    </w:rPr>
                    <w:t>t</w:t>
                  </w:r>
                </w:p>
              </w:tc>
              <w:tc>
                <w:tcPr>
                  <w:tcW w:w="987"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2t</w:t>
                  </w:r>
                </w:p>
              </w:tc>
              <w:tc>
                <w:tcPr>
                  <w:tcW w:w="62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0.002</w:t>
                  </w:r>
                </w:p>
              </w:tc>
              <w:tc>
                <w:tcPr>
                  <w:tcW w:w="543" w:type="pct"/>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0.00208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eastAsia" w:cs="Times New Roman"/>
                      <w:b w:val="0"/>
                      <w:bCs w:val="0"/>
                      <w:color w:val="auto"/>
                      <w:sz w:val="18"/>
                      <w:szCs w:val="18"/>
                      <w:lang w:eastAsia="zh-CN"/>
                    </w:rPr>
                  </w:pPr>
                  <w:r>
                    <w:rPr>
                      <w:rFonts w:hint="eastAsia" w:cs="Times New Roman"/>
                      <w:b w:val="0"/>
                      <w:bCs w:val="0"/>
                      <w:color w:val="auto"/>
                      <w:sz w:val="18"/>
                      <w:szCs w:val="18"/>
                      <w:lang w:eastAsia="zh-CN"/>
                    </w:rPr>
                    <w:t>废润滑油</w:t>
                  </w:r>
                </w:p>
              </w:tc>
              <w:tc>
                <w:tcPr>
                  <w:tcW w:w="813"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易燃</w:t>
                  </w:r>
                </w:p>
              </w:tc>
              <w:tc>
                <w:tcPr>
                  <w:tcW w:w="97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2500t</w:t>
                  </w:r>
                </w:p>
              </w:tc>
              <w:tc>
                <w:tcPr>
                  <w:tcW w:w="987"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eastAsia"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0.2</w:t>
                  </w:r>
                  <w:r>
                    <w:rPr>
                      <w:rFonts w:hint="eastAsia" w:cs="Times New Roman"/>
                      <w:b w:val="0"/>
                      <w:bCs w:val="0"/>
                      <w:color w:val="auto"/>
                      <w:sz w:val="18"/>
                      <w:szCs w:val="18"/>
                      <w:lang w:val="en-US" w:eastAsia="zh-CN"/>
                    </w:rPr>
                    <w:t>t</w:t>
                  </w:r>
                </w:p>
              </w:tc>
              <w:tc>
                <w:tcPr>
                  <w:tcW w:w="62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eastAsia"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0.00008</w:t>
                  </w:r>
                </w:p>
              </w:tc>
              <w:tc>
                <w:tcPr>
                  <w:tcW w:w="543" w:type="pct"/>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eastAsia" w:cs="Times New Roman"/>
                      <w:b w:val="0"/>
                      <w:bCs w:val="0"/>
                      <w:color w:val="auto"/>
                      <w:sz w:val="18"/>
                      <w:szCs w:val="18"/>
                      <w:lang w:val="en-US" w:eastAsia="zh-CN"/>
                    </w:rPr>
                  </w:pP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由上表可知，本项目Q＜1，根据《建设项目环境影响报告表编制技术指南（污染影响类）》要求，本次评价仅明确有毒有害和易燃易爆危险物质和风险源分布情况及可能影响途径，并提出相应的环境风险防范措施。</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6.2</w:t>
            </w:r>
            <w:r>
              <w:rPr>
                <w:rFonts w:hint="default" w:ascii="Times New Roman" w:hAnsi="Times New Roman" w:eastAsia="宋体" w:cs="Times New Roman"/>
                <w:b/>
                <w:bCs/>
                <w:color w:val="auto"/>
                <w:sz w:val="21"/>
                <w:szCs w:val="21"/>
                <w:highlight w:val="none"/>
                <w:vertAlign w:val="baseline"/>
                <w:lang w:val="en-US" w:eastAsia="zh-CN"/>
              </w:rPr>
              <w:t>危险物质分布情况</w:t>
            </w:r>
          </w:p>
          <w:p>
            <w:pPr>
              <w:pStyle w:val="27"/>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本项目机械设备更换出的废润滑油均于企业车间外设置的1间危险固废暂存间内储存，每次设备维护后危废间内废润滑油最大储存量为0.2t；</w:t>
            </w:r>
            <w:r>
              <w:rPr>
                <w:rFonts w:hint="default" w:ascii="Times New Roman" w:hAnsi="Times New Roman" w:eastAsia="宋体" w:cs="Times New Roman"/>
                <w:color w:val="auto"/>
                <w:sz w:val="21"/>
                <w:szCs w:val="21"/>
                <w:highlight w:val="none"/>
                <w:lang w:val="en-US" w:eastAsia="zh-CN"/>
              </w:rPr>
              <w:t>项目</w:t>
            </w:r>
            <w:r>
              <w:rPr>
                <w:rFonts w:hint="eastAsia" w:ascii="Times New Roman" w:eastAsia="宋体" w:cs="Times New Roman"/>
                <w:color w:val="auto"/>
                <w:sz w:val="21"/>
                <w:szCs w:val="21"/>
                <w:highlight w:val="none"/>
                <w:lang w:val="en-US" w:eastAsia="zh-CN"/>
              </w:rPr>
              <w:t>生产过程</w:t>
            </w:r>
            <w:r>
              <w:rPr>
                <w:rFonts w:hint="default" w:ascii="Times New Roman" w:hAnsi="Times New Roman" w:eastAsia="宋体" w:cs="Times New Roman"/>
                <w:color w:val="auto"/>
                <w:sz w:val="21"/>
                <w:szCs w:val="21"/>
                <w:highlight w:val="none"/>
                <w:lang w:val="en-US" w:eastAsia="zh-CN"/>
              </w:rPr>
              <w:t>所用</w:t>
            </w:r>
            <w:r>
              <w:rPr>
                <w:rFonts w:hint="eastAsia" w:ascii="Times New Roman" w:eastAsia="宋体" w:cs="Times New Roman"/>
                <w:color w:val="auto"/>
                <w:sz w:val="21"/>
                <w:szCs w:val="21"/>
                <w:highlight w:val="none"/>
                <w:lang w:val="en-US" w:eastAsia="zh-CN"/>
              </w:rPr>
              <w:t>电解液</w:t>
            </w:r>
            <w:r>
              <w:rPr>
                <w:rFonts w:hint="default" w:ascii="Times New Roman" w:hAnsi="Times New Roman" w:eastAsia="宋体" w:cs="Times New Roman"/>
                <w:color w:val="auto"/>
                <w:sz w:val="21"/>
                <w:szCs w:val="21"/>
                <w:highlight w:val="none"/>
                <w:lang w:val="en-US" w:eastAsia="zh-CN"/>
              </w:rPr>
              <w:t>均为</w:t>
            </w:r>
            <w:r>
              <w:rPr>
                <w:rFonts w:hint="eastAsia" w:ascii="Times New Roman" w:eastAsia="宋体" w:cs="Times New Roman"/>
                <w:color w:val="auto"/>
                <w:sz w:val="21"/>
                <w:szCs w:val="21"/>
                <w:highlight w:val="none"/>
                <w:lang w:val="en-US" w:eastAsia="zh-CN"/>
              </w:rPr>
              <w:t>密闭吨桶包装</w:t>
            </w:r>
            <w:r>
              <w:rPr>
                <w:rFonts w:hint="default" w:ascii="Times New Roman" w:hAnsi="Times New Roman" w:eastAsia="宋体" w:cs="Times New Roman"/>
                <w:color w:val="auto"/>
                <w:sz w:val="21"/>
                <w:szCs w:val="21"/>
                <w:highlight w:val="none"/>
                <w:lang w:val="en-US" w:eastAsia="zh-CN"/>
              </w:rPr>
              <w:t>，汽运入厂后主要存放在车间内原料库内储存</w:t>
            </w:r>
            <w:r>
              <w:rPr>
                <w:rFonts w:hint="eastAsia" w:ascii="Times New Roman" w:eastAsia="宋体" w:cs="Times New Roman"/>
                <w:color w:val="auto"/>
                <w:sz w:val="21"/>
                <w:szCs w:val="21"/>
                <w:highlight w:val="none"/>
                <w:lang w:val="en-US" w:eastAsia="zh-CN"/>
              </w:rPr>
              <w:t>，日常储存约2桶（每桶电解液按照1t计算），则日常最大储存量为2t</w:t>
            </w:r>
            <w:r>
              <w:rPr>
                <w:rFonts w:hint="default" w:ascii="Times New Roman" w:hAnsi="Times New Roman" w:eastAsia="宋体" w:cs="Times New Roman"/>
                <w:color w:val="auto"/>
                <w:sz w:val="21"/>
                <w:szCs w:val="21"/>
                <w:highlight w:val="none"/>
                <w:lang w:val="en-US" w:eastAsia="zh-CN"/>
              </w:rPr>
              <w:t>。</w:t>
            </w:r>
          </w:p>
          <w:p>
            <w:pPr>
              <w:pStyle w:val="27"/>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eastAsia="宋体" w:cs="Times New Roman"/>
                <w:b/>
                <w:bCs/>
                <w:color w:val="auto"/>
                <w:sz w:val="21"/>
                <w:szCs w:val="21"/>
                <w:highlight w:val="none"/>
                <w:lang w:val="en-US" w:eastAsia="zh-CN"/>
              </w:rPr>
              <w:t>6.3</w:t>
            </w:r>
            <w:r>
              <w:rPr>
                <w:rFonts w:hint="default" w:ascii="Times New Roman" w:hAnsi="Times New Roman" w:eastAsia="宋体" w:cs="Times New Roman"/>
                <w:b/>
                <w:bCs/>
                <w:color w:val="auto"/>
                <w:sz w:val="21"/>
                <w:szCs w:val="21"/>
                <w:highlight w:val="none"/>
                <w:lang w:val="en-US" w:eastAsia="zh-CN"/>
              </w:rPr>
              <w:t>影响途径</w:t>
            </w:r>
          </w:p>
          <w:p>
            <w:pPr>
              <w:keepNext w:val="0"/>
              <w:keepLines w:val="0"/>
              <w:pageBreakBefore w:val="0"/>
              <w:widowControl w:val="0"/>
              <w:kinsoku/>
              <w:wordWrap/>
              <w:overflowPunct/>
              <w:topLinePunct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根据实际运行情况及所用物料的危险特性，</w:t>
            </w:r>
            <w:r>
              <w:rPr>
                <w:rFonts w:hint="eastAsia" w:cs="Times New Roman"/>
                <w:color w:val="auto"/>
                <w:sz w:val="21"/>
                <w:szCs w:val="21"/>
                <w:highlight w:val="none"/>
                <w:lang w:val="en-US" w:eastAsia="zh-CN"/>
              </w:rPr>
              <w:t>本次分为</w:t>
            </w:r>
            <w:r>
              <w:rPr>
                <w:rFonts w:hint="default" w:ascii="Times New Roman" w:hAnsi="Times New Roman" w:eastAsia="宋体" w:cs="Times New Roman"/>
                <w:color w:val="auto"/>
                <w:sz w:val="21"/>
                <w:szCs w:val="21"/>
                <w:highlight w:val="none"/>
                <w:lang w:val="en-US" w:eastAsia="zh-CN"/>
              </w:rPr>
              <w:t>火灾、爆炸和泄漏三种事故类型进行分析。</w:t>
            </w:r>
          </w:p>
          <w:p>
            <w:pPr>
              <w:keepNext w:val="0"/>
              <w:keepLines w:val="0"/>
              <w:pageBreakBefore w:val="0"/>
              <w:widowControl w:val="0"/>
              <w:kinsoku/>
              <w:wordWrap/>
              <w:overflowPunct/>
              <w:topLinePunct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火灾或爆炸：注液机中电解液盛放容器及上液管道易发生泄漏；物质泄漏后遇明火等激发能源可发生火灾或爆炸事故。另外电池在分容后容易因电池短路引起火灾或爆炸，电池短路主要是正负极之间的隔膜被微粉、晶枝或外力作用等因素刺破，或由于电芯极耳过长，与极片接触等原因引起电芯内部短路，轻微的将造成自放电率高，电芯发烫，由于电池内含有电解液等易燃物质，严重时将造成电池起火爆炸</w:t>
            </w:r>
            <w:r>
              <w:rPr>
                <w:rFonts w:hint="eastAsia" w:cs="Times New Roman"/>
                <w:color w:val="auto"/>
                <w:sz w:val="21"/>
                <w:szCs w:val="21"/>
                <w:highlight w:val="none"/>
                <w:lang w:val="en-US" w:eastAsia="zh-CN"/>
              </w:rPr>
              <w:t>。</w:t>
            </w:r>
          </w:p>
          <w:p>
            <w:pPr>
              <w:keepNext w:val="0"/>
              <w:keepLines w:val="0"/>
              <w:pageBreakBefore w:val="0"/>
              <w:widowControl w:val="0"/>
              <w:kinsoku/>
              <w:wordWrap/>
              <w:overflowPunct/>
              <w:topLinePunct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泄漏：电解液组分DMC具有一定的毒性，注液机中电解液盛放容器及上液管道若发生泄漏，室内或局部空气不流畅，个人防护措施不到位，有可能引发中毒事故。</w:t>
            </w:r>
          </w:p>
          <w:p>
            <w:pPr>
              <w:pStyle w:val="27"/>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eastAsia="宋体" w:cs="Times New Roman"/>
                <w:b/>
                <w:bCs/>
                <w:color w:val="auto"/>
                <w:sz w:val="21"/>
                <w:szCs w:val="21"/>
                <w:highlight w:val="none"/>
                <w:lang w:val="en-US" w:eastAsia="zh-CN"/>
              </w:rPr>
              <w:t>6.4</w:t>
            </w:r>
            <w:r>
              <w:rPr>
                <w:rFonts w:hint="default" w:ascii="Times New Roman" w:hAnsi="Times New Roman" w:eastAsia="宋体" w:cs="Times New Roman"/>
                <w:b/>
                <w:bCs/>
                <w:color w:val="auto"/>
                <w:sz w:val="21"/>
                <w:szCs w:val="21"/>
                <w:highlight w:val="none"/>
                <w:lang w:val="en-US" w:eastAsia="zh-CN"/>
              </w:rPr>
              <w:t>风险防范措施</w:t>
            </w:r>
            <w:r>
              <w:rPr>
                <w:rFonts w:hint="eastAsia" w:ascii="Times New Roman" w:eastAsia="宋体" w:cs="Times New Roman"/>
                <w:b/>
                <w:bCs/>
                <w:color w:val="auto"/>
                <w:sz w:val="21"/>
                <w:szCs w:val="21"/>
                <w:highlight w:val="none"/>
                <w:lang w:val="en-US" w:eastAsia="zh-CN"/>
              </w:rPr>
              <w:t>及应急要求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0" w:firstLineChars="200"/>
              <w:jc w:val="both"/>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为使项目环境风险减少到最低限度，需设置风险防范措施并加强劳动、安全、卫生和环境的管理，从人、物、环境和管理四个方面寻找造成事故的原因，制定完备、有效的安全防范措施，尽可能降低工程环境风险事故发生的概率，减少事故的损失和危害。</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0" w:firstLineChars="200"/>
              <w:jc w:val="both"/>
              <w:textAlignment w:val="auto"/>
              <w:rPr>
                <w:rFonts w:hint="default" w:ascii="Times New Roman" w:hAnsi="Times New Roman" w:cs="Times New Roman"/>
                <w:b w:val="0"/>
                <w:bCs w:val="0"/>
                <w:color w:val="auto"/>
                <w:highlight w:val="none"/>
                <w:vertAlign w:val="baseline"/>
                <w:lang w:val="en-US" w:eastAsia="zh-CN"/>
              </w:rPr>
            </w:pPr>
            <w:r>
              <w:rPr>
                <w:rFonts w:hint="eastAsia" w:cs="Times New Roman"/>
                <w:b w:val="0"/>
                <w:bCs w:val="0"/>
                <w:color w:val="auto"/>
                <w:highlight w:val="none"/>
                <w:vertAlign w:val="baseline"/>
                <w:lang w:val="en-US" w:eastAsia="zh-CN"/>
              </w:rPr>
              <w:t>（1）</w:t>
            </w:r>
            <w:r>
              <w:rPr>
                <w:rFonts w:hint="default" w:ascii="Times New Roman" w:hAnsi="Times New Roman" w:cs="Times New Roman"/>
                <w:b w:val="0"/>
                <w:bCs w:val="0"/>
                <w:color w:val="auto"/>
                <w:highlight w:val="none"/>
                <w:vertAlign w:val="baseline"/>
                <w:lang w:val="en-US" w:eastAsia="zh-CN"/>
              </w:rPr>
              <w:t>建设防范措施</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0" w:firstLineChars="200"/>
              <w:jc w:val="both"/>
              <w:textAlignment w:val="auto"/>
              <w:rPr>
                <w:rFonts w:hint="default" w:ascii="Times New Roman" w:hAnsi="Times New Roman" w:cs="Times New Roman"/>
                <w:b w:val="0"/>
                <w:bCs w:val="0"/>
                <w:color w:val="auto"/>
                <w:highlight w:val="none"/>
                <w:vertAlign w:val="baseline"/>
                <w:lang w:val="en-US" w:eastAsia="zh-CN"/>
              </w:rPr>
            </w:pPr>
            <w:r>
              <w:rPr>
                <w:rFonts w:hint="default" w:ascii="Times New Roman" w:hAnsi="Times New Roman" w:cs="Times New Roman"/>
                <w:b w:val="0"/>
                <w:bCs w:val="0"/>
                <w:color w:val="auto"/>
                <w:highlight w:val="none"/>
                <w:vertAlign w:val="baseline"/>
                <w:lang w:val="en-US" w:eastAsia="zh-CN"/>
              </w:rPr>
              <w:t>工程厂区平面布置根据工艺流程、原辅材料及产品贮运、防火安全、职业卫生等要求进行布局设计，功能分区明确，可满足安全消防和卫生防护要求。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0" w:firstLineChars="200"/>
              <w:jc w:val="both"/>
              <w:textAlignment w:val="auto"/>
              <w:rPr>
                <w:rFonts w:hint="default" w:ascii="Times New Roman" w:hAnsi="Times New Roman" w:cs="Times New Roman"/>
                <w:b w:val="0"/>
                <w:bCs w:val="0"/>
                <w:color w:val="auto"/>
                <w:highlight w:val="none"/>
                <w:vertAlign w:val="baseline"/>
                <w:lang w:val="en-US" w:eastAsia="zh-CN"/>
              </w:rPr>
            </w:pPr>
            <w:r>
              <w:rPr>
                <w:rFonts w:hint="eastAsia" w:cs="Times New Roman"/>
                <w:b w:val="0"/>
                <w:bCs w:val="0"/>
                <w:color w:val="auto"/>
                <w:highlight w:val="none"/>
                <w:vertAlign w:val="baseline"/>
                <w:lang w:val="en-US" w:eastAsia="zh-CN"/>
              </w:rPr>
              <w:t>（2）</w:t>
            </w:r>
            <w:r>
              <w:rPr>
                <w:rFonts w:hint="default" w:ascii="Times New Roman" w:hAnsi="Times New Roman" w:cs="Times New Roman"/>
                <w:b w:val="0"/>
                <w:bCs w:val="0"/>
                <w:color w:val="auto"/>
                <w:highlight w:val="none"/>
                <w:vertAlign w:val="baseline"/>
                <w:lang w:val="en-US" w:eastAsia="zh-CN"/>
              </w:rPr>
              <w:t>生产车间风险防范措施</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0" w:firstLineChars="200"/>
              <w:jc w:val="both"/>
              <w:textAlignment w:val="auto"/>
              <w:rPr>
                <w:rFonts w:hint="default" w:ascii="Times New Roman" w:hAnsi="Times New Roman" w:cs="Times New Roman"/>
                <w:b w:val="0"/>
                <w:bCs w:val="0"/>
                <w:color w:val="auto"/>
                <w:highlight w:val="none"/>
                <w:vertAlign w:val="baseline"/>
                <w:lang w:val="en-US" w:eastAsia="zh-CN"/>
              </w:rPr>
            </w:pPr>
            <w:r>
              <w:rPr>
                <w:rFonts w:hint="default" w:ascii="Times New Roman" w:hAnsi="Times New Roman" w:cs="Times New Roman"/>
                <w:b w:val="0"/>
                <w:bCs w:val="0"/>
                <w:color w:val="auto"/>
                <w:highlight w:val="none"/>
                <w:vertAlign w:val="baseline"/>
                <w:lang w:val="en-US" w:eastAsia="zh-CN"/>
              </w:rPr>
              <w:t>车间内地面铺设防渗层并进行防腐处理。人员穿戴防护服，车间配备淋洗器、洗眼器和防护服。另外由于原料有可燃物，评价建议：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0" w:firstLineChars="200"/>
              <w:jc w:val="both"/>
              <w:textAlignment w:val="auto"/>
              <w:rPr>
                <w:rFonts w:hint="default" w:ascii="Times New Roman" w:hAnsi="Times New Roman" w:cs="Times New Roman"/>
                <w:b w:val="0"/>
                <w:bCs w:val="0"/>
                <w:color w:val="auto"/>
                <w:highlight w:val="none"/>
                <w:vertAlign w:val="baseline"/>
                <w:lang w:val="en-US" w:eastAsia="zh-CN"/>
              </w:rPr>
            </w:pPr>
            <w:r>
              <w:rPr>
                <w:rFonts w:hint="default" w:ascii="Times New Roman" w:hAnsi="Times New Roman" w:cs="Times New Roman"/>
                <w:b w:val="0"/>
                <w:bCs w:val="0"/>
                <w:color w:val="auto"/>
                <w:highlight w:val="none"/>
                <w:vertAlign w:val="baseline"/>
                <w:lang w:val="en-US" w:eastAsia="zh-CN"/>
              </w:rPr>
              <w:t>A、要经常向职工进行消防教育，提高职工的防火警惕和消防知识，教育职工自觉的遵守防火制度和安全操作规程。</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0" w:firstLineChars="200"/>
              <w:jc w:val="both"/>
              <w:textAlignment w:val="auto"/>
              <w:rPr>
                <w:rFonts w:hint="default" w:ascii="Times New Roman" w:hAnsi="Times New Roman" w:cs="Times New Roman"/>
                <w:b w:val="0"/>
                <w:bCs w:val="0"/>
                <w:color w:val="auto"/>
                <w:highlight w:val="none"/>
                <w:vertAlign w:val="baseline"/>
                <w:lang w:val="en-US" w:eastAsia="zh-CN"/>
              </w:rPr>
            </w:pPr>
            <w:r>
              <w:rPr>
                <w:rFonts w:hint="default" w:ascii="Times New Roman" w:hAnsi="Times New Roman" w:cs="Times New Roman"/>
                <w:b w:val="0"/>
                <w:bCs w:val="0"/>
                <w:color w:val="auto"/>
                <w:highlight w:val="none"/>
                <w:vertAlign w:val="baseline"/>
                <w:lang w:val="en-US" w:eastAsia="zh-CN"/>
              </w:rPr>
              <w:t>B、有火灾隐患的地点，禁止吸烟和进行可能引起火灾的作业。</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0" w:firstLineChars="200"/>
              <w:jc w:val="both"/>
              <w:textAlignment w:val="auto"/>
              <w:rPr>
                <w:rFonts w:hint="default" w:ascii="Times New Roman" w:hAnsi="Times New Roman" w:cs="Times New Roman"/>
                <w:b w:val="0"/>
                <w:bCs w:val="0"/>
                <w:color w:val="auto"/>
                <w:highlight w:val="none"/>
                <w:vertAlign w:val="baseline"/>
                <w:lang w:val="en-US" w:eastAsia="zh-CN"/>
              </w:rPr>
            </w:pPr>
            <w:r>
              <w:rPr>
                <w:rFonts w:hint="default" w:ascii="Times New Roman" w:hAnsi="Times New Roman" w:cs="Times New Roman"/>
                <w:b w:val="0"/>
                <w:bCs w:val="0"/>
                <w:color w:val="auto"/>
                <w:highlight w:val="none"/>
                <w:vertAlign w:val="baseline"/>
                <w:lang w:val="en-US" w:eastAsia="zh-CN"/>
              </w:rPr>
              <w:t>C、通路、走道等安全出入口及通向消防设备和水源的通路，要保持畅通。</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0" w:firstLineChars="200"/>
              <w:jc w:val="both"/>
              <w:textAlignment w:val="auto"/>
              <w:rPr>
                <w:rFonts w:hint="default" w:ascii="Times New Roman" w:hAnsi="Times New Roman" w:cs="Times New Roman"/>
                <w:b w:val="0"/>
                <w:bCs w:val="0"/>
                <w:color w:val="auto"/>
                <w:highlight w:val="none"/>
                <w:vertAlign w:val="baseline"/>
                <w:lang w:val="en-US" w:eastAsia="zh-CN"/>
              </w:rPr>
            </w:pPr>
            <w:r>
              <w:rPr>
                <w:rFonts w:hint="default" w:ascii="Times New Roman" w:hAnsi="Times New Roman" w:cs="Times New Roman"/>
                <w:b w:val="0"/>
                <w:bCs w:val="0"/>
                <w:color w:val="auto"/>
                <w:highlight w:val="none"/>
                <w:vertAlign w:val="baseline"/>
                <w:lang w:val="en-US" w:eastAsia="zh-CN"/>
              </w:rPr>
              <w:t>D、易燃物的存放必须与高温器具、设备的表面保持有足够的防火间距，高温表面附近不宜堆放可燃物。</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0" w:firstLineChars="200"/>
              <w:jc w:val="both"/>
              <w:textAlignment w:val="auto"/>
              <w:rPr>
                <w:rFonts w:hint="default" w:ascii="Times New Roman" w:hAnsi="Times New Roman" w:cs="Times New Roman"/>
                <w:b w:val="0"/>
                <w:bCs w:val="0"/>
                <w:color w:val="auto"/>
                <w:highlight w:val="none"/>
                <w:vertAlign w:val="baseline"/>
                <w:lang w:val="en-US" w:eastAsia="zh-CN"/>
              </w:rPr>
            </w:pPr>
            <w:r>
              <w:rPr>
                <w:rFonts w:hint="default" w:ascii="Times New Roman" w:hAnsi="Times New Roman" w:cs="Times New Roman"/>
                <w:b w:val="0"/>
                <w:bCs w:val="0"/>
                <w:color w:val="auto"/>
                <w:highlight w:val="none"/>
                <w:vertAlign w:val="baseline"/>
                <w:lang w:val="en-US" w:eastAsia="zh-CN"/>
              </w:rPr>
              <w:t>③贮运过程风险防范措施</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firstLine="420" w:firstLineChars="200"/>
              <w:jc w:val="both"/>
              <w:textAlignment w:val="auto"/>
              <w:rPr>
                <w:rFonts w:hint="default" w:ascii="Times New Roman" w:hAnsi="Times New Roman" w:cs="Times New Roman"/>
                <w:b w:val="0"/>
                <w:bCs w:val="0"/>
                <w:color w:val="auto"/>
                <w:highlight w:val="none"/>
                <w:vertAlign w:val="baseline"/>
                <w:lang w:val="en-US" w:eastAsia="zh-CN"/>
              </w:rPr>
            </w:pPr>
            <w:r>
              <w:rPr>
                <w:rFonts w:hint="default" w:ascii="Times New Roman" w:hAnsi="Times New Roman" w:cs="Times New Roman"/>
                <w:b w:val="0"/>
                <w:bCs w:val="0"/>
                <w:color w:val="auto"/>
                <w:highlight w:val="none"/>
                <w:vertAlign w:val="baseline"/>
                <w:lang w:val="en-US" w:eastAsia="zh-CN"/>
              </w:rPr>
              <w:t>A</w:t>
            </w:r>
            <w:r>
              <w:rPr>
                <w:rFonts w:hint="eastAsia" w:cs="Times New Roman"/>
                <w:b w:val="0"/>
                <w:bCs w:val="0"/>
                <w:color w:val="auto"/>
                <w:highlight w:val="none"/>
                <w:vertAlign w:val="baseline"/>
                <w:lang w:val="en-US" w:eastAsia="zh-CN"/>
              </w:rPr>
              <w:t>、</w:t>
            </w:r>
            <w:r>
              <w:rPr>
                <w:rFonts w:hint="default" w:ascii="Times New Roman" w:hAnsi="Times New Roman" w:cs="Times New Roman"/>
                <w:b w:val="0"/>
                <w:bCs w:val="0"/>
                <w:color w:val="auto"/>
                <w:highlight w:val="none"/>
                <w:vertAlign w:val="baseline"/>
                <w:lang w:val="en-US" w:eastAsia="zh-CN"/>
              </w:rPr>
              <w:t>对各物料的贮存严格按贮存要求设计。电解液贮存区应设置围堰。</w:t>
            </w:r>
            <w:r>
              <w:rPr>
                <w:rFonts w:hint="eastAsia" w:cs="Times New Roman"/>
                <w:b w:val="0"/>
                <w:bCs w:val="0"/>
                <w:color w:val="auto"/>
                <w:highlight w:val="none"/>
                <w:vertAlign w:val="baseline"/>
                <w:lang w:val="en-US" w:eastAsia="zh-CN"/>
              </w:rPr>
              <w:t>各</w:t>
            </w:r>
            <w:r>
              <w:rPr>
                <w:rFonts w:hint="default" w:ascii="Times New Roman" w:hAnsi="Times New Roman" w:cs="Times New Roman"/>
                <w:b w:val="0"/>
                <w:bCs w:val="0"/>
                <w:color w:val="auto"/>
                <w:highlight w:val="none"/>
                <w:vertAlign w:val="baseline"/>
                <w:lang w:val="en-US" w:eastAsia="zh-CN"/>
              </w:rPr>
              <w:t>容器之间的间距和围堰的设计应严格按照《建筑设计防火规范》（GB 50016-2014）等标准规范执行。</w:t>
            </w:r>
          </w:p>
          <w:p>
            <w:pPr>
              <w:pStyle w:val="10"/>
              <w:keepNext w:val="0"/>
              <w:keepLines w:val="0"/>
              <w:pageBreakBefore w:val="0"/>
              <w:widowControl w:val="0"/>
              <w:kinsoku/>
              <w:wordWrap/>
              <w:overflowPunct/>
              <w:topLinePunct w:val="0"/>
              <w:bidi w:val="0"/>
              <w:adjustRightInd/>
              <w:snapToGrid/>
              <w:spacing w:line="360" w:lineRule="auto"/>
              <w:ind w:left="0" w:right="0"/>
              <w:jc w:val="both"/>
              <w:textAlignment w:val="auto"/>
              <w:rPr>
                <w:rFonts w:hint="default" w:ascii="Times New Roman" w:hAnsi="Times New Roman" w:eastAsia="宋体" w:cs="Times New Roman"/>
                <w:b w:val="0"/>
                <w:bCs w:val="0"/>
                <w:color w:val="auto"/>
                <w:kern w:val="2"/>
                <w:sz w:val="21"/>
                <w:szCs w:val="24"/>
                <w:highlight w:val="none"/>
                <w:vertAlign w:val="baseline"/>
                <w:lang w:val="en-US" w:eastAsia="zh-CN" w:bidi="ar-SA"/>
              </w:rPr>
            </w:pPr>
            <w:r>
              <w:rPr>
                <w:rFonts w:hint="default" w:ascii="Times New Roman" w:hAnsi="Times New Roman" w:eastAsia="宋体" w:cs="Times New Roman"/>
                <w:b w:val="0"/>
                <w:bCs w:val="0"/>
                <w:color w:val="auto"/>
                <w:kern w:val="2"/>
                <w:sz w:val="21"/>
                <w:szCs w:val="24"/>
                <w:highlight w:val="none"/>
                <w:vertAlign w:val="baseline"/>
                <w:lang w:val="en-US" w:eastAsia="zh-CN" w:bidi="ar-SA"/>
              </w:rPr>
              <w:t>B、运输过程风险防范可以参照《危险货物分类和品名编号》（GB 6944-2012）、《危险货物包装标志》（GB 190-2009）、《危险货物运输包装通用技术条件》（GB12463-2009）等一系列规章制度，原料包装应严格按照有关危险品特性及相关强度等级进行，并采用堆码试验、跌楼试验、气密试验和气压试验等检验进行定期检验，运输包装件严格按规定印制提醒符号，标明危险品类别、名称及尺寸、颜色。</w:t>
            </w:r>
          </w:p>
          <w:p>
            <w:pPr>
              <w:pStyle w:val="10"/>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b w:val="0"/>
                <w:bCs w:val="0"/>
                <w:color w:val="auto"/>
                <w:kern w:val="2"/>
                <w:sz w:val="21"/>
                <w:szCs w:val="24"/>
                <w:highlight w:val="none"/>
                <w:vertAlign w:val="baseline"/>
                <w:lang w:val="en-US" w:eastAsia="zh-CN" w:bidi="ar-SA"/>
              </w:rPr>
            </w:pPr>
            <w:r>
              <w:rPr>
                <w:rFonts w:hint="eastAsia" w:cs="Times New Roman"/>
                <w:b w:val="0"/>
                <w:bCs w:val="0"/>
                <w:color w:val="auto"/>
                <w:kern w:val="2"/>
                <w:sz w:val="21"/>
                <w:szCs w:val="24"/>
                <w:highlight w:val="none"/>
                <w:vertAlign w:val="baseline"/>
                <w:lang w:val="en-US" w:eastAsia="zh-CN" w:bidi="ar-SA"/>
              </w:rPr>
              <w:t>C</w:t>
            </w:r>
            <w:r>
              <w:rPr>
                <w:rFonts w:hint="default" w:ascii="Times New Roman" w:hAnsi="Times New Roman" w:eastAsia="宋体" w:cs="Times New Roman"/>
                <w:b w:val="0"/>
                <w:bCs w:val="0"/>
                <w:color w:val="auto"/>
                <w:kern w:val="2"/>
                <w:sz w:val="21"/>
                <w:szCs w:val="24"/>
                <w:highlight w:val="none"/>
                <w:vertAlign w:val="baseline"/>
                <w:lang w:val="en-US" w:eastAsia="zh-CN" w:bidi="ar-SA"/>
              </w:rPr>
              <w:t>、在装卸运输时间上合理安排，避开人流高峰期，尽量减轻事故泄漏对人群的影响。严防客货混运，并尽可能缩短运货路程，避开人烟稠密的城镇，严禁驾驶员酒后驾车及疲劳驾驶，减少交通事故发生。</w:t>
            </w:r>
          </w:p>
          <w:p>
            <w:pPr>
              <w:jc w:val="both"/>
              <w:rPr>
                <w:rFonts w:hint="default" w:ascii="Times New Roman" w:hAnsi="Times New Roman" w:eastAsia="宋体" w:cs="Times New Roman"/>
                <w:b w:val="0"/>
                <w:bCs w:val="0"/>
                <w:color w:val="auto"/>
                <w:kern w:val="2"/>
                <w:sz w:val="21"/>
                <w:szCs w:val="24"/>
                <w:highlight w:val="none"/>
                <w:vertAlign w:val="baseline"/>
                <w:lang w:val="en-US" w:eastAsia="zh-CN" w:bidi="ar-SA"/>
              </w:rPr>
            </w:pPr>
            <w:r>
              <w:rPr>
                <w:rFonts w:hint="eastAsia" w:cs="Times New Roman"/>
                <w:b w:val="0"/>
                <w:bCs w:val="0"/>
                <w:color w:val="auto"/>
                <w:kern w:val="2"/>
                <w:sz w:val="21"/>
                <w:szCs w:val="24"/>
                <w:highlight w:val="none"/>
                <w:vertAlign w:val="baseline"/>
                <w:lang w:val="en-US" w:eastAsia="zh-CN" w:bidi="ar-SA"/>
              </w:rPr>
              <w:t>D</w:t>
            </w:r>
            <w:r>
              <w:rPr>
                <w:rFonts w:hint="default" w:ascii="Times New Roman" w:hAnsi="Times New Roman" w:eastAsia="宋体" w:cs="Times New Roman"/>
                <w:b w:val="0"/>
                <w:bCs w:val="0"/>
                <w:color w:val="auto"/>
                <w:kern w:val="2"/>
                <w:sz w:val="21"/>
                <w:szCs w:val="24"/>
                <w:highlight w:val="none"/>
                <w:vertAlign w:val="baseline"/>
                <w:lang w:val="en-US" w:eastAsia="zh-CN" w:bidi="ar-SA"/>
              </w:rPr>
              <w:t>、储存的电解液必须设有明显的标志，并按国家规定标准控制不同单位面积的最大贮存限量。贮存危险化学品的库房、场所的消防设施、用电设施、防雷防静电设施等必须符合国家规定的安全要求。</w:t>
            </w:r>
          </w:p>
          <w:p>
            <w:pPr>
              <w:keepLines w:val="0"/>
              <w:pageBreakBefore w:val="0"/>
              <w:widowControl w:val="0"/>
              <w:numPr>
                <w:ilvl w:val="0"/>
                <w:numId w:val="0"/>
              </w:numPr>
              <w:kinsoku/>
              <w:wordWrap/>
              <w:topLinePunct w:val="0"/>
              <w:bidi w:val="0"/>
              <w:adjustRightInd/>
              <w:snapToGrid/>
              <w:spacing w:line="360" w:lineRule="auto"/>
              <w:ind w:left="0" w:leftChars="0" w:firstLine="420" w:firstLineChars="200"/>
              <w:jc w:val="both"/>
              <w:textAlignment w:val="auto"/>
              <w:rPr>
                <w:rFonts w:hint="default" w:ascii="Times New Roman" w:hAnsi="Times New Roman" w:cs="Times New Roman"/>
                <w:color w:val="auto"/>
                <w:highlight w:val="none"/>
                <w:vertAlign w:val="baseline"/>
                <w:lang w:val="en-US" w:eastAsia="zh-CN"/>
              </w:rPr>
            </w:pPr>
            <w:r>
              <w:rPr>
                <w:rFonts w:hint="eastAsia" w:cs="Times New Roman"/>
                <w:b w:val="0"/>
                <w:bCs w:val="0"/>
                <w:color w:val="auto"/>
                <w:kern w:val="2"/>
                <w:sz w:val="21"/>
                <w:szCs w:val="24"/>
                <w:highlight w:val="none"/>
                <w:vertAlign w:val="baseline"/>
                <w:lang w:val="en-US" w:eastAsia="zh-CN" w:bidi="ar-SA"/>
              </w:rPr>
              <w:t>E、</w:t>
            </w:r>
            <w:r>
              <w:rPr>
                <w:rFonts w:hint="default" w:ascii="Times New Roman" w:hAnsi="Times New Roman" w:cs="Times New Roman"/>
                <w:color w:val="auto"/>
                <w:highlight w:val="none"/>
                <w:vertAlign w:val="baseline"/>
                <w:lang w:val="en-US" w:eastAsia="zh-CN"/>
              </w:rPr>
              <w:t>危险废物暂存间分类存放在危废暂存间，同时根据项目危险废物特性毒性（T）、感染性（In）和易燃性（I）</w:t>
            </w:r>
            <w:r>
              <w:rPr>
                <w:rFonts w:hint="eastAsia" w:cs="Times New Roman"/>
                <w:color w:val="auto"/>
                <w:highlight w:val="none"/>
                <w:vertAlign w:val="baseline"/>
                <w:lang w:val="en-US" w:eastAsia="zh-CN"/>
              </w:rPr>
              <w:t>分类存放</w:t>
            </w:r>
            <w:r>
              <w:rPr>
                <w:rFonts w:hint="default" w:ascii="Times New Roman" w:hAnsi="Times New Roman" w:cs="Times New Roman"/>
                <w:color w:val="auto"/>
                <w:highlight w:val="none"/>
                <w:vertAlign w:val="baseline"/>
                <w:lang w:val="en-US" w:eastAsia="zh-CN"/>
              </w:rPr>
              <w:t>，评价要求项目危废暂存间在进行防渗同时，应设置警示牌，配套灭火器、防毒面具等，同时设置专人管理危废暂存间的日常运行，作好危险废物情况的记录，记录上须注明危险废物的名称、来源、数量、特性和包装容器的类别、入库日期、存放库位、废物出库日期及接收单位名称。</w:t>
            </w:r>
          </w:p>
          <w:p>
            <w:pPr>
              <w:jc w:val="both"/>
              <w:rPr>
                <w:rFonts w:hint="default" w:ascii="Times New Roman" w:hAnsi="Times New Roman" w:eastAsia="宋体" w:cs="Times New Roman"/>
                <w:b w:val="0"/>
                <w:bCs w:val="0"/>
                <w:color w:val="auto"/>
                <w:kern w:val="2"/>
                <w:sz w:val="21"/>
                <w:szCs w:val="24"/>
                <w:highlight w:val="none"/>
                <w:vertAlign w:val="baseline"/>
                <w:lang w:val="en-US" w:eastAsia="zh-CN" w:bidi="ar-SA"/>
              </w:rPr>
            </w:pPr>
            <w:r>
              <w:rPr>
                <w:rFonts w:hint="default" w:ascii="Times New Roman" w:hAnsi="Times New Roman" w:eastAsia="宋体" w:cs="Times New Roman"/>
                <w:b w:val="0"/>
                <w:bCs w:val="0"/>
                <w:color w:val="auto"/>
                <w:kern w:val="2"/>
                <w:sz w:val="21"/>
                <w:szCs w:val="24"/>
                <w:highlight w:val="none"/>
                <w:vertAlign w:val="baseline"/>
                <w:lang w:val="en-US" w:eastAsia="zh-CN" w:bidi="ar-SA"/>
              </w:rPr>
              <w:t>④生产过程风险防范措施</w:t>
            </w:r>
          </w:p>
          <w:p>
            <w:pPr>
              <w:pStyle w:val="10"/>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b w:val="0"/>
                <w:bCs w:val="0"/>
                <w:color w:val="auto"/>
                <w:kern w:val="2"/>
                <w:sz w:val="21"/>
                <w:szCs w:val="24"/>
                <w:highlight w:val="none"/>
                <w:vertAlign w:val="baseline"/>
                <w:lang w:val="en-US" w:eastAsia="zh-CN" w:bidi="ar-SA"/>
              </w:rPr>
            </w:pPr>
            <w:r>
              <w:rPr>
                <w:rFonts w:hint="default" w:ascii="Times New Roman" w:hAnsi="Times New Roman" w:eastAsia="宋体" w:cs="Times New Roman"/>
                <w:b w:val="0"/>
                <w:bCs w:val="0"/>
                <w:color w:val="auto"/>
                <w:kern w:val="2"/>
                <w:sz w:val="21"/>
                <w:szCs w:val="24"/>
                <w:highlight w:val="none"/>
                <w:vertAlign w:val="baseline"/>
                <w:lang w:val="en-US" w:eastAsia="zh-CN" w:bidi="ar-SA"/>
              </w:rPr>
              <w:t>生产过程事故风险防范是安全生产的核心，要严格采取措施加以防范，尽可能降低事故概率。</w:t>
            </w:r>
          </w:p>
          <w:p>
            <w:pPr>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b w:val="0"/>
                <w:bCs w:val="0"/>
                <w:color w:val="auto"/>
                <w:kern w:val="2"/>
                <w:sz w:val="21"/>
                <w:szCs w:val="24"/>
                <w:highlight w:val="none"/>
                <w:vertAlign w:val="baseline"/>
                <w:lang w:val="en-US" w:eastAsia="zh-CN" w:bidi="ar-SA"/>
              </w:rPr>
            </w:pPr>
            <w:r>
              <w:rPr>
                <w:rFonts w:hint="default" w:ascii="Times New Roman" w:hAnsi="Times New Roman" w:eastAsia="宋体" w:cs="Times New Roman"/>
                <w:b w:val="0"/>
                <w:bCs w:val="0"/>
                <w:color w:val="auto"/>
                <w:kern w:val="2"/>
                <w:sz w:val="21"/>
                <w:szCs w:val="24"/>
                <w:highlight w:val="none"/>
                <w:vertAlign w:val="baseline"/>
                <w:lang w:val="en-US" w:eastAsia="zh-CN" w:bidi="ar-SA"/>
              </w:rPr>
              <w:t>A、工艺控制应设置必要的报警自动控制系统。</w:t>
            </w:r>
          </w:p>
          <w:p>
            <w:pPr>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b w:val="0"/>
                <w:bCs w:val="0"/>
                <w:color w:val="auto"/>
                <w:kern w:val="2"/>
                <w:sz w:val="21"/>
                <w:szCs w:val="24"/>
                <w:highlight w:val="none"/>
                <w:vertAlign w:val="baseline"/>
                <w:lang w:val="en-US" w:eastAsia="zh-CN" w:bidi="ar-SA"/>
              </w:rPr>
            </w:pPr>
            <w:r>
              <w:rPr>
                <w:rFonts w:hint="default" w:ascii="Times New Roman" w:hAnsi="Times New Roman" w:eastAsia="宋体" w:cs="Times New Roman"/>
                <w:b w:val="0"/>
                <w:bCs w:val="0"/>
                <w:color w:val="auto"/>
                <w:kern w:val="2"/>
                <w:sz w:val="21"/>
                <w:szCs w:val="24"/>
                <w:highlight w:val="none"/>
                <w:vertAlign w:val="baseline"/>
                <w:lang w:val="en-US" w:eastAsia="zh-CN" w:bidi="ar-SA"/>
              </w:rPr>
              <w:t>B、电气设备、线路、仪表等应符合国家有关标准、规程和规范要求，达到整体防爆性的要求；电气控制设备及导线尽可能远离易燃易爆物质。</w:t>
            </w:r>
          </w:p>
          <w:p>
            <w:pPr>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b w:val="0"/>
                <w:bCs w:val="0"/>
                <w:color w:val="auto"/>
                <w:kern w:val="2"/>
                <w:sz w:val="21"/>
                <w:szCs w:val="24"/>
                <w:highlight w:val="none"/>
                <w:vertAlign w:val="baseline"/>
                <w:lang w:val="en-US" w:eastAsia="zh-CN" w:bidi="ar-SA"/>
              </w:rPr>
            </w:pPr>
            <w:r>
              <w:rPr>
                <w:rFonts w:hint="default" w:ascii="Times New Roman" w:hAnsi="Times New Roman" w:eastAsia="宋体" w:cs="Times New Roman"/>
                <w:b w:val="0"/>
                <w:bCs w:val="0"/>
                <w:color w:val="auto"/>
                <w:kern w:val="2"/>
                <w:sz w:val="21"/>
                <w:szCs w:val="24"/>
                <w:highlight w:val="none"/>
                <w:vertAlign w:val="baseline"/>
                <w:lang w:val="en-US" w:eastAsia="zh-CN" w:bidi="ar-SA"/>
              </w:rPr>
              <w:t>C、火灾爆炸风险以及事故性泄漏常与装置设备故障相关联，安全管理中要密切注意事故易发部位，做好运行监督检查与维修保养，防患于未然。</w:t>
            </w:r>
          </w:p>
          <w:p>
            <w:pPr>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b w:val="0"/>
                <w:bCs w:val="0"/>
                <w:color w:val="auto"/>
                <w:kern w:val="2"/>
                <w:sz w:val="21"/>
                <w:szCs w:val="24"/>
                <w:highlight w:val="none"/>
                <w:vertAlign w:val="baseline"/>
                <w:lang w:val="en-US" w:eastAsia="zh-CN" w:bidi="ar-SA"/>
              </w:rPr>
            </w:pPr>
            <w:r>
              <w:rPr>
                <w:rFonts w:hint="default" w:ascii="Times New Roman" w:hAnsi="Times New Roman" w:eastAsia="宋体" w:cs="Times New Roman"/>
                <w:b w:val="0"/>
                <w:bCs w:val="0"/>
                <w:color w:val="auto"/>
                <w:kern w:val="2"/>
                <w:sz w:val="21"/>
                <w:szCs w:val="24"/>
                <w:highlight w:val="none"/>
                <w:vertAlign w:val="baseline"/>
                <w:lang w:val="en-US" w:eastAsia="zh-CN" w:bidi="ar-SA"/>
              </w:rPr>
              <w:t>D、必须组织专门人员每天每班多次进行周期性巡回检查，有跑冒滴漏或其他异常现象的应及时检修，必要时按照“生产服从安全”原则停车检修，严禁带病或不正常运转。</w:t>
            </w:r>
          </w:p>
          <w:p>
            <w:pPr>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b w:val="0"/>
                <w:bCs w:val="0"/>
                <w:color w:val="auto"/>
                <w:kern w:val="2"/>
                <w:sz w:val="21"/>
                <w:szCs w:val="24"/>
                <w:highlight w:val="none"/>
                <w:vertAlign w:val="baseline"/>
                <w:lang w:val="en-US" w:eastAsia="zh-CN" w:bidi="ar-SA"/>
              </w:rPr>
            </w:pPr>
            <w:r>
              <w:rPr>
                <w:rFonts w:hint="default" w:ascii="Times New Roman" w:hAnsi="Times New Roman" w:eastAsia="宋体" w:cs="Times New Roman"/>
                <w:b w:val="0"/>
                <w:bCs w:val="0"/>
                <w:color w:val="auto"/>
                <w:kern w:val="2"/>
                <w:sz w:val="21"/>
                <w:szCs w:val="24"/>
                <w:highlight w:val="none"/>
                <w:vertAlign w:val="baseline"/>
                <w:lang w:val="en-US" w:eastAsia="zh-CN" w:bidi="ar-SA"/>
              </w:rPr>
              <w:t>E、加强对工人的安全生产和环境保护教育和管理，特别是危险岗位的操作工，必须按规定经过安全操作的技术培训，取得合格证后才能单独上岗。严格按照规范操作，任何人不得擅自改变工艺条件。</w:t>
            </w:r>
          </w:p>
          <w:p>
            <w:pPr>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b w:val="0"/>
                <w:bCs w:val="0"/>
                <w:color w:val="auto"/>
                <w:kern w:val="2"/>
                <w:sz w:val="21"/>
                <w:szCs w:val="24"/>
                <w:highlight w:val="none"/>
                <w:vertAlign w:val="baseline"/>
                <w:lang w:val="en-US" w:eastAsia="zh-CN" w:bidi="ar-SA"/>
              </w:rPr>
            </w:pPr>
            <w:r>
              <w:rPr>
                <w:rFonts w:hint="default" w:ascii="Times New Roman" w:hAnsi="Times New Roman" w:eastAsia="宋体" w:cs="Times New Roman"/>
                <w:b w:val="0"/>
                <w:bCs w:val="0"/>
                <w:color w:val="auto"/>
                <w:kern w:val="2"/>
                <w:sz w:val="21"/>
                <w:szCs w:val="24"/>
                <w:highlight w:val="none"/>
                <w:vertAlign w:val="baseline"/>
                <w:lang w:val="en-US" w:eastAsia="zh-CN" w:bidi="ar-SA"/>
              </w:rPr>
              <w:t>⑤末端处理过程风险防范</w:t>
            </w:r>
          </w:p>
          <w:p>
            <w:pPr>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b w:val="0"/>
                <w:bCs w:val="0"/>
                <w:color w:val="auto"/>
                <w:kern w:val="2"/>
                <w:sz w:val="21"/>
                <w:szCs w:val="24"/>
                <w:highlight w:val="none"/>
                <w:vertAlign w:val="baseline"/>
                <w:lang w:val="en-US" w:eastAsia="zh-CN" w:bidi="ar-SA"/>
              </w:rPr>
            </w:pPr>
            <w:r>
              <w:rPr>
                <w:rFonts w:hint="default" w:ascii="Times New Roman" w:hAnsi="Times New Roman" w:eastAsia="宋体" w:cs="Times New Roman"/>
                <w:b w:val="0"/>
                <w:bCs w:val="0"/>
                <w:color w:val="auto"/>
                <w:kern w:val="2"/>
                <w:sz w:val="21"/>
                <w:szCs w:val="24"/>
                <w:highlight w:val="none"/>
                <w:vertAlign w:val="baseline"/>
                <w:lang w:val="en-US" w:eastAsia="zh-CN" w:bidi="ar-SA"/>
              </w:rPr>
              <w:t>A、废气、废水等末端治理措施必须确保正常运行，如发现人为原因不开启废气治理设施，责任人应受行政和经济处罚，并承担事故排放责任。若末端治理措施因故不能运行，则生产必须停止。</w:t>
            </w:r>
          </w:p>
          <w:p>
            <w:pPr>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b w:val="0"/>
                <w:bCs w:val="0"/>
                <w:color w:val="auto"/>
                <w:kern w:val="2"/>
                <w:sz w:val="21"/>
                <w:szCs w:val="24"/>
                <w:highlight w:val="none"/>
                <w:vertAlign w:val="baseline"/>
                <w:lang w:val="en-US" w:eastAsia="zh-CN" w:bidi="ar-SA"/>
              </w:rPr>
            </w:pPr>
            <w:r>
              <w:rPr>
                <w:rFonts w:hint="default" w:ascii="Times New Roman" w:hAnsi="Times New Roman" w:eastAsia="宋体" w:cs="Times New Roman"/>
                <w:b w:val="0"/>
                <w:bCs w:val="0"/>
                <w:color w:val="auto"/>
                <w:kern w:val="2"/>
                <w:sz w:val="21"/>
                <w:szCs w:val="24"/>
                <w:highlight w:val="none"/>
                <w:vertAlign w:val="baseline"/>
                <w:lang w:val="en-US" w:eastAsia="zh-CN" w:bidi="ar-SA"/>
              </w:rPr>
              <w:t>B、为确保处理效率，在车间设备检修期间，末端处理系统也应同时进行检修，日常应有专人负责进行维护。</w:t>
            </w:r>
          </w:p>
          <w:p>
            <w:pPr>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b w:val="0"/>
                <w:bCs w:val="0"/>
                <w:color w:val="auto"/>
                <w:kern w:val="2"/>
                <w:sz w:val="21"/>
                <w:szCs w:val="24"/>
                <w:highlight w:val="none"/>
                <w:vertAlign w:val="baseline"/>
                <w:lang w:val="en-US" w:eastAsia="zh-CN" w:bidi="ar-SA"/>
              </w:rPr>
            </w:pPr>
            <w:r>
              <w:rPr>
                <w:rFonts w:hint="default" w:ascii="Times New Roman" w:hAnsi="Times New Roman" w:eastAsia="宋体" w:cs="Times New Roman"/>
                <w:b w:val="0"/>
                <w:bCs w:val="0"/>
                <w:color w:val="auto"/>
                <w:kern w:val="2"/>
                <w:sz w:val="21"/>
                <w:szCs w:val="24"/>
                <w:highlight w:val="none"/>
                <w:vertAlign w:val="baseline"/>
                <w:lang w:val="en-US" w:eastAsia="zh-CN" w:bidi="ar-SA"/>
              </w:rPr>
              <w:t>C、各生产工段应制定严格的</w:t>
            </w:r>
            <w:r>
              <w:rPr>
                <w:rFonts w:hint="eastAsia" w:cs="Times New Roman"/>
                <w:b w:val="0"/>
                <w:bCs w:val="0"/>
                <w:color w:val="auto"/>
                <w:kern w:val="2"/>
                <w:sz w:val="21"/>
                <w:szCs w:val="24"/>
                <w:highlight w:val="none"/>
                <w:vertAlign w:val="baseline"/>
                <w:lang w:val="en-US" w:eastAsia="zh-CN" w:bidi="ar-SA"/>
              </w:rPr>
              <w:t>管理</w:t>
            </w:r>
            <w:r>
              <w:rPr>
                <w:rFonts w:hint="default" w:ascii="Times New Roman" w:hAnsi="Times New Roman" w:eastAsia="宋体" w:cs="Times New Roman"/>
                <w:b w:val="0"/>
                <w:bCs w:val="0"/>
                <w:color w:val="auto"/>
                <w:kern w:val="2"/>
                <w:sz w:val="21"/>
                <w:szCs w:val="24"/>
                <w:highlight w:val="none"/>
                <w:vertAlign w:val="baseline"/>
                <w:lang w:val="en-US" w:eastAsia="zh-CN" w:bidi="ar-SA"/>
              </w:rPr>
              <w:t>制度，泄露物料禁止直排。</w:t>
            </w:r>
          </w:p>
          <w:p>
            <w:pPr>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b w:val="0"/>
                <w:bCs w:val="0"/>
                <w:color w:val="auto"/>
                <w:kern w:val="2"/>
                <w:sz w:val="21"/>
                <w:szCs w:val="24"/>
                <w:highlight w:val="none"/>
                <w:vertAlign w:val="baseline"/>
                <w:lang w:val="en-US" w:eastAsia="zh-CN" w:bidi="ar-SA"/>
              </w:rPr>
            </w:pPr>
            <w:r>
              <w:rPr>
                <w:rFonts w:hint="default" w:ascii="Times New Roman" w:hAnsi="Times New Roman" w:eastAsia="宋体" w:cs="Times New Roman"/>
                <w:b w:val="0"/>
                <w:bCs w:val="0"/>
                <w:color w:val="auto"/>
                <w:kern w:val="2"/>
                <w:sz w:val="21"/>
                <w:szCs w:val="24"/>
                <w:highlight w:val="none"/>
                <w:vertAlign w:val="baseline"/>
                <w:lang w:val="en-US" w:eastAsia="zh-CN" w:bidi="ar-SA"/>
              </w:rPr>
              <w:t>D、建立事故排放事先申报制度，未经批准不得排放，便于相关部门应急防范，防止出现超标排放。</w:t>
            </w:r>
          </w:p>
          <w:p>
            <w:pPr>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b w:val="0"/>
                <w:bCs w:val="0"/>
                <w:color w:val="auto"/>
                <w:kern w:val="2"/>
                <w:sz w:val="21"/>
                <w:szCs w:val="24"/>
                <w:highlight w:val="none"/>
                <w:vertAlign w:val="baseline"/>
                <w:lang w:val="en-US" w:eastAsia="zh-CN" w:bidi="ar-SA"/>
              </w:rPr>
            </w:pPr>
            <w:r>
              <w:rPr>
                <w:rFonts w:hint="default" w:ascii="Times New Roman" w:hAnsi="Times New Roman" w:eastAsia="宋体" w:cs="Times New Roman"/>
                <w:b w:val="0"/>
                <w:bCs w:val="0"/>
                <w:color w:val="auto"/>
                <w:kern w:val="2"/>
                <w:sz w:val="21"/>
                <w:szCs w:val="24"/>
                <w:highlight w:val="none"/>
                <w:vertAlign w:val="baseline"/>
                <w:lang w:val="en-US" w:eastAsia="zh-CN" w:bidi="ar-SA"/>
              </w:rPr>
              <w:t>E、通过配套备用风机、备用滤料，并加强日常维护；专人专职管理和运行，确保治理设施长期稳定运行，切实防治事故排放发生。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default"/>
                <w:color w:val="auto"/>
                <w:lang w:val="en-US" w:eastAsia="zh-CN"/>
              </w:rPr>
            </w:pPr>
          </w:p>
          <w:p>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default"/>
                <w:color w:val="auto"/>
                <w:lang w:val="en-US" w:eastAsia="zh-CN"/>
              </w:rPr>
            </w:pPr>
          </w:p>
          <w:p>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textAlignment w:val="auto"/>
              <w:rPr>
                <w:rFonts w:hint="default"/>
                <w:color w:val="auto"/>
                <w:lang w:val="en-US" w:eastAsia="zh-CN"/>
              </w:rPr>
            </w:pPr>
          </w:p>
          <w:p>
            <w:pPr>
              <w:ind w:left="0" w:leftChars="0" w:firstLine="0" w:firstLineChars="0"/>
              <w:rPr>
                <w:rFonts w:hint="default" w:ascii="Times New Roman" w:hAnsi="Times New Roman" w:cs="Times New Roman"/>
                <w:color w:val="auto"/>
                <w:highlight w:val="green"/>
                <w:vertAlign w:val="baseline"/>
              </w:rPr>
            </w:pPr>
          </w:p>
        </w:tc>
      </w:tr>
    </w:tbl>
    <w:p>
      <w:pPr>
        <w:rPr>
          <w:rFonts w:hint="default" w:ascii="Times New Roman" w:hAnsi="Times New Roman" w:cs="Times New Roman"/>
          <w:color w:val="auto"/>
          <w:highlight w:val="green"/>
        </w:rPr>
        <w:sectPr>
          <w:pgSz w:w="11907" w:h="16840"/>
          <w:pgMar w:top="1803" w:right="1440" w:bottom="1803" w:left="144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6"/>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五、</w:t>
      </w:r>
      <w:bookmarkStart w:id="1" w:name="_Hlk54167917"/>
      <w:r>
        <w:rPr>
          <w:rFonts w:hint="default" w:ascii="Times New Roman" w:hAnsi="Times New Roman" w:eastAsia="黑体" w:cs="Times New Roman"/>
          <w:snapToGrid w:val="0"/>
          <w:color w:val="auto"/>
          <w:sz w:val="30"/>
          <w:szCs w:val="30"/>
          <w:highlight w:val="none"/>
        </w:rPr>
        <w:t>环境保护措施监督检查清单</w:t>
      </w:r>
      <w:bookmarkEnd w:id="1"/>
    </w:p>
    <w:tbl>
      <w:tblPr>
        <w:tblStyle w:val="21"/>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77"/>
        <w:gridCol w:w="1262"/>
        <w:gridCol w:w="1303"/>
        <w:gridCol w:w="2045"/>
        <w:gridCol w:w="29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8" w:type="pct"/>
            <w:tcBorders>
              <w:tl2br w:val="single" w:color="auto" w:sz="4" w:space="0"/>
            </w:tcBorders>
            <w:noWrap w:val="0"/>
            <w:vAlign w:val="top"/>
          </w:tcPr>
          <w:p>
            <w:pPr>
              <w:keepNext w:val="0"/>
              <w:keepLines w:val="0"/>
              <w:pageBreakBefore w:val="0"/>
              <w:kinsoku/>
              <w:wordWrap/>
              <w:overflowPunct/>
              <w:topLinePunct w:val="0"/>
              <w:bidi w:val="0"/>
              <w:adjustRightInd/>
              <w:snapToGrid/>
              <w:spacing w:line="320" w:lineRule="exact"/>
              <w:ind w:firstLine="0" w:firstLineChars="0"/>
              <w:jc w:val="righ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内容</w:t>
            </w:r>
          </w:p>
          <w:p>
            <w:pPr>
              <w:keepNext w:val="0"/>
              <w:keepLines w:val="0"/>
              <w:pageBreakBefore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要素</w:t>
            </w:r>
          </w:p>
        </w:tc>
        <w:tc>
          <w:tcPr>
            <w:tcW w:w="683"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排放口(编号、名称)/污染源</w:t>
            </w:r>
          </w:p>
        </w:tc>
        <w:tc>
          <w:tcPr>
            <w:tcW w:w="705"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污染物项目</w:t>
            </w:r>
          </w:p>
        </w:tc>
        <w:tc>
          <w:tcPr>
            <w:tcW w:w="1107"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环境保护措施</w:t>
            </w:r>
          </w:p>
        </w:tc>
        <w:tc>
          <w:tcPr>
            <w:tcW w:w="1594"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8" w:hRule="atLeast"/>
          <w:jc w:val="center"/>
        </w:trPr>
        <w:tc>
          <w:tcPr>
            <w:tcW w:w="908" w:type="pct"/>
            <w:vMerge w:val="restar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w:t>
            </w:r>
          </w:p>
        </w:tc>
        <w:tc>
          <w:tcPr>
            <w:tcW w:w="683"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注液工序</w:t>
            </w:r>
          </w:p>
        </w:tc>
        <w:tc>
          <w:tcPr>
            <w:tcW w:w="705"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非甲烷总烃</w:t>
            </w:r>
          </w:p>
        </w:tc>
        <w:tc>
          <w:tcPr>
            <w:tcW w:w="1107" w:type="pct"/>
            <w:noWrap w:val="0"/>
            <w:vAlign w:val="center"/>
          </w:tcPr>
          <w:p>
            <w:pPr>
              <w:keepNext w:val="0"/>
              <w:keepLines w:val="0"/>
              <w:pageBreakBefore w:val="0"/>
              <w:widowControl/>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“UV光催化氧化+活性炭吸附”装置</w:t>
            </w:r>
            <w:r>
              <w:rPr>
                <w:rFonts w:hint="default" w:ascii="Times New Roman" w:hAnsi="Times New Roman" w:cs="Times New Roman"/>
                <w:color w:val="auto"/>
                <w:kern w:val="2"/>
                <w:sz w:val="21"/>
                <w:szCs w:val="21"/>
                <w:highlight w:val="none"/>
                <w:lang w:val="en-US" w:eastAsia="zh-CN" w:bidi="ar-SA"/>
              </w:rPr>
              <w:t>+15m高排气筒</w:t>
            </w:r>
          </w:p>
        </w:tc>
        <w:tc>
          <w:tcPr>
            <w:tcW w:w="1594" w:type="pct"/>
            <w:noWrap w:val="0"/>
            <w:vAlign w:val="center"/>
          </w:tcPr>
          <w:p>
            <w:pPr>
              <w:pStyle w:val="27"/>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bidi="ar-SA"/>
              </w:rPr>
            </w:pPr>
            <w:r>
              <w:rPr>
                <w:rFonts w:hint="eastAsia" w:ascii="Times New Roman" w:cs="Times New Roman" w:eastAsiaTheme="minorEastAsia"/>
                <w:color w:val="auto"/>
                <w:sz w:val="21"/>
                <w:szCs w:val="21"/>
                <w:highlight w:val="none"/>
                <w:lang w:val="en-US" w:eastAsia="zh-CN" w:bidi="ar-SA"/>
              </w:rPr>
              <w:t>《电池工业污染物排放标准》（GB30848-2013）</w:t>
            </w:r>
            <w:r>
              <w:rPr>
                <w:rFonts w:hint="default" w:ascii="Times New Roman" w:hAnsi="Times New Roman" w:cs="Times New Roman" w:eastAsiaTheme="minorEastAsia"/>
                <w:color w:val="auto"/>
                <w:sz w:val="21"/>
                <w:szCs w:val="21"/>
                <w:highlight w:val="none"/>
                <w:lang w:val="en-US" w:eastAsia="zh-CN" w:bidi="ar-SA"/>
              </w:rPr>
              <w:t>以及</w:t>
            </w:r>
            <w:r>
              <w:rPr>
                <w:rFonts w:hint="default" w:ascii="Times New Roman" w:hAnsi="Times New Roman" w:cs="Times New Roman" w:eastAsiaTheme="minorEastAsia"/>
                <w:color w:val="auto"/>
                <w:sz w:val="21"/>
                <w:szCs w:val="21"/>
                <w:highlight w:val="none"/>
                <w:lang w:eastAsia="zh-CN"/>
              </w:rPr>
              <w:t>《关于全省开展工业企业挥发性有机物专项治理工作中排放建议值的通知》豫环攻坚办[2017]162号要求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908" w:type="pct"/>
            <w:vMerge w:val="continue"/>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p>
        </w:tc>
        <w:tc>
          <w:tcPr>
            <w:tcW w:w="683"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污水处理设施</w:t>
            </w:r>
          </w:p>
        </w:tc>
        <w:tc>
          <w:tcPr>
            <w:tcW w:w="705"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HN</w:t>
            </w:r>
            <w:r>
              <w:rPr>
                <w:rFonts w:hint="eastAsia" w:ascii="Times New Roman" w:hAnsi="Times New Roman" w:cs="Times New Roman"/>
                <w:color w:val="auto"/>
                <w:kern w:val="2"/>
                <w:sz w:val="21"/>
                <w:szCs w:val="21"/>
                <w:highlight w:val="none"/>
                <w:vertAlign w:val="subscript"/>
                <w:lang w:val="en-US" w:eastAsia="zh-CN" w:bidi="ar-SA"/>
              </w:rPr>
              <w:t>3</w:t>
            </w:r>
            <w:r>
              <w:rPr>
                <w:rFonts w:hint="eastAsia" w:ascii="Times New Roman" w:hAnsi="Times New Roman" w:cs="Times New Roman"/>
                <w:color w:val="auto"/>
                <w:kern w:val="2"/>
                <w:sz w:val="21"/>
                <w:szCs w:val="21"/>
                <w:highlight w:val="none"/>
                <w:lang w:val="en-US" w:eastAsia="zh-CN" w:bidi="ar-SA"/>
              </w:rPr>
              <w:t>、H</w:t>
            </w:r>
            <w:r>
              <w:rPr>
                <w:rFonts w:hint="eastAsia" w:ascii="Times New Roman" w:hAnsi="Times New Roman" w:cs="Times New Roman"/>
                <w:color w:val="auto"/>
                <w:kern w:val="2"/>
                <w:sz w:val="21"/>
                <w:szCs w:val="21"/>
                <w:highlight w:val="none"/>
                <w:vertAlign w:val="subscript"/>
                <w:lang w:val="en-US" w:eastAsia="zh-CN" w:bidi="ar-SA"/>
              </w:rPr>
              <w:t>2</w:t>
            </w:r>
            <w:r>
              <w:rPr>
                <w:rFonts w:hint="eastAsia" w:ascii="Times New Roman" w:hAnsi="Times New Roman" w:cs="Times New Roman"/>
                <w:color w:val="auto"/>
                <w:kern w:val="2"/>
                <w:sz w:val="21"/>
                <w:szCs w:val="21"/>
                <w:highlight w:val="none"/>
                <w:lang w:val="en-US" w:eastAsia="zh-CN" w:bidi="ar-SA"/>
              </w:rPr>
              <w:t>S、臭气浓度</w:t>
            </w:r>
          </w:p>
        </w:tc>
        <w:tc>
          <w:tcPr>
            <w:tcW w:w="1107"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污水设置封闭，地埋设置，定期投加除臭剂，加强周边绿化</w:t>
            </w:r>
          </w:p>
        </w:tc>
        <w:tc>
          <w:tcPr>
            <w:tcW w:w="1594"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《恶臭污染物排放标准》（GB14554-93）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8"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w:t>
            </w:r>
          </w:p>
        </w:tc>
        <w:tc>
          <w:tcPr>
            <w:tcW w:w="683" w:type="pct"/>
            <w:tcBorders>
              <w:top w:val="single" w:color="auto" w:sz="4" w:space="0"/>
            </w:tcBorders>
            <w:noWrap w:val="0"/>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zh-CN" w:eastAsia="en-US"/>
              </w:rPr>
              <w:t>生活废水</w:t>
            </w:r>
          </w:p>
        </w:tc>
        <w:tc>
          <w:tcPr>
            <w:tcW w:w="705"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rPr>
              <w:t>pH、</w:t>
            </w:r>
            <w:r>
              <w:rPr>
                <w:rFonts w:hint="default" w:ascii="Times New Roman" w:hAnsi="Times New Roman" w:cs="Times New Roman"/>
                <w:color w:val="auto"/>
                <w:kern w:val="0"/>
                <w:sz w:val="21"/>
                <w:szCs w:val="21"/>
                <w:highlight w:val="none"/>
                <w:lang w:val="en-US" w:eastAsia="zh-CN"/>
              </w:rPr>
              <w:t>COD、SS、NH</w:t>
            </w:r>
            <w:r>
              <w:rPr>
                <w:rFonts w:hint="default" w:ascii="Times New Roman" w:hAnsi="Times New Roman" w:cs="Times New Roman"/>
                <w:color w:val="auto"/>
                <w:kern w:val="0"/>
                <w:sz w:val="21"/>
                <w:szCs w:val="21"/>
                <w:highlight w:val="none"/>
                <w:vertAlign w:val="subscript"/>
                <w:lang w:val="en-US" w:eastAsia="zh-CN"/>
              </w:rPr>
              <w:t>3</w:t>
            </w:r>
            <w:r>
              <w:rPr>
                <w:rFonts w:hint="default" w:ascii="Times New Roman" w:hAnsi="Times New Roman" w:cs="Times New Roman"/>
                <w:color w:val="auto"/>
                <w:kern w:val="0"/>
                <w:sz w:val="21"/>
                <w:szCs w:val="21"/>
                <w:highlight w:val="none"/>
                <w:lang w:val="en-US" w:eastAsia="zh-CN"/>
              </w:rPr>
              <w:t>-N、TP、TN</w:t>
            </w:r>
          </w:p>
        </w:tc>
        <w:tc>
          <w:tcPr>
            <w:tcW w:w="1107" w:type="pct"/>
            <w:tcBorders>
              <w:bottom w:val="single" w:color="000000" w:sz="4" w:space="0"/>
            </w:tcBorders>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地埋式A/O一体化污水处理设施</w:t>
            </w:r>
          </w:p>
        </w:tc>
        <w:tc>
          <w:tcPr>
            <w:tcW w:w="1594" w:type="pct"/>
            <w:tcBorders>
              <w:top w:val="single" w:color="000000" w:sz="4" w:space="0"/>
              <w:bottom w:val="single" w:color="000000" w:sz="4" w:space="0"/>
            </w:tcBorders>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近期定期清运，远期待规划的污水处理厂建设完成，且区域污水管网铺设完成后，项目生活污水可经污水管网排入新乡市凤泉区污水处理厂进行二次处理，远期废水执行《电池工业污染物排放标准》（GB30848-2013）以及新乡市凤泉区污水处理厂收水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8" w:type="pct"/>
            <w:vMerge w:val="restar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683"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各生产</w:t>
            </w:r>
          </w:p>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设备</w:t>
            </w:r>
          </w:p>
        </w:tc>
        <w:tc>
          <w:tcPr>
            <w:tcW w:w="705"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机械</w:t>
            </w:r>
            <w:r>
              <w:rPr>
                <w:rFonts w:hint="default" w:ascii="Times New Roman" w:hAnsi="Times New Roman" w:cs="Times New Roman"/>
                <w:color w:val="auto"/>
                <w:sz w:val="21"/>
                <w:szCs w:val="21"/>
                <w:highlight w:val="none"/>
              </w:rPr>
              <w:t>噪声</w:t>
            </w:r>
          </w:p>
        </w:tc>
        <w:tc>
          <w:tcPr>
            <w:tcW w:w="1107"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低噪声设备、基础减振、厂房隔声</w:t>
            </w:r>
          </w:p>
        </w:tc>
        <w:tc>
          <w:tcPr>
            <w:tcW w:w="1594" w:type="pct"/>
            <w:vMerge w:val="restart"/>
            <w:tcBorders>
              <w:top w:val="single" w:color="000000" w:sz="4" w:space="0"/>
              <w:bottom w:val="single" w:color="000000" w:sz="4" w:space="0"/>
            </w:tcBorders>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《工业企业厂界环境噪声排放标准》（GB12348-2008）</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8" w:type="pct"/>
            <w:vMerge w:val="continue"/>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p>
        </w:tc>
        <w:tc>
          <w:tcPr>
            <w:tcW w:w="683"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空压机、真空泵等</w:t>
            </w:r>
          </w:p>
        </w:tc>
        <w:tc>
          <w:tcPr>
            <w:tcW w:w="705"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空气动力</w:t>
            </w:r>
            <w:r>
              <w:rPr>
                <w:rFonts w:hint="default" w:ascii="Times New Roman" w:hAnsi="Times New Roman" w:cs="Times New Roman"/>
                <w:color w:val="auto"/>
                <w:sz w:val="21"/>
                <w:szCs w:val="21"/>
                <w:highlight w:val="none"/>
              </w:rPr>
              <w:t>噪声</w:t>
            </w:r>
          </w:p>
        </w:tc>
        <w:tc>
          <w:tcPr>
            <w:tcW w:w="1107"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消声、基础减振、厂房隔声</w:t>
            </w:r>
          </w:p>
        </w:tc>
        <w:tc>
          <w:tcPr>
            <w:tcW w:w="1594" w:type="pct"/>
            <w:vMerge w:val="continue"/>
            <w:tcBorders>
              <w:top w:val="single" w:color="000000" w:sz="4" w:space="0"/>
              <w:bottom w:val="single" w:color="000000" w:sz="4" w:space="0"/>
            </w:tcBorders>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gree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8"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4091" w:type="pct"/>
            <w:gridSpan w:val="4"/>
            <w:noWrap w:val="0"/>
            <w:vAlign w:val="center"/>
          </w:tcPr>
          <w:p>
            <w:pPr>
              <w:keepNext w:val="0"/>
              <w:keepLines w:val="0"/>
              <w:pageBreakBefore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21"/>
                <w:szCs w:val="21"/>
                <w:highlight w:val="green"/>
                <w:lang w:eastAsia="zh-CN"/>
              </w:rPr>
            </w:pPr>
            <w:r>
              <w:rPr>
                <w:rFonts w:hint="default" w:ascii="Times New Roman" w:hAnsi="Times New Roman" w:cs="Times New Roman"/>
                <w:snapToGrid w:val="0"/>
                <w:color w:val="auto"/>
                <w:sz w:val="21"/>
                <w:szCs w:val="21"/>
                <w:highlight w:val="none"/>
                <w:lang w:eastAsia="zh-CN"/>
              </w:rPr>
              <w:fldChar w:fldCharType="begin"/>
            </w:r>
            <w:r>
              <w:rPr>
                <w:rFonts w:hint="default" w:ascii="Times New Roman" w:hAnsi="Times New Roman" w:cs="Times New Roman"/>
                <w:snapToGrid w:val="0"/>
                <w:color w:val="auto"/>
                <w:sz w:val="21"/>
                <w:szCs w:val="21"/>
                <w:highlight w:val="none"/>
                <w:lang w:eastAsia="zh-CN"/>
              </w:rPr>
              <w:instrText xml:space="preserve"> = 1 \* GB3 \* MERGEFORMAT </w:instrText>
            </w:r>
            <w:r>
              <w:rPr>
                <w:rFonts w:hint="default" w:ascii="Times New Roman" w:hAnsi="Times New Roman" w:cs="Times New Roman"/>
                <w:snapToGrid w:val="0"/>
                <w:color w:val="auto"/>
                <w:sz w:val="21"/>
                <w:szCs w:val="21"/>
                <w:highlight w:val="none"/>
                <w:lang w:eastAsia="zh-CN"/>
              </w:rPr>
              <w:fldChar w:fldCharType="separate"/>
            </w:r>
            <w:r>
              <w:rPr>
                <w:rFonts w:hint="default" w:ascii="Times New Roman" w:hAnsi="Times New Roman" w:cs="Times New Roman"/>
                <w:color w:val="auto"/>
                <w:sz w:val="21"/>
                <w:szCs w:val="21"/>
                <w:highlight w:val="none"/>
              </w:rPr>
              <w:t>①</w:t>
            </w:r>
            <w:r>
              <w:rPr>
                <w:rFonts w:hint="default" w:ascii="Times New Roman" w:hAnsi="Times New Roman" w:cs="Times New Roman"/>
                <w:snapToGrid w:val="0"/>
                <w:color w:val="auto"/>
                <w:sz w:val="21"/>
                <w:szCs w:val="21"/>
                <w:highlight w:val="none"/>
                <w:lang w:eastAsia="zh-CN"/>
              </w:rPr>
              <w:fldChar w:fldCharType="end"/>
            </w:r>
            <w:r>
              <w:rPr>
                <w:rFonts w:hint="eastAsia" w:cs="Times New Roman"/>
                <w:snapToGrid w:val="0"/>
                <w:color w:val="auto"/>
                <w:sz w:val="21"/>
                <w:szCs w:val="21"/>
                <w:highlight w:val="none"/>
                <w:lang w:eastAsia="zh-CN"/>
              </w:rPr>
              <w:t>本项目</w:t>
            </w:r>
            <w:r>
              <w:rPr>
                <w:rFonts w:hint="default" w:ascii="Times New Roman" w:hAnsi="Times New Roman" w:cs="Times New Roman"/>
                <w:snapToGrid w:val="0"/>
                <w:color w:val="auto"/>
                <w:sz w:val="21"/>
                <w:szCs w:val="21"/>
                <w:highlight w:val="none"/>
                <w:lang w:eastAsia="zh-CN"/>
              </w:rPr>
              <w:t>废</w:t>
            </w:r>
            <w:r>
              <w:rPr>
                <w:rFonts w:hint="eastAsia" w:cs="Times New Roman"/>
                <w:snapToGrid w:val="0"/>
                <w:color w:val="auto"/>
                <w:sz w:val="21"/>
                <w:szCs w:val="21"/>
                <w:highlight w:val="none"/>
                <w:lang w:eastAsia="zh-CN"/>
              </w:rPr>
              <w:t>原辅料包装、分切废极片材料、不合格品等</w:t>
            </w:r>
            <w:r>
              <w:rPr>
                <w:rFonts w:hint="default" w:ascii="Times New Roman" w:hAnsi="Times New Roman" w:cs="Times New Roman"/>
                <w:snapToGrid w:val="0"/>
                <w:color w:val="auto"/>
                <w:sz w:val="21"/>
                <w:szCs w:val="21"/>
                <w:highlight w:val="none"/>
                <w:lang w:eastAsia="zh-CN"/>
              </w:rPr>
              <w:t>属于一般固废，经设置的一般固废暂存间暂存后，定期外售相应回收单位回收处理</w:t>
            </w:r>
            <w:r>
              <w:rPr>
                <w:rFonts w:hint="eastAsia" w:cs="Times New Roman"/>
                <w:snapToGrid w:val="0"/>
                <w:color w:val="auto"/>
                <w:sz w:val="21"/>
                <w:szCs w:val="21"/>
                <w:highlight w:val="none"/>
                <w:lang w:eastAsia="zh-CN"/>
              </w:rPr>
              <w:t>；污水处理设施污泥定期由环卫部门清运处理；</w:t>
            </w:r>
            <w:r>
              <w:rPr>
                <w:rFonts w:hint="default" w:ascii="Times New Roman" w:hAnsi="Times New Roman" w:cs="Times New Roman"/>
                <w:snapToGrid w:val="0"/>
                <w:color w:val="auto"/>
                <w:sz w:val="21"/>
                <w:szCs w:val="21"/>
                <w:highlight w:val="none"/>
                <w:lang w:eastAsia="zh-CN"/>
              </w:rPr>
              <w:t>生活垃圾经设置垃圾收集箱收集后，定期交由环卫部门清运处理。建设单位在</w:t>
            </w:r>
            <w:r>
              <w:rPr>
                <w:rFonts w:hint="default" w:ascii="Times New Roman" w:hAnsi="Times New Roman" w:cs="Times New Roman"/>
                <w:bCs/>
                <w:color w:val="auto"/>
                <w:sz w:val="21"/>
                <w:szCs w:val="21"/>
                <w:highlight w:val="none"/>
                <w:lang w:eastAsia="zh-CN"/>
              </w:rPr>
              <w:t>车间内</w:t>
            </w:r>
            <w:r>
              <w:rPr>
                <w:rFonts w:hint="eastAsia" w:cs="Times New Roman"/>
                <w:bCs/>
                <w:color w:val="auto"/>
                <w:sz w:val="21"/>
                <w:szCs w:val="21"/>
                <w:highlight w:val="none"/>
                <w:lang w:eastAsia="zh-CN"/>
              </w:rPr>
              <w:t>北侧</w:t>
            </w:r>
            <w:r>
              <w:rPr>
                <w:rFonts w:hint="default" w:ascii="Times New Roman" w:hAnsi="Times New Roman" w:cs="Times New Roman"/>
                <w:bCs/>
                <w:color w:val="auto"/>
                <w:sz w:val="21"/>
                <w:szCs w:val="21"/>
                <w:highlight w:val="none"/>
                <w:lang w:eastAsia="zh-CN"/>
              </w:rPr>
              <w:t>单独</w:t>
            </w:r>
            <w:r>
              <w:rPr>
                <w:rFonts w:hint="default" w:ascii="Times New Roman" w:hAnsi="Times New Roman" w:cs="Times New Roman"/>
                <w:bCs/>
                <w:color w:val="auto"/>
                <w:sz w:val="21"/>
                <w:szCs w:val="21"/>
                <w:highlight w:val="none"/>
              </w:rPr>
              <w:t>设置</w:t>
            </w:r>
            <w:r>
              <w:rPr>
                <w:rFonts w:hint="eastAsia" w:cs="Times New Roman"/>
                <w:bCs/>
                <w:color w:val="auto"/>
                <w:sz w:val="21"/>
                <w:szCs w:val="21"/>
                <w:highlight w:val="none"/>
                <w:lang w:val="en-US" w:eastAsia="zh-CN"/>
              </w:rPr>
              <w:t>20</w:t>
            </w:r>
            <w:r>
              <w:rPr>
                <w:rFonts w:hint="default" w:ascii="Times New Roman" w:hAnsi="Times New Roman" w:cs="Times New Roman"/>
                <w:bCs/>
                <w:color w:val="auto"/>
                <w:sz w:val="21"/>
                <w:szCs w:val="21"/>
                <w:highlight w:val="none"/>
              </w:rPr>
              <w:t>m</w:t>
            </w:r>
            <w:r>
              <w:rPr>
                <w:rFonts w:hint="default" w:ascii="Times New Roman" w:hAnsi="Times New Roman" w:cs="Times New Roman"/>
                <w:bCs/>
                <w:color w:val="auto"/>
                <w:sz w:val="21"/>
                <w:szCs w:val="21"/>
                <w:highlight w:val="none"/>
                <w:vertAlign w:val="superscript"/>
              </w:rPr>
              <w:t>2</w:t>
            </w:r>
            <w:r>
              <w:rPr>
                <w:rFonts w:hint="default" w:ascii="Times New Roman" w:hAnsi="Times New Roman" w:cs="Times New Roman"/>
                <w:bCs/>
                <w:color w:val="auto"/>
                <w:sz w:val="21"/>
                <w:szCs w:val="21"/>
                <w:highlight w:val="none"/>
                <w:lang w:eastAsia="zh-CN"/>
              </w:rPr>
              <w:t>一般</w:t>
            </w:r>
            <w:r>
              <w:rPr>
                <w:rFonts w:hint="default" w:ascii="Times New Roman" w:hAnsi="Times New Roman" w:cs="Times New Roman"/>
                <w:bCs/>
                <w:color w:val="auto"/>
                <w:sz w:val="21"/>
                <w:szCs w:val="21"/>
                <w:highlight w:val="none"/>
              </w:rPr>
              <w:t>暂存</w:t>
            </w:r>
            <w:r>
              <w:rPr>
                <w:rFonts w:hint="eastAsia" w:cs="Times New Roman"/>
                <w:bCs/>
                <w:color w:val="auto"/>
                <w:sz w:val="21"/>
                <w:szCs w:val="21"/>
                <w:highlight w:val="none"/>
                <w:lang w:eastAsia="zh-CN"/>
              </w:rPr>
              <w:t>间</w:t>
            </w:r>
            <w:r>
              <w:rPr>
                <w:rFonts w:hint="default" w:ascii="Times New Roman" w:hAnsi="Times New Roman" w:cs="Times New Roman"/>
                <w:bCs/>
                <w:color w:val="auto"/>
                <w:sz w:val="21"/>
                <w:szCs w:val="21"/>
                <w:highlight w:val="none"/>
              </w:rPr>
              <w:t>，一般固废暂存场所应按照</w:t>
            </w:r>
            <w:r>
              <w:rPr>
                <w:rFonts w:hint="default" w:ascii="Times New Roman" w:hAnsi="Times New Roman" w:cs="Times New Roman"/>
                <w:b w:val="0"/>
                <w:bCs/>
                <w:color w:val="auto"/>
                <w:kern w:val="0"/>
                <w:sz w:val="21"/>
                <w:szCs w:val="21"/>
                <w:highlight w:val="none"/>
                <w:u w:val="none"/>
                <w:lang w:eastAsia="zh-CN"/>
              </w:rPr>
              <w:t>《一般工业固体废物贮存和填埋污染控制标准》（</w:t>
            </w:r>
            <w:r>
              <w:rPr>
                <w:rFonts w:hint="default" w:ascii="Times New Roman" w:hAnsi="Times New Roman" w:cs="Times New Roman"/>
                <w:b w:val="0"/>
                <w:bCs/>
                <w:color w:val="auto"/>
                <w:kern w:val="0"/>
                <w:sz w:val="21"/>
                <w:szCs w:val="21"/>
                <w:highlight w:val="none"/>
                <w:u w:val="none"/>
                <w:lang w:val="en-US" w:eastAsia="zh-CN"/>
              </w:rPr>
              <w:t>GB18599-2020</w:t>
            </w:r>
            <w:r>
              <w:rPr>
                <w:rFonts w:hint="default" w:ascii="Times New Roman" w:hAnsi="Times New Roman" w:cs="Times New Roman"/>
                <w:b w:val="0"/>
                <w:bCs/>
                <w:color w:val="auto"/>
                <w:kern w:val="0"/>
                <w:sz w:val="21"/>
                <w:szCs w:val="21"/>
                <w:highlight w:val="none"/>
                <w:u w:val="none"/>
                <w:lang w:eastAsia="zh-CN"/>
              </w:rPr>
              <w:t>）</w:t>
            </w:r>
            <w:r>
              <w:rPr>
                <w:rFonts w:hint="default" w:ascii="Times New Roman" w:hAnsi="Times New Roman" w:cs="Times New Roman"/>
                <w:bCs/>
                <w:color w:val="auto"/>
                <w:sz w:val="21"/>
                <w:szCs w:val="21"/>
                <w:highlight w:val="none"/>
              </w:rPr>
              <w:t>进行设置</w:t>
            </w:r>
            <w:r>
              <w:rPr>
                <w:rFonts w:hint="default" w:ascii="Times New Roman" w:hAnsi="Times New Roman" w:cs="Times New Roman"/>
                <w:bCs/>
                <w:color w:val="auto"/>
                <w:sz w:val="21"/>
                <w:szCs w:val="21"/>
                <w:highlight w:val="none"/>
                <w:lang w:eastAsia="zh-CN"/>
              </w:rPr>
              <w:t>。</w:t>
            </w:r>
            <w:r>
              <w:rPr>
                <w:rFonts w:hint="default" w:ascii="Times New Roman" w:hAnsi="Times New Roman" w:cs="Times New Roman"/>
                <w:snapToGrid w:val="0"/>
                <w:color w:val="auto"/>
                <w:sz w:val="21"/>
                <w:szCs w:val="21"/>
                <w:highlight w:val="none"/>
                <w:lang w:eastAsia="zh-CN"/>
              </w:rPr>
              <w:br w:type="textWrapping"/>
            </w:r>
            <w:r>
              <w:rPr>
                <w:rFonts w:hint="default" w:ascii="Times New Roman" w:hAnsi="Times New Roman" w:cs="Times New Roman"/>
                <w:snapToGrid w:val="0"/>
                <w:color w:val="auto"/>
                <w:sz w:val="21"/>
                <w:szCs w:val="21"/>
                <w:highlight w:val="none"/>
                <w:lang w:eastAsia="zh-CN"/>
              </w:rPr>
              <w:fldChar w:fldCharType="begin"/>
            </w:r>
            <w:r>
              <w:rPr>
                <w:rFonts w:hint="default" w:ascii="Times New Roman" w:hAnsi="Times New Roman" w:cs="Times New Roman"/>
                <w:snapToGrid w:val="0"/>
                <w:color w:val="auto"/>
                <w:sz w:val="21"/>
                <w:szCs w:val="21"/>
                <w:highlight w:val="none"/>
                <w:lang w:eastAsia="zh-CN"/>
              </w:rPr>
              <w:instrText xml:space="preserve"> = 2 \* GB3 \* MERGEFORMAT </w:instrText>
            </w:r>
            <w:r>
              <w:rPr>
                <w:rFonts w:hint="default" w:ascii="Times New Roman" w:hAnsi="Times New Roman" w:cs="Times New Roman"/>
                <w:snapToGrid w:val="0"/>
                <w:color w:val="auto"/>
                <w:sz w:val="21"/>
                <w:szCs w:val="21"/>
                <w:highlight w:val="none"/>
                <w:lang w:eastAsia="zh-CN"/>
              </w:rPr>
              <w:fldChar w:fldCharType="separate"/>
            </w:r>
            <w:r>
              <w:rPr>
                <w:rFonts w:hint="default" w:ascii="Times New Roman" w:hAnsi="Times New Roman" w:cs="Times New Roman"/>
                <w:color w:val="auto"/>
                <w:sz w:val="21"/>
                <w:szCs w:val="21"/>
                <w:highlight w:val="none"/>
              </w:rPr>
              <w:t>②</w:t>
            </w:r>
            <w:r>
              <w:rPr>
                <w:rFonts w:hint="default" w:ascii="Times New Roman" w:hAnsi="Times New Roman" w:cs="Times New Roman"/>
                <w:snapToGrid w:val="0"/>
                <w:color w:val="auto"/>
                <w:sz w:val="21"/>
                <w:szCs w:val="21"/>
                <w:highlight w:val="none"/>
                <w:lang w:eastAsia="zh-CN"/>
              </w:rPr>
              <w:fldChar w:fldCharType="end"/>
            </w:r>
            <w:r>
              <w:rPr>
                <w:rFonts w:hint="eastAsia" w:cs="Times New Roman"/>
                <w:snapToGrid w:val="0"/>
                <w:color w:val="auto"/>
                <w:sz w:val="21"/>
                <w:szCs w:val="21"/>
                <w:highlight w:val="none"/>
                <w:lang w:eastAsia="zh-CN"/>
              </w:rPr>
              <w:t>本项目</w:t>
            </w:r>
            <w:r>
              <w:rPr>
                <w:rFonts w:hint="default" w:ascii="Times New Roman" w:hAnsi="Times New Roman" w:cs="Times New Roman"/>
                <w:snapToGrid w:val="0"/>
                <w:color w:val="auto"/>
                <w:sz w:val="21"/>
                <w:szCs w:val="21"/>
                <w:highlight w:val="none"/>
                <w:lang w:eastAsia="zh-CN"/>
              </w:rPr>
              <w:t>机械设备定期维护更换的废润滑油以及废气治理设施更换的废</w:t>
            </w:r>
            <w:r>
              <w:rPr>
                <w:rFonts w:hint="default" w:ascii="Times New Roman" w:hAnsi="Times New Roman" w:cs="Times New Roman"/>
                <w:snapToGrid w:val="0"/>
                <w:color w:val="auto"/>
                <w:sz w:val="21"/>
                <w:szCs w:val="21"/>
                <w:highlight w:val="none"/>
                <w:lang w:val="en-US" w:eastAsia="zh-CN"/>
              </w:rPr>
              <w:t>UV灯管、废活性炭</w:t>
            </w:r>
            <w:r>
              <w:rPr>
                <w:rFonts w:hint="default" w:ascii="Times New Roman" w:hAnsi="Times New Roman" w:cs="Times New Roman"/>
                <w:snapToGrid w:val="0"/>
                <w:color w:val="auto"/>
                <w:sz w:val="21"/>
                <w:szCs w:val="21"/>
                <w:highlight w:val="none"/>
                <w:lang w:eastAsia="zh-CN"/>
              </w:rPr>
              <w:t>均属于危险固废，经设置的危险固废暂存间暂存，定期委托有资质的危险废物处置单位回收处理。</w:t>
            </w:r>
            <w:r>
              <w:rPr>
                <w:rFonts w:hint="default" w:ascii="Times New Roman" w:hAnsi="Times New Roman" w:cs="Times New Roman"/>
                <w:bCs/>
                <w:color w:val="auto"/>
                <w:sz w:val="21"/>
                <w:szCs w:val="21"/>
                <w:highlight w:val="none"/>
              </w:rPr>
              <w:t>建设单位在</w:t>
            </w:r>
            <w:r>
              <w:rPr>
                <w:rFonts w:hint="default" w:ascii="Times New Roman" w:hAnsi="Times New Roman" w:cs="Times New Roman"/>
                <w:bCs/>
                <w:color w:val="auto"/>
                <w:sz w:val="21"/>
                <w:szCs w:val="21"/>
                <w:highlight w:val="none"/>
                <w:lang w:eastAsia="zh-CN"/>
              </w:rPr>
              <w:t>车间</w:t>
            </w:r>
            <w:r>
              <w:rPr>
                <w:rFonts w:hint="eastAsia" w:cs="Times New Roman"/>
                <w:bCs/>
                <w:color w:val="auto"/>
                <w:sz w:val="21"/>
                <w:szCs w:val="21"/>
                <w:highlight w:val="none"/>
                <w:lang w:eastAsia="zh-CN"/>
              </w:rPr>
              <w:t>北侧</w:t>
            </w:r>
            <w:r>
              <w:rPr>
                <w:rFonts w:hint="default" w:ascii="Times New Roman" w:hAnsi="Times New Roman" w:cs="Times New Roman"/>
                <w:bCs/>
                <w:color w:val="auto"/>
                <w:sz w:val="21"/>
                <w:szCs w:val="21"/>
                <w:highlight w:val="none"/>
              </w:rPr>
              <w:t>设置</w:t>
            </w:r>
            <w:r>
              <w:rPr>
                <w:rFonts w:hint="eastAsia" w:cs="Times New Roman"/>
                <w:bCs/>
                <w:color w:val="auto"/>
                <w:sz w:val="21"/>
                <w:szCs w:val="21"/>
                <w:highlight w:val="none"/>
                <w:lang w:val="en-US" w:eastAsia="zh-CN"/>
              </w:rPr>
              <w:t>15</w:t>
            </w:r>
            <w:r>
              <w:rPr>
                <w:rFonts w:hint="default" w:ascii="Times New Roman" w:hAnsi="Times New Roman" w:cs="Times New Roman"/>
                <w:bCs/>
                <w:color w:val="auto"/>
                <w:sz w:val="21"/>
                <w:szCs w:val="21"/>
                <w:highlight w:val="none"/>
              </w:rPr>
              <w:t>m</w:t>
            </w:r>
            <w:r>
              <w:rPr>
                <w:rFonts w:hint="default" w:ascii="Times New Roman" w:hAnsi="Times New Roman" w:cs="Times New Roman"/>
                <w:bCs/>
                <w:color w:val="auto"/>
                <w:sz w:val="21"/>
                <w:szCs w:val="21"/>
                <w:highlight w:val="none"/>
                <w:vertAlign w:val="superscript"/>
              </w:rPr>
              <w:t>2</w:t>
            </w:r>
            <w:r>
              <w:rPr>
                <w:rFonts w:hint="default" w:ascii="Times New Roman" w:hAnsi="Times New Roman" w:cs="Times New Roman"/>
                <w:bCs/>
                <w:color w:val="auto"/>
                <w:sz w:val="21"/>
                <w:szCs w:val="21"/>
                <w:highlight w:val="none"/>
              </w:rPr>
              <w:t>危废暂存间1间，危险废物贮存间</w:t>
            </w:r>
            <w:r>
              <w:rPr>
                <w:rFonts w:hint="eastAsia" w:cs="Times New Roman"/>
                <w:bCs/>
                <w:color w:val="auto"/>
                <w:sz w:val="21"/>
                <w:szCs w:val="21"/>
                <w:highlight w:val="none"/>
                <w:lang w:eastAsia="zh-CN"/>
              </w:rPr>
              <w:t>建设和管理</w:t>
            </w:r>
            <w:r>
              <w:rPr>
                <w:rFonts w:hint="default" w:ascii="Times New Roman" w:hAnsi="Times New Roman" w:cs="Times New Roman"/>
                <w:bCs/>
                <w:color w:val="auto"/>
                <w:sz w:val="21"/>
                <w:szCs w:val="21"/>
                <w:highlight w:val="none"/>
              </w:rPr>
              <w:t>应严格按照</w:t>
            </w:r>
            <w:r>
              <w:rPr>
                <w:rFonts w:hint="default" w:ascii="Times New Roman" w:hAnsi="Times New Roman" w:cs="Times New Roman"/>
                <w:color w:val="auto"/>
                <w:sz w:val="21"/>
                <w:szCs w:val="21"/>
                <w:highlight w:val="none"/>
              </w:rPr>
              <w:t>《危险废物贮存污染控制标准》（GB18597-2023）</w:t>
            </w:r>
            <w:r>
              <w:rPr>
                <w:rFonts w:hint="default" w:ascii="Times New Roman" w:hAnsi="Times New Roman" w:cs="Times New Roman"/>
                <w:bCs/>
                <w:color w:val="auto"/>
                <w:sz w:val="21"/>
                <w:szCs w:val="21"/>
                <w:highlight w:val="none"/>
              </w:rPr>
              <w:t>等相关要求</w:t>
            </w:r>
            <w:r>
              <w:rPr>
                <w:rFonts w:hint="eastAsia" w:cs="Times New Roman"/>
                <w:bCs/>
                <w:color w:val="auto"/>
                <w:sz w:val="21"/>
                <w:szCs w:val="21"/>
                <w:highlight w:val="none"/>
                <w:lang w:eastAsia="zh-CN"/>
              </w:rPr>
              <w:t>执行</w:t>
            </w:r>
            <w:r>
              <w:rPr>
                <w:rFonts w:hint="default" w:ascii="Times New Roman" w:hAnsi="Times New Roman" w:cs="Times New Roman"/>
                <w:bCs/>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8"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土壤及地下水</w:t>
            </w:r>
          </w:p>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污染防治措施</w:t>
            </w:r>
          </w:p>
        </w:tc>
        <w:tc>
          <w:tcPr>
            <w:tcW w:w="4091" w:type="pct"/>
            <w:gridSpan w:val="4"/>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8"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环境风险</w:t>
            </w:r>
          </w:p>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防范措施</w:t>
            </w:r>
          </w:p>
        </w:tc>
        <w:tc>
          <w:tcPr>
            <w:tcW w:w="4091" w:type="pct"/>
            <w:gridSpan w:val="4"/>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①建设防范措施</w:t>
            </w:r>
          </w:p>
          <w:p>
            <w:pPr>
              <w:keepNext w:val="0"/>
              <w:keepLines w:val="0"/>
              <w:pageBreakBefore w:val="0"/>
              <w:widowControl w:val="0"/>
              <w:kinsoku/>
              <w:wordWrap/>
              <w:overflowPunct/>
              <w:topLinePunct w:val="0"/>
              <w:bidi w:val="0"/>
              <w:adjustRightInd/>
              <w:snapToGrid/>
              <w:spacing w:line="320" w:lineRule="exact"/>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工程厂区平面布置根据工艺流程、原辅材料及产品贮运、防火安全、职业卫生等要求进行布局设计，功能分区明确。</w:t>
            </w:r>
          </w:p>
          <w:p>
            <w:pPr>
              <w:keepNext w:val="0"/>
              <w:keepLines w:val="0"/>
              <w:pageBreakBefore w:val="0"/>
              <w:widowControl w:val="0"/>
              <w:kinsoku/>
              <w:wordWrap/>
              <w:overflowPunct/>
              <w:topLinePunct w:val="0"/>
              <w:bidi w:val="0"/>
              <w:adjustRightInd/>
              <w:snapToGrid/>
              <w:spacing w:line="320" w:lineRule="exact"/>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②生产车间风险防范措施</w:t>
            </w:r>
          </w:p>
          <w:p>
            <w:pPr>
              <w:keepNext w:val="0"/>
              <w:keepLines w:val="0"/>
              <w:pageBreakBefore w:val="0"/>
              <w:widowControl w:val="0"/>
              <w:kinsoku/>
              <w:wordWrap/>
              <w:overflowPunct/>
              <w:topLinePunct w:val="0"/>
              <w:bidi w:val="0"/>
              <w:adjustRightInd/>
              <w:snapToGrid/>
              <w:spacing w:line="320" w:lineRule="exact"/>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车间内地面铺设防渗层并进行防腐处理。通路、走道等安全出入口及通向消防设备和水源的通路，要保持畅通。易燃物的存放必须与高温器具、设备的表面保持有足够的防火间距，高温表面附近不宜堆放可燃物</w:t>
            </w:r>
            <w:r>
              <w:rPr>
                <w:rFonts w:hint="eastAsia" w:cs="Times New Roman"/>
                <w:color w:val="auto"/>
                <w:sz w:val="21"/>
                <w:szCs w:val="21"/>
                <w:highlight w:val="none"/>
                <w:lang w:val="en-US" w:eastAsia="zh-CN"/>
              </w:rPr>
              <w:t>等</w:t>
            </w:r>
            <w:r>
              <w:rPr>
                <w:rFonts w:hint="default" w:ascii="Times New Roman" w:hAnsi="Times New Roman" w:eastAsia="宋体" w:cs="Times New Roman"/>
                <w:color w:val="auto"/>
                <w:sz w:val="21"/>
                <w:szCs w:val="21"/>
                <w:highlight w:val="none"/>
                <w:lang w:val="en-US" w:eastAsia="zh-CN"/>
              </w:rPr>
              <w:t>。</w:t>
            </w:r>
          </w:p>
          <w:p>
            <w:pPr>
              <w:keepNext w:val="0"/>
              <w:keepLines w:val="0"/>
              <w:pageBreakBefore w:val="0"/>
              <w:widowControl w:val="0"/>
              <w:kinsoku/>
              <w:wordWrap/>
              <w:overflowPunct/>
              <w:topLinePunct w:val="0"/>
              <w:bidi w:val="0"/>
              <w:adjustRightInd/>
              <w:snapToGrid/>
              <w:spacing w:line="320" w:lineRule="exact"/>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④生产过程风险防范措施</w:t>
            </w:r>
          </w:p>
          <w:p>
            <w:pPr>
              <w:keepNext w:val="0"/>
              <w:keepLines w:val="0"/>
              <w:pageBreakBefore w:val="0"/>
              <w:widowControl w:val="0"/>
              <w:kinsoku/>
              <w:wordWrap/>
              <w:overflowPunct/>
              <w:topLinePunct w:val="0"/>
              <w:bidi w:val="0"/>
              <w:adjustRightInd/>
              <w:snapToGrid/>
              <w:spacing w:line="320" w:lineRule="exact"/>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工艺控制应设置必要的报警自动控制系统</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电气设备、线路、仪表等应符合国家有关标准、规程和规范要求，达到整体防爆性的要求</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加强对工人的安全生产和环境保护教育和管理。</w:t>
            </w:r>
          </w:p>
          <w:p>
            <w:pPr>
              <w:keepNext w:val="0"/>
              <w:keepLines w:val="0"/>
              <w:pageBreakBefore w:val="0"/>
              <w:widowControl w:val="0"/>
              <w:kinsoku/>
              <w:wordWrap/>
              <w:overflowPunct/>
              <w:topLinePunct w:val="0"/>
              <w:bidi w:val="0"/>
              <w:adjustRightInd/>
              <w:snapToGrid/>
              <w:spacing w:line="320" w:lineRule="exact"/>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⑤末端处理过程风险防范</w:t>
            </w:r>
          </w:p>
          <w:p>
            <w:pPr>
              <w:keepNext w:val="0"/>
              <w:keepLines w:val="0"/>
              <w:pageBreakBefore w:val="0"/>
              <w:widowControl w:val="0"/>
              <w:kinsoku/>
              <w:wordWrap/>
              <w:overflowPunct/>
              <w:topLinePunct w:val="0"/>
              <w:bidi w:val="0"/>
              <w:adjustRightInd/>
              <w:snapToGrid/>
              <w:spacing w:line="320" w:lineRule="exact"/>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废气、废水等末端治理措施必须确保正常运行，若末端治理措施因故不能运行，则生产必须停止</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各生产工段应制定严格的管理制度，泄露物料禁止直排</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专人专职管理和运行，确保治理设施长期稳定运行，切实防治事故排放发生。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56" w:hRule="atLeast"/>
          <w:jc w:val="center"/>
        </w:trPr>
        <w:tc>
          <w:tcPr>
            <w:tcW w:w="908"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其他环境</w:t>
            </w:r>
          </w:p>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管理要求</w:t>
            </w:r>
          </w:p>
        </w:tc>
        <w:tc>
          <w:tcPr>
            <w:tcW w:w="4091"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fldChar w:fldCharType="begin"/>
            </w:r>
            <w:r>
              <w:rPr>
                <w:rFonts w:hint="default" w:ascii="Times New Roman" w:hAnsi="Times New Roman" w:cs="Times New Roman"/>
                <w:bCs/>
                <w:color w:val="auto"/>
                <w:sz w:val="21"/>
                <w:szCs w:val="21"/>
                <w:highlight w:val="none"/>
              </w:rPr>
              <w:instrText xml:space="preserve"> = 1 \* GB3 \* MERGEFORMAT </w:instrText>
            </w:r>
            <w:r>
              <w:rPr>
                <w:rFonts w:hint="default" w:ascii="Times New Roman" w:hAnsi="Times New Roman" w:cs="Times New Roman"/>
                <w:bCs/>
                <w:color w:val="auto"/>
                <w:sz w:val="21"/>
                <w:szCs w:val="21"/>
                <w:highlight w:val="none"/>
              </w:rPr>
              <w:fldChar w:fldCharType="separate"/>
            </w:r>
            <w:r>
              <w:rPr>
                <w:rFonts w:hint="default" w:ascii="Times New Roman" w:hAnsi="Times New Roman" w:cs="Times New Roman"/>
                <w:color w:val="auto"/>
                <w:sz w:val="21"/>
                <w:szCs w:val="21"/>
                <w:highlight w:val="none"/>
              </w:rPr>
              <w:t>①</w:t>
            </w:r>
            <w:r>
              <w:rPr>
                <w:rFonts w:hint="default" w:ascii="Times New Roman" w:hAnsi="Times New Roman" w:cs="Times New Roman"/>
                <w:bCs/>
                <w:color w:val="auto"/>
                <w:sz w:val="21"/>
                <w:szCs w:val="21"/>
                <w:highlight w:val="none"/>
              </w:rPr>
              <w:fldChar w:fldCharType="end"/>
            </w:r>
            <w:r>
              <w:rPr>
                <w:rFonts w:hint="default" w:ascii="Times New Roman" w:hAnsi="Times New Roman" w:cs="Times New Roman"/>
                <w:bCs/>
                <w:color w:val="auto"/>
                <w:sz w:val="21"/>
                <w:szCs w:val="21"/>
                <w:highlight w:val="none"/>
              </w:rPr>
              <w:t>总用电控制位置、主要生产设施和污染治理设施安装用电量监控系统终端；</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fldChar w:fldCharType="begin"/>
            </w:r>
            <w:r>
              <w:rPr>
                <w:rFonts w:hint="default" w:ascii="Times New Roman" w:hAnsi="Times New Roman" w:cs="Times New Roman"/>
                <w:bCs/>
                <w:color w:val="auto"/>
                <w:sz w:val="21"/>
                <w:szCs w:val="21"/>
                <w:highlight w:val="none"/>
              </w:rPr>
              <w:instrText xml:space="preserve"> = 2 \* GB3 \* MERGEFORMAT </w:instrText>
            </w:r>
            <w:r>
              <w:rPr>
                <w:rFonts w:hint="default" w:ascii="Times New Roman" w:hAnsi="Times New Roman" w:cs="Times New Roman"/>
                <w:bCs/>
                <w:color w:val="auto"/>
                <w:sz w:val="21"/>
                <w:szCs w:val="21"/>
                <w:highlight w:val="none"/>
              </w:rPr>
              <w:fldChar w:fldCharType="separate"/>
            </w:r>
            <w:r>
              <w:rPr>
                <w:rFonts w:hint="default" w:ascii="Times New Roman" w:hAnsi="Times New Roman" w:cs="Times New Roman"/>
                <w:color w:val="auto"/>
                <w:sz w:val="21"/>
                <w:szCs w:val="21"/>
                <w:highlight w:val="none"/>
              </w:rPr>
              <w:t>②</w:t>
            </w:r>
            <w:r>
              <w:rPr>
                <w:rFonts w:hint="default" w:ascii="Times New Roman" w:hAnsi="Times New Roman" w:cs="Times New Roman"/>
                <w:bCs/>
                <w:color w:val="auto"/>
                <w:sz w:val="21"/>
                <w:szCs w:val="21"/>
                <w:highlight w:val="none"/>
              </w:rPr>
              <w:fldChar w:fldCharType="end"/>
            </w:r>
            <w:r>
              <w:rPr>
                <w:rFonts w:hint="default" w:ascii="Times New Roman" w:hAnsi="Times New Roman" w:cs="Times New Roman"/>
                <w:bCs/>
                <w:color w:val="auto"/>
                <w:sz w:val="21"/>
                <w:szCs w:val="21"/>
                <w:highlight w:val="none"/>
                <w:lang w:eastAsia="zh-CN"/>
              </w:rPr>
              <w:t>安装视频监控，对生产过程废气收集和治理设施运行情况24小时视频录像；</w:t>
            </w:r>
          </w:p>
        </w:tc>
      </w:tr>
    </w:tbl>
    <w:p>
      <w:pPr>
        <w:pStyle w:val="16"/>
        <w:jc w:val="center"/>
        <w:outlineLvl w:val="0"/>
        <w:rPr>
          <w:rFonts w:hint="default" w:ascii="Times New Roman" w:hAnsi="Times New Roman" w:cs="Times New Roman"/>
          <w:snapToGrid w:val="0"/>
          <w:color w:val="auto"/>
          <w:highlight w:val="green"/>
        </w:rPr>
        <w:sectPr>
          <w:pgSz w:w="11906" w:h="16838"/>
          <w:pgMar w:top="1803" w:right="1440" w:bottom="1803" w:left="144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snapToGrid w:val="0"/>
          <w:color w:val="auto"/>
          <w:highlight w:val="green"/>
        </w:rPr>
        <w:br w:type="page"/>
      </w:r>
    </w:p>
    <w:p>
      <w:pPr>
        <w:pStyle w:val="16"/>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六、结论</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97" w:hRule="atLeast"/>
          <w:jc w:val="center"/>
        </w:trPr>
        <w:tc>
          <w:tcPr>
            <w:tcW w:w="5000" w:type="pct"/>
            <w:noWrap w:val="0"/>
            <w:vAlign w:val="top"/>
          </w:tcPr>
          <w:p>
            <w:pPr>
              <w:adjustRightInd w:val="0"/>
              <w:snapToGrid w:val="0"/>
              <w:spacing w:line="360" w:lineRule="auto"/>
              <w:ind w:firstLine="420" w:firstLineChars="200"/>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河南省东恒锂电能源有限公司年产500万只锂离子电池项目位于新乡市凤泉区河南省新乡市凤泉区产业集聚区28#厂房一层，该项目的建设符合国家产业政策及相关规划，符合生态保护红线、资源利用上线、环境质量底线和环境准入负面清单等“三线一单”相关要求；项目采取的环保措施可行，能实现达标排放；各类污染物达标排放，环境保护措施可行。</w:t>
            </w:r>
          </w:p>
          <w:p>
            <w:pPr>
              <w:adjustRightInd w:val="0"/>
              <w:snapToGrid w:val="0"/>
              <w:spacing w:line="360" w:lineRule="auto"/>
              <w:ind w:firstLine="420" w:firstLineChars="200"/>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因此，在建设单位加强项目的环境管理，严格遵守“三同时”等环保制度，严格落实本报告书提出的各项环保措施，确保污染防治设施稳定运行和污染物达标排放前提下，从环境保护角度，建设项目环境影响可行。</w:t>
            </w:r>
          </w:p>
          <w:p>
            <w:pPr>
              <w:spacing w:line="360" w:lineRule="auto"/>
              <w:rPr>
                <w:rFonts w:hint="default" w:ascii="Times New Roman" w:hAnsi="Times New Roman" w:cs="Times New Roman"/>
                <w:color w:val="auto"/>
                <w:sz w:val="24"/>
                <w:highlight w:val="green"/>
              </w:rPr>
            </w:pPr>
          </w:p>
        </w:tc>
      </w:tr>
    </w:tbl>
    <w:p>
      <w:pPr>
        <w:rPr>
          <w:rFonts w:hint="default" w:ascii="Times New Roman" w:hAnsi="Times New Roman" w:cs="Times New Roman"/>
          <w:color w:val="auto"/>
          <w:highlight w:val="green"/>
        </w:rPr>
        <w:sectPr>
          <w:pgSz w:w="11906" w:h="16838"/>
          <w:pgMar w:top="1803" w:right="1440" w:bottom="1803" w:left="144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outlineLvl w:val="0"/>
        <w:rPr>
          <w:rFonts w:hint="default" w:ascii="Times New Roman" w:hAnsi="Times New Roman" w:eastAsia="黑体" w:cs="Times New Roman"/>
          <w:snapToGrid w:val="0"/>
          <w:color w:val="auto"/>
          <w:sz w:val="32"/>
          <w:szCs w:val="32"/>
          <w:highlight w:val="none"/>
        </w:rPr>
      </w:pPr>
      <w:r>
        <w:rPr>
          <w:rFonts w:hint="default" w:ascii="Times New Roman" w:hAnsi="Times New Roman" w:eastAsia="黑体" w:cs="Times New Roman"/>
          <w:snapToGrid w:val="0"/>
          <w:color w:val="auto"/>
          <w:sz w:val="32"/>
          <w:szCs w:val="32"/>
          <w:highlight w:val="none"/>
        </w:rPr>
        <w:t>附表</w:t>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方正小标宋_GBK" w:cs="Times New Roman"/>
          <w:snapToGrid w:val="0"/>
          <w:color w:val="auto"/>
          <w:sz w:val="38"/>
          <w:szCs w:val="38"/>
          <w:highlight w:val="none"/>
        </w:rPr>
      </w:pPr>
      <w:r>
        <w:rPr>
          <w:rFonts w:hint="default" w:ascii="Times New Roman" w:hAnsi="Times New Roman" w:eastAsia="方正小标宋_GBK" w:cs="Times New Roman"/>
          <w:snapToGrid w:val="0"/>
          <w:color w:val="auto"/>
          <w:sz w:val="38"/>
          <w:szCs w:val="38"/>
          <w:highlight w:val="none"/>
        </w:rPr>
        <w:t>建设项目污染物排放量汇总表</w:t>
      </w:r>
    </w:p>
    <w:tbl>
      <w:tblPr>
        <w:tblStyle w:val="21"/>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2175"/>
        <w:gridCol w:w="1570"/>
        <w:gridCol w:w="1473"/>
        <w:gridCol w:w="1473"/>
        <w:gridCol w:w="1473"/>
        <w:gridCol w:w="1473"/>
        <w:gridCol w:w="1473"/>
        <w:gridCol w:w="14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tcBorders>
              <w:tl2br w:val="single" w:color="auto" w:sz="4" w:space="0"/>
            </w:tcBorders>
            <w:noWrap w:val="0"/>
            <w:tcMar>
              <w:left w:w="28" w:type="dxa"/>
              <w:right w:w="28" w:type="dxa"/>
            </w:tcMar>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right"/>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项目</w:t>
            </w:r>
          </w:p>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left"/>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分类</w:t>
            </w:r>
          </w:p>
        </w:tc>
        <w:tc>
          <w:tcPr>
            <w:tcW w:w="2175" w:type="dxa"/>
            <w:noWrap w:val="0"/>
            <w:tcMar>
              <w:left w:w="28" w:type="dxa"/>
              <w:right w:w="28" w:type="dxa"/>
            </w:tcMar>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污染物名称</w:t>
            </w:r>
          </w:p>
        </w:tc>
        <w:tc>
          <w:tcPr>
            <w:tcW w:w="1570" w:type="dxa"/>
            <w:noWrap w:val="0"/>
            <w:tcMar>
              <w:left w:w="28" w:type="dxa"/>
              <w:right w:w="28" w:type="dxa"/>
            </w:tcMar>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现有工程</w:t>
            </w:r>
          </w:p>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=1\*GB3\*MERGEFORMAT</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①</w:t>
            </w:r>
            <w:r>
              <w:rPr>
                <w:rFonts w:hint="default" w:ascii="Times New Roman" w:hAnsi="Times New Roman" w:eastAsia="黑体" w:cs="Times New Roman"/>
                <w:snapToGrid w:val="0"/>
                <w:color w:val="auto"/>
                <w:spacing w:val="-6"/>
                <w:kern w:val="21"/>
                <w:szCs w:val="21"/>
                <w:highlight w:val="none"/>
              </w:rPr>
              <w:fldChar w:fldCharType="end"/>
            </w:r>
          </w:p>
        </w:tc>
        <w:tc>
          <w:tcPr>
            <w:tcW w:w="1473" w:type="dxa"/>
            <w:noWrap w:val="0"/>
            <w:tcMar>
              <w:left w:w="28" w:type="dxa"/>
              <w:right w:w="28" w:type="dxa"/>
            </w:tcMar>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现有工程</w:t>
            </w:r>
          </w:p>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许可排放量</w:t>
            </w:r>
          </w:p>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=2\*GB3\*MERGEFORMAT</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snapToGrid w:val="0"/>
                <w:color w:val="auto"/>
                <w:spacing w:val="-6"/>
                <w:kern w:val="21"/>
                <w:szCs w:val="21"/>
                <w:highlight w:val="none"/>
              </w:rPr>
              <w:t>②</w:t>
            </w:r>
            <w:r>
              <w:rPr>
                <w:rFonts w:hint="default" w:ascii="Times New Roman" w:hAnsi="Times New Roman" w:eastAsia="黑体" w:cs="Times New Roman"/>
                <w:snapToGrid w:val="0"/>
                <w:color w:val="auto"/>
                <w:spacing w:val="-6"/>
                <w:kern w:val="21"/>
                <w:szCs w:val="21"/>
                <w:highlight w:val="none"/>
              </w:rPr>
              <w:fldChar w:fldCharType="end"/>
            </w:r>
          </w:p>
        </w:tc>
        <w:tc>
          <w:tcPr>
            <w:tcW w:w="1473" w:type="dxa"/>
            <w:noWrap w:val="0"/>
            <w:tcMar>
              <w:left w:w="28" w:type="dxa"/>
              <w:right w:w="28" w:type="dxa"/>
            </w:tcMar>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在建工程</w:t>
            </w:r>
          </w:p>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=3\*GB3\*MERGEFORMAT</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③</w:t>
            </w:r>
            <w:r>
              <w:rPr>
                <w:rFonts w:hint="default" w:ascii="Times New Roman" w:hAnsi="Times New Roman" w:eastAsia="黑体" w:cs="Times New Roman"/>
                <w:snapToGrid w:val="0"/>
                <w:color w:val="auto"/>
                <w:spacing w:val="-6"/>
                <w:kern w:val="21"/>
                <w:szCs w:val="21"/>
                <w:highlight w:val="none"/>
              </w:rPr>
              <w:fldChar w:fldCharType="end"/>
            </w:r>
          </w:p>
        </w:tc>
        <w:tc>
          <w:tcPr>
            <w:tcW w:w="1473" w:type="dxa"/>
            <w:noWrap w:val="0"/>
            <w:tcMar>
              <w:left w:w="28" w:type="dxa"/>
              <w:right w:w="28" w:type="dxa"/>
            </w:tcMar>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本项目</w:t>
            </w:r>
          </w:p>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=4\*GB3\*MERGEFORMAT</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④</w:t>
            </w:r>
            <w:r>
              <w:rPr>
                <w:rFonts w:hint="default" w:ascii="Times New Roman" w:hAnsi="Times New Roman" w:eastAsia="黑体" w:cs="Times New Roman"/>
                <w:snapToGrid w:val="0"/>
                <w:color w:val="auto"/>
                <w:spacing w:val="-6"/>
                <w:kern w:val="21"/>
                <w:szCs w:val="21"/>
                <w:highlight w:val="none"/>
              </w:rPr>
              <w:fldChar w:fldCharType="end"/>
            </w:r>
          </w:p>
        </w:tc>
        <w:tc>
          <w:tcPr>
            <w:tcW w:w="1473" w:type="dxa"/>
            <w:noWrap w:val="0"/>
            <w:tcMar>
              <w:left w:w="28" w:type="dxa"/>
              <w:right w:w="28" w:type="dxa"/>
            </w:tcMar>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以新带老削减量</w:t>
            </w:r>
          </w:p>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（新建项目不填）</w:t>
            </w:r>
            <w:r>
              <w:rPr>
                <w:rFonts w:hint="default" w:ascii="Times New Roman" w:hAnsi="Times New Roman" w:eastAsia="黑体" w:cs="Times New Roman"/>
                <w:snapToGrid w:val="0"/>
                <w:color w:val="auto"/>
                <w:spacing w:val="-16"/>
                <w:kern w:val="21"/>
                <w:szCs w:val="21"/>
                <w:highlight w:val="none"/>
              </w:rPr>
              <w:fldChar w:fldCharType="begin"/>
            </w:r>
            <w:r>
              <w:rPr>
                <w:rFonts w:hint="default" w:ascii="Times New Roman" w:hAnsi="Times New Roman" w:eastAsia="黑体" w:cs="Times New Roman"/>
                <w:snapToGrid w:val="0"/>
                <w:color w:val="auto"/>
                <w:spacing w:val="-16"/>
                <w:kern w:val="21"/>
                <w:szCs w:val="21"/>
                <w:highlight w:val="none"/>
              </w:rPr>
              <w:instrText xml:space="preserve">=5\*GB3\*MERGEFORMAT</w:instrText>
            </w:r>
            <w:r>
              <w:rPr>
                <w:rFonts w:hint="default" w:ascii="Times New Roman" w:hAnsi="Times New Roman" w:eastAsia="黑体" w:cs="Times New Roman"/>
                <w:snapToGrid w:val="0"/>
                <w:color w:val="auto"/>
                <w:spacing w:val="-16"/>
                <w:kern w:val="21"/>
                <w:szCs w:val="21"/>
                <w:highlight w:val="none"/>
              </w:rPr>
              <w:fldChar w:fldCharType="separate"/>
            </w:r>
            <w:r>
              <w:rPr>
                <w:rFonts w:hint="default" w:ascii="Times New Roman" w:hAnsi="Times New Roman" w:eastAsia="黑体" w:cs="Times New Roman"/>
                <w:color w:val="auto"/>
                <w:kern w:val="2"/>
                <w:szCs w:val="21"/>
                <w:highlight w:val="none"/>
              </w:rPr>
              <w:t>⑤</w:t>
            </w:r>
            <w:r>
              <w:rPr>
                <w:rFonts w:hint="default" w:ascii="Times New Roman" w:hAnsi="Times New Roman" w:eastAsia="黑体" w:cs="Times New Roman"/>
                <w:snapToGrid w:val="0"/>
                <w:color w:val="auto"/>
                <w:spacing w:val="-16"/>
                <w:kern w:val="21"/>
                <w:szCs w:val="21"/>
                <w:highlight w:val="none"/>
              </w:rPr>
              <w:fldChar w:fldCharType="end"/>
            </w:r>
          </w:p>
        </w:tc>
        <w:tc>
          <w:tcPr>
            <w:tcW w:w="1473" w:type="dxa"/>
            <w:noWrap w:val="0"/>
            <w:tcMar>
              <w:left w:w="28" w:type="dxa"/>
              <w:right w:w="28" w:type="dxa"/>
            </w:tcMar>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本项目建成后</w:t>
            </w:r>
          </w:p>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全厂排放量（固体废物产生量）</w:t>
            </w:r>
            <w:r>
              <w:rPr>
                <w:rFonts w:hint="default" w:ascii="Times New Roman" w:hAnsi="Times New Roman" w:eastAsia="黑体" w:cs="Times New Roman"/>
                <w:snapToGrid w:val="0"/>
                <w:color w:val="auto"/>
                <w:spacing w:val="-16"/>
                <w:kern w:val="21"/>
                <w:szCs w:val="21"/>
                <w:highlight w:val="none"/>
              </w:rPr>
              <w:fldChar w:fldCharType="begin"/>
            </w:r>
            <w:r>
              <w:rPr>
                <w:rFonts w:hint="default" w:ascii="Times New Roman" w:hAnsi="Times New Roman" w:eastAsia="黑体" w:cs="Times New Roman"/>
                <w:snapToGrid w:val="0"/>
                <w:color w:val="auto"/>
                <w:spacing w:val="-16"/>
                <w:kern w:val="21"/>
                <w:szCs w:val="21"/>
                <w:highlight w:val="none"/>
              </w:rPr>
              <w:instrText xml:space="preserve">=6\*GB3\*MERGEFORMAT</w:instrText>
            </w:r>
            <w:r>
              <w:rPr>
                <w:rFonts w:hint="default" w:ascii="Times New Roman" w:hAnsi="Times New Roman" w:eastAsia="黑体" w:cs="Times New Roman"/>
                <w:snapToGrid w:val="0"/>
                <w:color w:val="auto"/>
                <w:spacing w:val="-16"/>
                <w:kern w:val="21"/>
                <w:szCs w:val="21"/>
                <w:highlight w:val="none"/>
              </w:rPr>
              <w:fldChar w:fldCharType="separate"/>
            </w:r>
            <w:r>
              <w:rPr>
                <w:rFonts w:hint="default" w:ascii="Times New Roman" w:hAnsi="Times New Roman" w:eastAsia="黑体" w:cs="Times New Roman"/>
                <w:color w:val="auto"/>
                <w:kern w:val="2"/>
                <w:szCs w:val="21"/>
                <w:highlight w:val="none"/>
              </w:rPr>
              <w:t>⑥</w:t>
            </w:r>
            <w:r>
              <w:rPr>
                <w:rFonts w:hint="default" w:ascii="Times New Roman" w:hAnsi="Times New Roman" w:eastAsia="黑体" w:cs="Times New Roman"/>
                <w:snapToGrid w:val="0"/>
                <w:color w:val="auto"/>
                <w:spacing w:val="-16"/>
                <w:kern w:val="21"/>
                <w:szCs w:val="21"/>
                <w:highlight w:val="none"/>
              </w:rPr>
              <w:fldChar w:fldCharType="end"/>
            </w:r>
          </w:p>
        </w:tc>
        <w:tc>
          <w:tcPr>
            <w:tcW w:w="1476" w:type="dxa"/>
            <w:noWrap w:val="0"/>
            <w:tcMar>
              <w:left w:w="28" w:type="dxa"/>
              <w:right w:w="28" w:type="dxa"/>
            </w:tcMar>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变化量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=7\*GB3\*MERGEFORMAT</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⑦</w:t>
            </w:r>
            <w:r>
              <w:rPr>
                <w:rFonts w:hint="default" w:ascii="Times New Roman" w:hAnsi="Times New Roman" w:eastAsia="黑体" w:cs="Times New Roman"/>
                <w:snapToGrid w:val="0"/>
                <w:color w:val="auto"/>
                <w:spacing w:val="-6"/>
                <w:kern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废气</w:t>
            </w:r>
          </w:p>
        </w:tc>
        <w:tc>
          <w:tcPr>
            <w:tcW w:w="2175"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cs="Times New Roman"/>
                <w:snapToGrid w:val="0"/>
                <w:color w:val="auto"/>
                <w:kern w:val="21"/>
                <w:sz w:val="21"/>
                <w:szCs w:val="21"/>
                <w:highlight w:val="none"/>
                <w:lang w:val="en-US" w:eastAsia="zh-CN"/>
              </w:rPr>
              <w:t>非甲烷总烃</w:t>
            </w:r>
            <w:r>
              <w:rPr>
                <w:rFonts w:hint="default" w:ascii="Times New Roman" w:hAnsi="Times New Roman" w:cs="Times New Roman"/>
                <w:snapToGrid w:val="0"/>
                <w:color w:val="auto"/>
                <w:kern w:val="21"/>
                <w:sz w:val="21"/>
                <w:szCs w:val="21"/>
                <w:highlight w:val="none"/>
                <w:lang w:eastAsia="zh-CN"/>
              </w:rPr>
              <w:t>（</w:t>
            </w:r>
            <w:r>
              <w:rPr>
                <w:rFonts w:hint="default" w:ascii="Times New Roman" w:hAnsi="Times New Roman" w:cs="Times New Roman"/>
                <w:snapToGrid w:val="0"/>
                <w:color w:val="auto"/>
                <w:kern w:val="21"/>
                <w:sz w:val="21"/>
                <w:szCs w:val="21"/>
                <w:highlight w:val="none"/>
                <w:lang w:val="en-US" w:eastAsia="zh-CN"/>
              </w:rPr>
              <w:t>t/a</w:t>
            </w:r>
            <w:r>
              <w:rPr>
                <w:rFonts w:hint="default" w:ascii="Times New Roman" w:hAnsi="Times New Roman" w:cs="Times New Roman"/>
                <w:snapToGrid w:val="0"/>
                <w:color w:val="auto"/>
                <w:kern w:val="21"/>
                <w:sz w:val="21"/>
                <w:szCs w:val="21"/>
                <w:highlight w:val="none"/>
                <w:lang w:eastAsia="zh-CN"/>
              </w:rPr>
              <w:t>）</w:t>
            </w:r>
          </w:p>
        </w:tc>
        <w:tc>
          <w:tcPr>
            <w:tcW w:w="1570"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0.075</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0.075</w:t>
            </w:r>
          </w:p>
        </w:tc>
        <w:tc>
          <w:tcPr>
            <w:tcW w:w="14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废水</w:t>
            </w:r>
          </w:p>
        </w:tc>
        <w:tc>
          <w:tcPr>
            <w:tcW w:w="2175"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废水量（</w:t>
            </w:r>
            <w:r>
              <w:rPr>
                <w:rFonts w:hint="default" w:ascii="Times New Roman" w:hAnsi="Times New Roman" w:eastAsia="宋体" w:cs="Times New Roman"/>
                <w:snapToGrid w:val="0"/>
                <w:color w:val="auto"/>
                <w:kern w:val="21"/>
                <w:sz w:val="21"/>
                <w:szCs w:val="21"/>
                <w:highlight w:val="none"/>
                <w:lang w:val="en-US" w:eastAsia="zh-CN"/>
              </w:rPr>
              <w:t>m</w:t>
            </w:r>
            <w:r>
              <w:rPr>
                <w:rFonts w:hint="default" w:ascii="Times New Roman" w:hAnsi="Times New Roman" w:eastAsia="宋体" w:cs="Times New Roman"/>
                <w:snapToGrid w:val="0"/>
                <w:color w:val="auto"/>
                <w:kern w:val="21"/>
                <w:sz w:val="21"/>
                <w:szCs w:val="21"/>
                <w:highlight w:val="none"/>
                <w:vertAlign w:val="superscript"/>
                <w:lang w:val="en-US" w:eastAsia="zh-CN"/>
              </w:rPr>
              <w:t>3</w:t>
            </w:r>
            <w:r>
              <w:rPr>
                <w:rFonts w:hint="default" w:ascii="Times New Roman" w:hAnsi="Times New Roman" w:eastAsia="宋体" w:cs="Times New Roman"/>
                <w:snapToGrid w:val="0"/>
                <w:color w:val="auto"/>
                <w:kern w:val="21"/>
                <w:sz w:val="21"/>
                <w:szCs w:val="21"/>
                <w:highlight w:val="none"/>
                <w:lang w:val="en-US" w:eastAsia="zh-CN"/>
              </w:rPr>
              <w:t>/a</w:t>
            </w:r>
            <w:r>
              <w:rPr>
                <w:rFonts w:hint="default" w:ascii="Times New Roman" w:hAnsi="Times New Roman" w:eastAsia="宋体" w:cs="Times New Roman"/>
                <w:snapToGrid w:val="0"/>
                <w:color w:val="auto"/>
                <w:kern w:val="21"/>
                <w:sz w:val="21"/>
                <w:szCs w:val="21"/>
                <w:highlight w:val="none"/>
                <w:lang w:eastAsia="zh-CN"/>
              </w:rPr>
              <w:t>）</w:t>
            </w:r>
          </w:p>
        </w:tc>
        <w:tc>
          <w:tcPr>
            <w:tcW w:w="1570"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288</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288</w:t>
            </w:r>
          </w:p>
        </w:tc>
        <w:tc>
          <w:tcPr>
            <w:tcW w:w="1476"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+288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p>
        </w:tc>
        <w:tc>
          <w:tcPr>
            <w:tcW w:w="21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COD</w:t>
            </w:r>
            <w:r>
              <w:rPr>
                <w:rFonts w:hint="default" w:ascii="Times New Roman" w:hAnsi="Times New Roman" w:cs="Times New Roman"/>
                <w:snapToGrid w:val="0"/>
                <w:color w:val="auto"/>
                <w:kern w:val="21"/>
                <w:sz w:val="21"/>
                <w:szCs w:val="21"/>
                <w:highlight w:val="none"/>
                <w:lang w:eastAsia="zh-CN"/>
              </w:rPr>
              <w:t>（</w:t>
            </w:r>
            <w:r>
              <w:rPr>
                <w:rFonts w:hint="default" w:ascii="Times New Roman" w:hAnsi="Times New Roman" w:cs="Times New Roman"/>
                <w:snapToGrid w:val="0"/>
                <w:color w:val="auto"/>
                <w:kern w:val="21"/>
                <w:sz w:val="21"/>
                <w:szCs w:val="21"/>
                <w:highlight w:val="none"/>
                <w:lang w:val="en-US" w:eastAsia="zh-CN"/>
              </w:rPr>
              <w:t>t/a</w:t>
            </w:r>
            <w:r>
              <w:rPr>
                <w:rFonts w:hint="default" w:ascii="Times New Roman" w:hAnsi="Times New Roman" w:cs="Times New Roman"/>
                <w:snapToGrid w:val="0"/>
                <w:color w:val="auto"/>
                <w:kern w:val="21"/>
                <w:sz w:val="21"/>
                <w:szCs w:val="21"/>
                <w:highlight w:val="none"/>
                <w:lang w:eastAsia="zh-CN"/>
              </w:rPr>
              <w:t>）</w:t>
            </w:r>
          </w:p>
        </w:tc>
        <w:tc>
          <w:tcPr>
            <w:tcW w:w="1570"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0.0115</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0.0115</w:t>
            </w:r>
          </w:p>
        </w:tc>
        <w:tc>
          <w:tcPr>
            <w:tcW w:w="14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+0.0115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p>
        </w:tc>
        <w:tc>
          <w:tcPr>
            <w:tcW w:w="21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SS</w:t>
            </w:r>
            <w:r>
              <w:rPr>
                <w:rFonts w:hint="default" w:ascii="Times New Roman" w:hAnsi="Times New Roman" w:cs="Times New Roman"/>
                <w:snapToGrid w:val="0"/>
                <w:color w:val="auto"/>
                <w:kern w:val="21"/>
                <w:sz w:val="21"/>
                <w:szCs w:val="21"/>
                <w:highlight w:val="none"/>
                <w:lang w:eastAsia="zh-CN"/>
              </w:rPr>
              <w:t>（</w:t>
            </w:r>
            <w:r>
              <w:rPr>
                <w:rFonts w:hint="default" w:ascii="Times New Roman" w:hAnsi="Times New Roman" w:cs="Times New Roman"/>
                <w:snapToGrid w:val="0"/>
                <w:color w:val="auto"/>
                <w:kern w:val="21"/>
                <w:sz w:val="21"/>
                <w:szCs w:val="21"/>
                <w:highlight w:val="none"/>
                <w:lang w:val="en-US" w:eastAsia="zh-CN"/>
              </w:rPr>
              <w:t>t/a</w:t>
            </w:r>
            <w:r>
              <w:rPr>
                <w:rFonts w:hint="default" w:ascii="Times New Roman" w:hAnsi="Times New Roman" w:cs="Times New Roman"/>
                <w:snapToGrid w:val="0"/>
                <w:color w:val="auto"/>
                <w:kern w:val="21"/>
                <w:sz w:val="21"/>
                <w:szCs w:val="21"/>
                <w:highlight w:val="none"/>
                <w:lang w:eastAsia="zh-CN"/>
              </w:rPr>
              <w:t>）</w:t>
            </w:r>
          </w:p>
        </w:tc>
        <w:tc>
          <w:tcPr>
            <w:tcW w:w="15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0.0029</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0.0029</w:t>
            </w:r>
          </w:p>
        </w:tc>
        <w:tc>
          <w:tcPr>
            <w:tcW w:w="14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+0.0029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p>
        </w:tc>
        <w:tc>
          <w:tcPr>
            <w:tcW w:w="21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NH</w:t>
            </w:r>
            <w:r>
              <w:rPr>
                <w:rFonts w:hint="default" w:ascii="Times New Roman" w:hAnsi="Times New Roman" w:eastAsia="宋体" w:cs="Times New Roman"/>
                <w:snapToGrid w:val="0"/>
                <w:color w:val="auto"/>
                <w:kern w:val="21"/>
                <w:sz w:val="21"/>
                <w:szCs w:val="21"/>
                <w:highlight w:val="none"/>
                <w:vertAlign w:val="subscript"/>
                <w:lang w:val="en-US" w:eastAsia="zh-CN" w:bidi="ar-SA"/>
              </w:rPr>
              <w:t>3</w:t>
            </w:r>
            <w:r>
              <w:rPr>
                <w:rFonts w:hint="default" w:ascii="Times New Roman" w:hAnsi="Times New Roman" w:eastAsia="宋体" w:cs="Times New Roman"/>
                <w:snapToGrid w:val="0"/>
                <w:color w:val="auto"/>
                <w:kern w:val="21"/>
                <w:sz w:val="21"/>
                <w:szCs w:val="21"/>
                <w:highlight w:val="none"/>
                <w:lang w:val="en-US" w:eastAsia="zh-CN" w:bidi="ar-SA"/>
              </w:rPr>
              <w:t>-N</w:t>
            </w:r>
            <w:r>
              <w:rPr>
                <w:rFonts w:hint="default" w:ascii="Times New Roman" w:hAnsi="Times New Roman" w:cs="Times New Roman"/>
                <w:snapToGrid w:val="0"/>
                <w:color w:val="auto"/>
                <w:kern w:val="21"/>
                <w:sz w:val="21"/>
                <w:szCs w:val="21"/>
                <w:highlight w:val="none"/>
                <w:lang w:eastAsia="zh-CN"/>
              </w:rPr>
              <w:t>（</w:t>
            </w:r>
            <w:r>
              <w:rPr>
                <w:rFonts w:hint="default" w:ascii="Times New Roman" w:hAnsi="Times New Roman" w:cs="Times New Roman"/>
                <w:snapToGrid w:val="0"/>
                <w:color w:val="auto"/>
                <w:kern w:val="21"/>
                <w:sz w:val="21"/>
                <w:szCs w:val="21"/>
                <w:highlight w:val="none"/>
                <w:lang w:val="en-US" w:eastAsia="zh-CN"/>
              </w:rPr>
              <w:t>t/a</w:t>
            </w:r>
            <w:r>
              <w:rPr>
                <w:rFonts w:hint="default" w:ascii="Times New Roman" w:hAnsi="Times New Roman" w:cs="Times New Roman"/>
                <w:snapToGrid w:val="0"/>
                <w:color w:val="auto"/>
                <w:kern w:val="21"/>
                <w:sz w:val="21"/>
                <w:szCs w:val="21"/>
                <w:highlight w:val="none"/>
                <w:lang w:eastAsia="zh-CN"/>
              </w:rPr>
              <w:t>）</w:t>
            </w:r>
          </w:p>
        </w:tc>
        <w:tc>
          <w:tcPr>
            <w:tcW w:w="15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0.0006</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0.0006</w:t>
            </w:r>
          </w:p>
        </w:tc>
        <w:tc>
          <w:tcPr>
            <w:tcW w:w="14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p>
        </w:tc>
        <w:tc>
          <w:tcPr>
            <w:tcW w:w="21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TP</w:t>
            </w:r>
            <w:r>
              <w:rPr>
                <w:rFonts w:hint="default" w:ascii="Times New Roman" w:hAnsi="Times New Roman" w:cs="Times New Roman"/>
                <w:snapToGrid w:val="0"/>
                <w:color w:val="auto"/>
                <w:kern w:val="21"/>
                <w:sz w:val="21"/>
                <w:szCs w:val="21"/>
                <w:highlight w:val="none"/>
                <w:lang w:eastAsia="zh-CN"/>
              </w:rPr>
              <w:t>（</w:t>
            </w:r>
            <w:r>
              <w:rPr>
                <w:rFonts w:hint="default" w:ascii="Times New Roman" w:hAnsi="Times New Roman" w:cs="Times New Roman"/>
                <w:snapToGrid w:val="0"/>
                <w:color w:val="auto"/>
                <w:kern w:val="21"/>
                <w:sz w:val="21"/>
                <w:szCs w:val="21"/>
                <w:highlight w:val="none"/>
                <w:lang w:val="en-US" w:eastAsia="zh-CN"/>
              </w:rPr>
              <w:t>t/a</w:t>
            </w:r>
            <w:r>
              <w:rPr>
                <w:rFonts w:hint="default" w:ascii="Times New Roman" w:hAnsi="Times New Roman" w:cs="Times New Roman"/>
                <w:snapToGrid w:val="0"/>
                <w:color w:val="auto"/>
                <w:kern w:val="21"/>
                <w:sz w:val="21"/>
                <w:szCs w:val="21"/>
                <w:highlight w:val="none"/>
                <w:lang w:eastAsia="zh-CN"/>
              </w:rPr>
              <w:t>）</w:t>
            </w:r>
          </w:p>
        </w:tc>
        <w:tc>
          <w:tcPr>
            <w:tcW w:w="15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0.0001</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0.0001</w:t>
            </w:r>
          </w:p>
        </w:tc>
        <w:tc>
          <w:tcPr>
            <w:tcW w:w="14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p>
        </w:tc>
        <w:tc>
          <w:tcPr>
            <w:tcW w:w="21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TN</w:t>
            </w:r>
            <w:r>
              <w:rPr>
                <w:rFonts w:hint="default" w:ascii="Times New Roman" w:hAnsi="Times New Roman" w:cs="Times New Roman"/>
                <w:snapToGrid w:val="0"/>
                <w:color w:val="auto"/>
                <w:kern w:val="21"/>
                <w:sz w:val="21"/>
                <w:szCs w:val="21"/>
                <w:highlight w:val="none"/>
                <w:lang w:eastAsia="zh-CN"/>
              </w:rPr>
              <w:t>（</w:t>
            </w:r>
            <w:r>
              <w:rPr>
                <w:rFonts w:hint="default" w:ascii="Times New Roman" w:hAnsi="Times New Roman" w:cs="Times New Roman"/>
                <w:snapToGrid w:val="0"/>
                <w:color w:val="auto"/>
                <w:kern w:val="21"/>
                <w:sz w:val="21"/>
                <w:szCs w:val="21"/>
                <w:highlight w:val="none"/>
                <w:lang w:val="en-US" w:eastAsia="zh-CN"/>
              </w:rPr>
              <w:t>t/a</w:t>
            </w:r>
            <w:r>
              <w:rPr>
                <w:rFonts w:hint="default" w:ascii="Times New Roman" w:hAnsi="Times New Roman" w:cs="Times New Roman"/>
                <w:snapToGrid w:val="0"/>
                <w:color w:val="auto"/>
                <w:kern w:val="21"/>
                <w:sz w:val="21"/>
                <w:szCs w:val="21"/>
                <w:highlight w:val="none"/>
                <w:lang w:eastAsia="zh-CN"/>
              </w:rPr>
              <w:t>）</w:t>
            </w:r>
          </w:p>
        </w:tc>
        <w:tc>
          <w:tcPr>
            <w:tcW w:w="15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0.0043</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0.0043</w:t>
            </w:r>
          </w:p>
        </w:tc>
        <w:tc>
          <w:tcPr>
            <w:tcW w:w="14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+0.0043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危险废物</w:t>
            </w:r>
          </w:p>
        </w:tc>
        <w:tc>
          <w:tcPr>
            <w:tcW w:w="217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废润滑油</w:t>
            </w:r>
            <w:r>
              <w:rPr>
                <w:rFonts w:hint="default" w:ascii="Times New Roman" w:hAnsi="Times New Roman" w:cs="Times New Roman"/>
                <w:snapToGrid w:val="0"/>
                <w:color w:val="auto"/>
                <w:kern w:val="21"/>
                <w:sz w:val="21"/>
                <w:szCs w:val="21"/>
                <w:highlight w:val="none"/>
                <w:lang w:eastAsia="zh-CN"/>
              </w:rPr>
              <w:t>（</w:t>
            </w:r>
            <w:r>
              <w:rPr>
                <w:rFonts w:hint="default" w:ascii="Times New Roman" w:hAnsi="Times New Roman" w:cs="Times New Roman"/>
                <w:snapToGrid w:val="0"/>
                <w:color w:val="auto"/>
                <w:kern w:val="21"/>
                <w:sz w:val="21"/>
                <w:szCs w:val="21"/>
                <w:highlight w:val="none"/>
                <w:lang w:val="en-US" w:eastAsia="zh-CN"/>
              </w:rPr>
              <w:t>t/a</w:t>
            </w:r>
            <w:r>
              <w:rPr>
                <w:rFonts w:hint="default" w:ascii="Times New Roman" w:hAnsi="Times New Roman" w:cs="Times New Roman"/>
                <w:snapToGrid w:val="0"/>
                <w:color w:val="auto"/>
                <w:kern w:val="21"/>
                <w:sz w:val="21"/>
                <w:szCs w:val="21"/>
                <w:highlight w:val="none"/>
                <w:lang w:eastAsia="zh-CN"/>
              </w:rPr>
              <w:t>）</w:t>
            </w:r>
          </w:p>
        </w:tc>
        <w:tc>
          <w:tcPr>
            <w:tcW w:w="1570"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0.2</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snapToGrid w:val="0"/>
                <w:color w:val="auto"/>
                <w:kern w:val="21"/>
                <w:sz w:val="21"/>
                <w:szCs w:val="21"/>
                <w:highlight w:val="none"/>
                <w:lang w:val="en-US" w:eastAsia="zh-CN" w:bidi="ar-SA"/>
              </w:rPr>
            </w:pPr>
            <w:r>
              <w:rPr>
                <w:rFonts w:hint="default"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0.2</w:t>
            </w:r>
          </w:p>
        </w:tc>
        <w:tc>
          <w:tcPr>
            <w:tcW w:w="14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废UV灯管</w:t>
            </w:r>
            <w:r>
              <w:rPr>
                <w:rFonts w:hint="default" w:ascii="Times New Roman" w:hAnsi="Times New Roman" w:cs="Times New Roman"/>
                <w:snapToGrid w:val="0"/>
                <w:color w:val="auto"/>
                <w:kern w:val="21"/>
                <w:sz w:val="21"/>
                <w:szCs w:val="21"/>
                <w:highlight w:val="none"/>
                <w:lang w:eastAsia="zh-CN"/>
              </w:rPr>
              <w:t>（</w:t>
            </w:r>
            <w:r>
              <w:rPr>
                <w:rFonts w:hint="default" w:ascii="Times New Roman" w:hAnsi="Times New Roman" w:cs="Times New Roman"/>
                <w:snapToGrid w:val="0"/>
                <w:color w:val="auto"/>
                <w:kern w:val="21"/>
                <w:sz w:val="21"/>
                <w:szCs w:val="21"/>
                <w:highlight w:val="none"/>
                <w:lang w:val="en-US" w:eastAsia="zh-CN"/>
              </w:rPr>
              <w:t>t/a</w:t>
            </w:r>
            <w:r>
              <w:rPr>
                <w:rFonts w:hint="default" w:ascii="Times New Roman" w:hAnsi="Times New Roman" w:cs="Times New Roman"/>
                <w:snapToGrid w:val="0"/>
                <w:color w:val="auto"/>
                <w:kern w:val="21"/>
                <w:sz w:val="21"/>
                <w:szCs w:val="21"/>
                <w:highlight w:val="none"/>
                <w:lang w:eastAsia="zh-CN"/>
              </w:rPr>
              <w:t>）</w:t>
            </w:r>
          </w:p>
        </w:tc>
        <w:tc>
          <w:tcPr>
            <w:tcW w:w="1570"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0.008</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snapToGrid w:val="0"/>
                <w:color w:val="auto"/>
                <w:kern w:val="21"/>
                <w:sz w:val="21"/>
                <w:szCs w:val="21"/>
                <w:highlight w:val="none"/>
                <w:lang w:val="en-US" w:eastAsia="zh-CN" w:bidi="ar-SA"/>
              </w:rPr>
            </w:pPr>
            <w:r>
              <w:rPr>
                <w:rFonts w:hint="default"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0.008</w:t>
            </w:r>
          </w:p>
        </w:tc>
        <w:tc>
          <w:tcPr>
            <w:tcW w:w="14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废活性炭</w:t>
            </w:r>
            <w:r>
              <w:rPr>
                <w:rFonts w:hint="default" w:ascii="Times New Roman" w:hAnsi="Times New Roman" w:cs="Times New Roman"/>
                <w:snapToGrid w:val="0"/>
                <w:color w:val="auto"/>
                <w:kern w:val="21"/>
                <w:sz w:val="21"/>
                <w:szCs w:val="21"/>
                <w:highlight w:val="none"/>
                <w:lang w:eastAsia="zh-CN"/>
              </w:rPr>
              <w:t>（</w:t>
            </w:r>
            <w:r>
              <w:rPr>
                <w:rFonts w:hint="default" w:ascii="Times New Roman" w:hAnsi="Times New Roman" w:cs="Times New Roman"/>
                <w:snapToGrid w:val="0"/>
                <w:color w:val="auto"/>
                <w:kern w:val="21"/>
                <w:sz w:val="21"/>
                <w:szCs w:val="21"/>
                <w:highlight w:val="none"/>
                <w:lang w:val="en-US" w:eastAsia="zh-CN"/>
              </w:rPr>
              <w:t>t/a</w:t>
            </w:r>
            <w:r>
              <w:rPr>
                <w:rFonts w:hint="default" w:ascii="Times New Roman" w:hAnsi="Times New Roman" w:cs="Times New Roman"/>
                <w:snapToGrid w:val="0"/>
                <w:color w:val="auto"/>
                <w:kern w:val="21"/>
                <w:sz w:val="21"/>
                <w:szCs w:val="21"/>
                <w:highlight w:val="none"/>
                <w:lang w:eastAsia="zh-CN"/>
              </w:rPr>
              <w:t>）</w:t>
            </w:r>
          </w:p>
        </w:tc>
        <w:tc>
          <w:tcPr>
            <w:tcW w:w="1570"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0.9375</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snapToGrid w:val="0"/>
                <w:color w:val="auto"/>
                <w:kern w:val="21"/>
                <w:sz w:val="21"/>
                <w:szCs w:val="21"/>
                <w:highlight w:val="none"/>
                <w:lang w:val="en-US" w:eastAsia="zh-CN" w:bidi="ar-SA"/>
              </w:rPr>
            </w:pPr>
            <w:r>
              <w:rPr>
                <w:rFonts w:hint="default"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0.9375</w:t>
            </w:r>
          </w:p>
        </w:tc>
        <w:tc>
          <w:tcPr>
            <w:tcW w:w="14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+0.9375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一般工业</w:t>
            </w:r>
          </w:p>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固体废物</w:t>
            </w:r>
          </w:p>
        </w:tc>
        <w:tc>
          <w:tcPr>
            <w:tcW w:w="217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原辅材料废包装（t/a）</w:t>
            </w:r>
          </w:p>
        </w:tc>
        <w:tc>
          <w:tcPr>
            <w:tcW w:w="1570"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0.5</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snapToGrid w:val="0"/>
                <w:color w:val="auto"/>
                <w:kern w:val="21"/>
                <w:sz w:val="21"/>
                <w:szCs w:val="21"/>
                <w:highlight w:val="none"/>
                <w:lang w:val="en-US" w:eastAsia="zh-CN" w:bidi="ar-SA"/>
              </w:rPr>
            </w:pPr>
            <w:r>
              <w:rPr>
                <w:rFonts w:hint="default"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0.5</w:t>
            </w:r>
          </w:p>
        </w:tc>
        <w:tc>
          <w:tcPr>
            <w:tcW w:w="14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分切</w:t>
            </w:r>
            <w:r>
              <w:rPr>
                <w:rFonts w:hint="default" w:ascii="Times New Roman" w:hAnsi="Times New Roman" w:eastAsia="宋体" w:cs="Times New Roman"/>
                <w:snapToGrid w:val="0"/>
                <w:color w:val="auto"/>
                <w:kern w:val="21"/>
                <w:sz w:val="21"/>
                <w:szCs w:val="21"/>
                <w:highlight w:val="none"/>
                <w:lang w:val="en-US" w:eastAsia="zh-CN" w:bidi="ar-SA"/>
              </w:rPr>
              <w:t>废边角料</w:t>
            </w:r>
            <w:r>
              <w:rPr>
                <w:rFonts w:hint="default" w:ascii="Times New Roman" w:hAnsi="Times New Roman" w:cs="Times New Roman"/>
                <w:snapToGrid w:val="0"/>
                <w:color w:val="auto"/>
                <w:kern w:val="21"/>
                <w:sz w:val="21"/>
                <w:szCs w:val="21"/>
                <w:highlight w:val="none"/>
                <w:lang w:eastAsia="zh-CN"/>
              </w:rPr>
              <w:t>（</w:t>
            </w:r>
            <w:r>
              <w:rPr>
                <w:rFonts w:hint="default" w:ascii="Times New Roman" w:hAnsi="Times New Roman" w:cs="Times New Roman"/>
                <w:snapToGrid w:val="0"/>
                <w:color w:val="auto"/>
                <w:kern w:val="21"/>
                <w:sz w:val="21"/>
                <w:szCs w:val="21"/>
                <w:highlight w:val="none"/>
                <w:lang w:val="en-US" w:eastAsia="zh-CN"/>
              </w:rPr>
              <w:t>t/a</w:t>
            </w:r>
            <w:r>
              <w:rPr>
                <w:rFonts w:hint="default" w:ascii="Times New Roman" w:hAnsi="Times New Roman" w:cs="Times New Roman"/>
                <w:snapToGrid w:val="0"/>
                <w:color w:val="auto"/>
                <w:kern w:val="21"/>
                <w:sz w:val="21"/>
                <w:szCs w:val="21"/>
                <w:highlight w:val="none"/>
                <w:lang w:eastAsia="zh-CN"/>
              </w:rPr>
              <w:t>）</w:t>
            </w:r>
          </w:p>
        </w:tc>
        <w:tc>
          <w:tcPr>
            <w:tcW w:w="1570"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3</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snapToGrid w:val="0"/>
                <w:color w:val="auto"/>
                <w:kern w:val="21"/>
                <w:sz w:val="21"/>
                <w:szCs w:val="21"/>
                <w:highlight w:val="none"/>
                <w:lang w:val="en-US" w:eastAsia="zh-CN" w:bidi="ar-SA"/>
              </w:rPr>
            </w:pPr>
            <w:r>
              <w:rPr>
                <w:rFonts w:hint="default"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3</w:t>
            </w:r>
          </w:p>
        </w:tc>
        <w:tc>
          <w:tcPr>
            <w:tcW w:w="14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不合格电池（</w:t>
            </w:r>
            <w:r>
              <w:rPr>
                <w:rFonts w:hint="default" w:ascii="Times New Roman" w:hAnsi="Times New Roman" w:cs="Times New Roman"/>
                <w:snapToGrid w:val="0"/>
                <w:color w:val="auto"/>
                <w:kern w:val="21"/>
                <w:sz w:val="21"/>
                <w:szCs w:val="21"/>
                <w:highlight w:val="none"/>
                <w:lang w:val="en-US" w:eastAsia="zh-CN"/>
              </w:rPr>
              <w:t>t/a</w:t>
            </w:r>
            <w:r>
              <w:rPr>
                <w:rFonts w:hint="eastAsia" w:cs="Times New Roman"/>
                <w:snapToGrid w:val="0"/>
                <w:color w:val="auto"/>
                <w:kern w:val="21"/>
                <w:sz w:val="21"/>
                <w:szCs w:val="21"/>
                <w:highlight w:val="none"/>
                <w:lang w:val="en-US" w:eastAsia="zh-CN" w:bidi="ar-SA"/>
              </w:rPr>
              <w:t>）</w:t>
            </w:r>
          </w:p>
        </w:tc>
        <w:tc>
          <w:tcPr>
            <w:tcW w:w="1570"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14</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snapToGrid w:val="0"/>
                <w:color w:val="auto"/>
                <w:kern w:val="21"/>
                <w:sz w:val="21"/>
                <w:szCs w:val="21"/>
                <w:highlight w:val="none"/>
                <w:lang w:val="en-US" w:eastAsia="zh-CN" w:bidi="ar-SA"/>
              </w:rPr>
            </w:pPr>
            <w:r>
              <w:rPr>
                <w:rFonts w:hint="default"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14</w:t>
            </w:r>
          </w:p>
        </w:tc>
        <w:tc>
          <w:tcPr>
            <w:tcW w:w="14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污水设施污泥（t/a）</w:t>
            </w:r>
          </w:p>
        </w:tc>
        <w:tc>
          <w:tcPr>
            <w:tcW w:w="1570"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0.0233</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snapToGrid w:val="0"/>
                <w:color w:val="auto"/>
                <w:kern w:val="21"/>
                <w:sz w:val="21"/>
                <w:szCs w:val="21"/>
                <w:highlight w:val="none"/>
                <w:lang w:val="en-US" w:eastAsia="zh-CN" w:bidi="ar-SA"/>
              </w:rPr>
            </w:pPr>
            <w:r>
              <w:rPr>
                <w:rFonts w:hint="default"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0.0233</w:t>
            </w:r>
          </w:p>
        </w:tc>
        <w:tc>
          <w:tcPr>
            <w:tcW w:w="14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eastAsia"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0.0233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生活垃圾</w:t>
            </w:r>
            <w:r>
              <w:rPr>
                <w:rFonts w:hint="default" w:ascii="Times New Roman" w:hAnsi="Times New Roman" w:cs="Times New Roman"/>
                <w:snapToGrid w:val="0"/>
                <w:color w:val="auto"/>
                <w:kern w:val="21"/>
                <w:sz w:val="21"/>
                <w:szCs w:val="21"/>
                <w:highlight w:val="none"/>
                <w:lang w:eastAsia="zh-CN"/>
              </w:rPr>
              <w:t>（</w:t>
            </w:r>
            <w:r>
              <w:rPr>
                <w:rFonts w:hint="default" w:ascii="Times New Roman" w:hAnsi="Times New Roman" w:cs="Times New Roman"/>
                <w:snapToGrid w:val="0"/>
                <w:color w:val="auto"/>
                <w:kern w:val="21"/>
                <w:sz w:val="21"/>
                <w:szCs w:val="21"/>
                <w:highlight w:val="none"/>
                <w:lang w:val="en-US" w:eastAsia="zh-CN"/>
              </w:rPr>
              <w:t>t/a</w:t>
            </w:r>
            <w:r>
              <w:rPr>
                <w:rFonts w:hint="default" w:ascii="Times New Roman" w:hAnsi="Times New Roman" w:cs="Times New Roman"/>
                <w:snapToGrid w:val="0"/>
                <w:color w:val="auto"/>
                <w:kern w:val="21"/>
                <w:sz w:val="21"/>
                <w:szCs w:val="21"/>
                <w:highlight w:val="none"/>
                <w:lang w:eastAsia="zh-CN"/>
              </w:rPr>
              <w:t>）</w:t>
            </w:r>
          </w:p>
        </w:tc>
        <w:tc>
          <w:tcPr>
            <w:tcW w:w="1570"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5"/>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4.5</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cs="Times New Roman"/>
                <w:snapToGrid w:val="0"/>
                <w:color w:val="auto"/>
                <w:kern w:val="21"/>
                <w:sz w:val="21"/>
                <w:szCs w:val="21"/>
                <w:highlight w:val="none"/>
                <w:lang w:val="en-US" w:eastAsia="zh-CN" w:bidi="ar-SA"/>
              </w:rPr>
            </w:pPr>
            <w:r>
              <w:rPr>
                <w:rFonts w:hint="default"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4.5</w:t>
            </w:r>
          </w:p>
        </w:tc>
        <w:tc>
          <w:tcPr>
            <w:tcW w:w="14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+4.5</w:t>
            </w:r>
          </w:p>
        </w:tc>
      </w:tr>
    </w:tbl>
    <w:p>
      <w:pPr>
        <w:pStyle w:val="35"/>
        <w:spacing w:before="192" w:beforeLines="80" w:after="24"/>
        <w:jc w:val="left"/>
        <w:rPr>
          <w:rFonts w:hint="default" w:ascii="Times New Roman" w:hAnsi="Times New Roman" w:cs="Times New Roman"/>
          <w:snapToGrid w:val="0"/>
          <w:color w:val="auto"/>
          <w:spacing w:val="-6"/>
          <w:kern w:val="21"/>
          <w:szCs w:val="21"/>
          <w:highlight w:val="none"/>
        </w:rPr>
        <w:sectPr>
          <w:footerReference r:id="rId8" w:type="default"/>
          <w:pgSz w:w="16838" w:h="11906" w:orient="landscape"/>
          <w:pgMar w:top="1803" w:right="1440" w:bottom="1803" w:left="144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=6\*GB3\*MERGEFORMAT</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=1\*GB3\*MERGEFORMAT</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=3\*GB3\*MERGEFORMAT</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=4\*GB3\*MERGEFORMAT</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=5\*GB3\*MERGEFORMAT</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=7\*GB3\*MERGEFORMAT</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=6\*GB3\*MERGEFORMAT</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lang w:val="en-US" w:eastAsia="zh-CN"/>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=1\*GB3\*MERGEFORMAT</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lang w:eastAsia="zh-CN"/>
        </w:rPr>
        <w:sectPr>
          <w:pgSz w:w="16838" w:h="11906" w:orient="landscape"/>
          <w:pgMar w:top="1800" w:right="1440" w:bottom="1800" w:left="1440" w:header="851" w:footer="1077" w:gutter="0"/>
          <w:pgBorders>
            <w:top w:val="none" w:sz="0" w:space="0"/>
            <w:left w:val="none" w:sz="0" w:space="0"/>
            <w:bottom w:val="none" w:sz="0" w:space="0"/>
            <w:right w:val="none" w:sz="0" w:space="0"/>
          </w:pgBorders>
          <w:lnNumType w:countBy="0" w:restart="continuous"/>
          <w:cols w:space="0" w:num="1"/>
          <w:docGrid w:linePitch="312" w:charSpace="0"/>
        </w:sectPr>
      </w:pPr>
      <w:r>
        <w:rPr>
          <w:sz w:val="21"/>
        </w:rPr>
        <w:drawing>
          <wp:anchor distT="0" distB="0" distL="114300" distR="114300" simplePos="0" relativeHeight="251685888" behindDoc="0" locked="0" layoutInCell="1" allowOverlap="1">
            <wp:simplePos x="0" y="0"/>
            <wp:positionH relativeFrom="column">
              <wp:posOffset>398780</wp:posOffset>
            </wp:positionH>
            <wp:positionV relativeFrom="paragraph">
              <wp:posOffset>-621665</wp:posOffset>
            </wp:positionV>
            <wp:extent cx="8750300" cy="6395720"/>
            <wp:effectExtent l="0" t="0" r="12700" b="5080"/>
            <wp:wrapSquare wrapText="bothSides"/>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25"/>
                    <a:stretch>
                      <a:fillRect/>
                    </a:stretch>
                  </pic:blipFill>
                  <pic:spPr>
                    <a:xfrm>
                      <a:off x="0" y="0"/>
                      <a:ext cx="8750300" cy="6395720"/>
                    </a:xfrm>
                    <a:prstGeom prst="rect">
                      <a:avLst/>
                    </a:prstGeom>
                  </pic:spPr>
                </pic:pic>
              </a:graphicData>
            </a:graphic>
          </wp:anchor>
        </w:drawing>
      </w:r>
      <w:r>
        <w:rPr>
          <w:sz w:val="21"/>
        </w:rPr>
        <mc:AlternateContent>
          <mc:Choice Requires="wps">
            <w:drawing>
              <wp:anchor distT="0" distB="0" distL="114300" distR="114300" simplePos="0" relativeHeight="251659264" behindDoc="0" locked="0" layoutInCell="1" allowOverlap="1">
                <wp:simplePos x="0" y="0"/>
                <wp:positionH relativeFrom="column">
                  <wp:posOffset>1349375</wp:posOffset>
                </wp:positionH>
                <wp:positionV relativeFrom="paragraph">
                  <wp:posOffset>8509000</wp:posOffset>
                </wp:positionV>
                <wp:extent cx="2712085" cy="325755"/>
                <wp:effectExtent l="0" t="0" r="12065" b="17145"/>
                <wp:wrapNone/>
                <wp:docPr id="7" name="文本框 7"/>
                <wp:cNvGraphicFramePr/>
                <a:graphic xmlns:a="http://schemas.openxmlformats.org/drawingml/2006/main">
                  <a:graphicData uri="http://schemas.microsoft.com/office/word/2010/wordprocessingShape">
                    <wps:wsp>
                      <wps:cNvSpPr txBox="1"/>
                      <wps:spPr>
                        <a:xfrm>
                          <a:off x="0" y="0"/>
                          <a:ext cx="2712085" cy="3257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sz w:val="24"/>
                                <w:szCs w:val="24"/>
                                <w:lang w:val="en-US" w:eastAsia="zh-CN"/>
                              </w:rPr>
                            </w:pPr>
                            <w:r>
                              <w:rPr>
                                <w:rFonts w:hint="eastAsia" w:ascii="黑体" w:hAnsi="黑体" w:eastAsia="黑体" w:cs="黑体"/>
                                <w:sz w:val="24"/>
                                <w:szCs w:val="24"/>
                                <w:lang w:eastAsia="zh-CN"/>
                              </w:rPr>
                              <w:t>附图一</w:t>
                            </w:r>
                            <w:r>
                              <w:rPr>
                                <w:rFonts w:hint="eastAsia" w:ascii="黑体" w:hAnsi="黑体" w:eastAsia="黑体" w:cs="黑体"/>
                                <w:sz w:val="24"/>
                                <w:szCs w:val="24"/>
                                <w:lang w:val="en-US" w:eastAsia="zh-CN"/>
                              </w:rPr>
                              <w:t xml:space="preserve">    项目地理位置图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25pt;margin-top:670pt;height:25.65pt;width:213.55pt;z-index:251659264;mso-width-relative:page;mso-height-relative:page;" fillcolor="#FFFFFF [3201]" filled="t" stroked="f" coordsize="21600,21600" o:gfxdata="UEsDBAoAAAAAAIdO4kAAAAAAAAAAAAAAAAAEAAAAZHJzL1BLAwQUAAAACACHTuJALjVgBdcAAAAN&#10;AQAADwAAAGRycy9kb3ducmV2LnhtbE2PzU7DMBCE70i8g7WVuFHbSYloiNMDElck2tKzG5skqr2O&#10;bPf36dme4Lgzn2ZnmtXFO3ayMY0BFci5AGaxC2bEXsF28/H8CixljUa7gFbB1SZYtY8Pja5NOOOX&#10;Pa1zzygEU60VDDlPNeepG6zXaR4mi+T9hOh1pjP23ER9pnDveCFExb0ekT4MerLvg+0O66NXsOv9&#10;bfctpzgY7xb4ebtutmFU6mkmxRuwbC/5D4Z7faoOLXXahyOaxJyCQhYvhJJRLgStIqQqlxWw/V1a&#10;yhJ42/D/K9pfUEsDBBQAAAAIAIdO4kAOaXTfUQIAAI8EAAAOAAAAZHJzL2Uyb0RvYy54bWytVLFu&#10;2zAQ3Qv0HwjujWzFilPDcuAmcFEgaAKkRWeaoiwCJI8laUvpB7R/0KlL935XvqNHSnbctEOGaqCO&#10;vNM7vnd3ml90WpGdcF6CKen4ZESJMBwqaTYl/fhh9eqcEh+YqZgCI0p6Lzy9WLx8MW/tTOTQgKqE&#10;Iwhi/Ky1JW1CsLMs87wRmvkTsMKgswanWcCt22SVYy2ia5Xlo9FZ1oKrrAMuvMfTq95JB0T3HECo&#10;a8nFFfCtFib0qE4oFpCSb6T1dJFuW9eCh5u69iIQVVJkGtKKSdBexzVbzNls45htJB+uwJ5zhSec&#10;NJMGkx6grlhgZOvkX1Bacgce6nDCQWc9kaQIshiPnmhz1zArEheU2tuD6P7/wfL3u1tHZFXSKSWG&#10;aSz4w/dvDz9+Pfz8SqZRntb6GUbdWYwL3RvosGn25x4PI+uudjq+kQ9BP4p7fxBXdIFwPMyn43x0&#10;XlDC0XeaF9OiiDDZ49fW+fBWgCbRKKnD4iVN2e7ahz50HxKTeVCyWkml0sZt1pfKkR3DQq/SM6D/&#10;EaYMaUt6dlqMErKB+H0PrQxeJpLtSUUrdOtuUGAN1T0K4KDvIG/5SuItr5kPt8xhyyBnHKpwg0ut&#10;AJPAYFHSgPvyr/MYj5VELyUttmBJ/ectc4IS9c5gjV+PJ5PYs2kzKaY5btyxZ33sMVt9CUh+jONr&#10;eTJjfFB7s3agP+HsLWNWdDHDMXdJw968DP1g4OxysVymIOxSy8K1ubM8QkepDSy3AWqZShJl6rUZ&#10;1MM+TUUdZioOwvE+RT3+Rx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41YAXXAAAADQEAAA8A&#10;AAAAAAAAAQAgAAAAIgAAAGRycy9kb3ducmV2LnhtbFBLAQIUABQAAAAIAIdO4kAOaXTfUQIAAI8E&#10;AAAOAAAAAAAAAAEAIAAAACYBAABkcnMvZTJvRG9jLnhtbFBLBQYAAAAABgAGAFkBAADpBQAAAAA=&#10;">
                <v:fill on="t" focussize="0,0"/>
                <v:stroke on="f" weight="0.5pt"/>
                <v:imagedata o:title=""/>
                <o:lock v:ext="edit" aspectratio="f"/>
                <v:textbox>
                  <w:txbxContent>
                    <w:p>
                      <w:pPr>
                        <w:jc w:val="center"/>
                        <w:rPr>
                          <w:rFonts w:hint="eastAsia" w:ascii="黑体" w:hAnsi="黑体" w:eastAsia="黑体" w:cs="黑体"/>
                          <w:sz w:val="24"/>
                          <w:szCs w:val="24"/>
                          <w:lang w:val="en-US" w:eastAsia="zh-CN"/>
                        </w:rPr>
                      </w:pPr>
                      <w:r>
                        <w:rPr>
                          <w:rFonts w:hint="eastAsia" w:ascii="黑体" w:hAnsi="黑体" w:eastAsia="黑体" w:cs="黑体"/>
                          <w:sz w:val="24"/>
                          <w:szCs w:val="24"/>
                          <w:lang w:eastAsia="zh-CN"/>
                        </w:rPr>
                        <w:t>附图一</w:t>
                      </w:r>
                      <w:r>
                        <w:rPr>
                          <w:rFonts w:hint="eastAsia" w:ascii="黑体" w:hAnsi="黑体" w:eastAsia="黑体" w:cs="黑体"/>
                          <w:sz w:val="24"/>
                          <w:szCs w:val="24"/>
                          <w:lang w:val="en-US" w:eastAsia="zh-CN"/>
                        </w:rPr>
                        <w:t xml:space="preserve">    项目地理位置图</w:t>
                      </w:r>
                    </w:p>
                  </w:txbxContent>
                </v:textbox>
              </v:shape>
            </w:pict>
          </mc:Fallback>
        </mc:AlternateContent>
      </w:r>
    </w:p>
    <w:p>
      <w:pPr>
        <w:jc w:val="center"/>
        <w:rPr>
          <w:rFonts w:hint="eastAsia" w:eastAsiaTheme="minorEastAsia"/>
          <w:lang w:eastAsia="zh-CN"/>
        </w:rPr>
        <w:sectPr>
          <w:pgSz w:w="16838" w:h="11906" w:orient="landscape"/>
          <w:pgMar w:top="1800" w:right="1440" w:bottom="1800" w:left="1440" w:header="851" w:footer="1077" w:gutter="0"/>
          <w:pgBorders>
            <w:top w:val="none" w:sz="0" w:space="0"/>
            <w:left w:val="none" w:sz="0" w:space="0"/>
            <w:bottom w:val="none" w:sz="0" w:space="0"/>
            <w:right w:val="none" w:sz="0" w:space="0"/>
          </w:pgBorders>
          <w:lnNumType w:countBy="0" w:restart="continuous"/>
          <w:cols w:space="0" w:num="1"/>
          <w:docGrid w:linePitch="312" w:charSpace="0"/>
        </w:sectPr>
      </w:pPr>
      <w:r>
        <w:rPr>
          <w:rFonts w:hint="eastAsia" w:eastAsiaTheme="minorEastAsia"/>
          <w:lang w:eastAsia="zh-CN"/>
        </w:rPr>
        <w:drawing>
          <wp:anchor distT="0" distB="0" distL="114300" distR="114300" simplePos="0" relativeHeight="251686912" behindDoc="0" locked="0" layoutInCell="1" allowOverlap="1">
            <wp:simplePos x="0" y="0"/>
            <wp:positionH relativeFrom="column">
              <wp:posOffset>268605</wp:posOffset>
            </wp:positionH>
            <wp:positionV relativeFrom="paragraph">
              <wp:posOffset>-878205</wp:posOffset>
            </wp:positionV>
            <wp:extent cx="8752840" cy="6835775"/>
            <wp:effectExtent l="0" t="0" r="10160" b="3175"/>
            <wp:wrapSquare wrapText="bothSides"/>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26"/>
                    <a:stretch>
                      <a:fillRect/>
                    </a:stretch>
                  </pic:blipFill>
                  <pic:spPr>
                    <a:xfrm>
                      <a:off x="0" y="0"/>
                      <a:ext cx="8752840" cy="6835775"/>
                    </a:xfrm>
                    <a:prstGeom prst="rect">
                      <a:avLst/>
                    </a:prstGeom>
                  </pic:spPr>
                </pic:pic>
              </a:graphicData>
            </a:graphic>
          </wp:anchor>
        </w:drawing>
      </w:r>
    </w:p>
    <w:p>
      <w:pPr>
        <w:jc w:val="left"/>
        <w:rPr>
          <w:rFonts w:hint="eastAsia" w:eastAsiaTheme="minorEastAsia"/>
          <w:lang w:eastAsia="zh-CN"/>
        </w:rPr>
        <w:sectPr>
          <w:pgSz w:w="16838" w:h="11906" w:orient="landscape"/>
          <w:pgMar w:top="1800" w:right="1440" w:bottom="1800" w:left="1440" w:header="851" w:footer="1077" w:gutter="0"/>
          <w:pgBorders>
            <w:top w:val="none" w:sz="0" w:space="0"/>
            <w:left w:val="none" w:sz="0" w:space="0"/>
            <w:bottom w:val="none" w:sz="0" w:space="0"/>
            <w:right w:val="none" w:sz="0" w:space="0"/>
          </w:pgBorders>
          <w:lnNumType w:countBy="0" w:restart="continuous"/>
          <w:cols w:space="0" w:num="1"/>
          <w:docGrid w:linePitch="312" w:charSpace="0"/>
        </w:sectPr>
      </w:pPr>
      <w:r>
        <w:rPr>
          <w:rFonts w:hint="eastAsia" w:eastAsiaTheme="minorEastAsia"/>
          <w:lang w:eastAsia="zh-CN"/>
        </w:rPr>
        <w:drawing>
          <wp:anchor distT="0" distB="0" distL="114300" distR="114300" simplePos="0" relativeHeight="251687936" behindDoc="0" locked="0" layoutInCell="1" allowOverlap="1">
            <wp:simplePos x="0" y="0"/>
            <wp:positionH relativeFrom="column">
              <wp:posOffset>316230</wp:posOffset>
            </wp:positionH>
            <wp:positionV relativeFrom="paragraph">
              <wp:posOffset>-614045</wp:posOffset>
            </wp:positionV>
            <wp:extent cx="8589645" cy="6253480"/>
            <wp:effectExtent l="0" t="0" r="1905" b="13970"/>
            <wp:wrapSquare wrapText="bothSides"/>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27"/>
                    <a:stretch>
                      <a:fillRect/>
                    </a:stretch>
                  </pic:blipFill>
                  <pic:spPr>
                    <a:xfrm>
                      <a:off x="0" y="0"/>
                      <a:ext cx="8589645" cy="6253480"/>
                    </a:xfrm>
                    <a:prstGeom prst="rect">
                      <a:avLst/>
                    </a:prstGeom>
                  </pic:spPr>
                </pic:pic>
              </a:graphicData>
            </a:graphic>
          </wp:anchor>
        </w:drawing>
      </w:r>
    </w:p>
    <w:p>
      <w:pPr>
        <w:jc w:val="left"/>
        <w:rPr>
          <w:rFonts w:hint="eastAsia" w:eastAsiaTheme="minorEastAsia"/>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1217930</wp:posOffset>
                </wp:positionH>
                <wp:positionV relativeFrom="paragraph">
                  <wp:posOffset>8283575</wp:posOffset>
                </wp:positionV>
                <wp:extent cx="3077845" cy="306070"/>
                <wp:effectExtent l="0" t="0" r="8255" b="17780"/>
                <wp:wrapNone/>
                <wp:docPr id="9" name="文本框 9"/>
                <wp:cNvGraphicFramePr/>
                <a:graphic xmlns:a="http://schemas.openxmlformats.org/drawingml/2006/main">
                  <a:graphicData uri="http://schemas.microsoft.com/office/word/2010/wordprocessingShape">
                    <wps:wsp>
                      <wps:cNvSpPr txBox="1"/>
                      <wps:spPr>
                        <a:xfrm>
                          <a:off x="0" y="0"/>
                          <a:ext cx="3077845" cy="3060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sz w:val="24"/>
                                <w:szCs w:val="32"/>
                                <w:lang w:val="en-US" w:eastAsia="zh-CN"/>
                              </w:rPr>
                            </w:pPr>
                            <w:r>
                              <w:rPr>
                                <w:rFonts w:hint="eastAsia" w:ascii="黑体" w:hAnsi="黑体" w:eastAsia="黑体" w:cs="黑体"/>
                                <w:sz w:val="24"/>
                                <w:szCs w:val="32"/>
                                <w:lang w:eastAsia="zh-CN"/>
                              </w:rPr>
                              <w:t>附图三</w:t>
                            </w:r>
                            <w:r>
                              <w:rPr>
                                <w:rFonts w:hint="eastAsia" w:ascii="黑体" w:hAnsi="黑体" w:eastAsia="黑体" w:cs="黑体"/>
                                <w:sz w:val="24"/>
                                <w:szCs w:val="32"/>
                                <w:lang w:val="en-US" w:eastAsia="zh-CN"/>
                              </w:rPr>
                              <w:t>-2   现有工程二层平面布局图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9pt;margin-top:652.25pt;height:24.1pt;width:242.35pt;z-index:251661312;mso-width-relative:page;mso-height-relative:page;" fillcolor="#FFFFFF [3201]" filled="t" stroked="f" coordsize="21600,21600" o:gfxdata="UEsDBAoAAAAAAIdO4kAAAAAAAAAAAAAAAAAEAAAAZHJzL1BLAwQUAAAACACHTuJAyuwISNYAAAAN&#10;AQAADwAAAGRycy9kb3ducmV2LnhtbE2PS0/DMBCE70j8B2uRuFE7pU0hxOkBiSsSfZ3deIkj4nVk&#10;u89fz/YEt5nd0ey39fLsB3HEmPpAGoqJAoHUBttTp2Gz/nh6AZGyIWuGQKjhggmWzf1dbSobTvSF&#10;x1XuBJdQqowGl/NYSZlah96kSRiRePcdojeZbeykjebE5X6QU6VK6U1PfMGZEd8dtj+rg9ew6/x1&#10;ty3G6KwfZvR5vaw3odf68aFQbyAynvNfGG74jA4NM+3DgWwSA/vXgtEzi2c1m4PgSLkoWexvo/l0&#10;AbKp5f8vml9QSwMEFAAAAAgAh07iQKsZp+dTAgAAjwQAAA4AAABkcnMvZTJvRG9jLnhtbK1UzW7b&#10;MAy+D9g7CLovdn6atEGcIkuRYUCwFuiGnRVZjgVIoiYpsbMH2N6gp11233P1OUbJSdt1O/SwHBRS&#10;pEh+H0nPLlutyF44L8EUtN/LKRGGQynNtqCfPq7enFPiAzMlU2BEQQ/C08v561ezxk7FAGpQpXAE&#10;gxg/bWxB6xDsNMs8r4VmvgdWGDRW4DQLqLptVjrWYHStskGej7MGXGkdcOE93l51RnqM6F4SEKpK&#10;cnEFfKeFCV1UJxQLCMnX0no6T9VWleDhuqq8CEQVFJGGdGISlDfxzOYzNt06ZmvJjyWwl5TwDJNm&#10;0mDSh1BXLDCyc/KvUFpyBx6q0OOgsw5IYgRR9PNn3NzWzIqEBan29oF0///C8g/7G0dkWdALSgzT&#10;2PD7u+/3P37d//xGLiI9jfVT9Lq16Bfat9Di0JzuPV5G1G3ldPxHPATtSO7hgVzRBsLxcphPJuej&#10;M0o42ob5OJ8k9rPH19b58E6AJlEoqMPmJU7Zfu0DVoKuJ5eYzIOS5UoqlRS33SyVI3uGjV6lXywS&#10;n/zhpgxpCjoenuUpsoH4vvNTBt0j2A5UlEK7aY8MbKA8IAEOugnylq8kVrlmPtwwhyODmHGpwjUe&#10;lQJMAkeJkhrc13/dR3/sJFopaXAEC+q/7JgTlKj3Bnt80R+N4swmZXQ2GaDinlo2Ty1mp5eA4Pu4&#10;vpYnMfoHdRIrB/oz7t4iZkUTMxxzFzScxGXoFgN3l4vFIjnhlFoW1ubW8hg6Um1gsQtQydSSSFPH&#10;zZE9nNNE+3Gn4iI81ZPX43dk/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K7AhI1gAAAA0BAAAP&#10;AAAAAAAAAAEAIAAAACIAAABkcnMvZG93bnJldi54bWxQSwECFAAUAAAACACHTuJAqxmn51MCAACP&#10;BAAADgAAAAAAAAABACAAAAAlAQAAZHJzL2Uyb0RvYy54bWxQSwUGAAAAAAYABgBZAQAA6gUAAAAA&#10;">
                <v:fill on="t" focussize="0,0"/>
                <v:stroke on="f" weight="0.5pt"/>
                <v:imagedata o:title=""/>
                <o:lock v:ext="edit" aspectratio="f"/>
                <v:textbox>
                  <w:txbxContent>
                    <w:p>
                      <w:pPr>
                        <w:jc w:val="center"/>
                        <w:rPr>
                          <w:rFonts w:hint="eastAsia" w:ascii="黑体" w:hAnsi="黑体" w:eastAsia="黑体" w:cs="黑体"/>
                          <w:sz w:val="24"/>
                          <w:szCs w:val="32"/>
                          <w:lang w:val="en-US" w:eastAsia="zh-CN"/>
                        </w:rPr>
                      </w:pPr>
                      <w:r>
                        <w:rPr>
                          <w:rFonts w:hint="eastAsia" w:ascii="黑体" w:hAnsi="黑体" w:eastAsia="黑体" w:cs="黑体"/>
                          <w:sz w:val="24"/>
                          <w:szCs w:val="32"/>
                          <w:lang w:eastAsia="zh-CN"/>
                        </w:rPr>
                        <w:t>附图三</w:t>
                      </w:r>
                      <w:r>
                        <w:rPr>
                          <w:rFonts w:hint="eastAsia" w:ascii="黑体" w:hAnsi="黑体" w:eastAsia="黑体" w:cs="黑体"/>
                          <w:sz w:val="24"/>
                          <w:szCs w:val="32"/>
                          <w:lang w:val="en-US" w:eastAsia="zh-CN"/>
                        </w:rPr>
                        <w:t>-2   现有工程二层平面布局图</w:t>
                      </w:r>
                    </w:p>
                  </w:txbxContent>
                </v:textbox>
              </v:shape>
            </w:pict>
          </mc:Fallback>
        </mc:AlternateContent>
      </w:r>
      <w:bookmarkStart w:id="2" w:name="_GoBack"/>
      <w:bookmarkEnd w:id="2"/>
    </w:p>
    <w:p>
      <w:pPr>
        <w:spacing w:line="720" w:lineRule="auto"/>
        <w:jc w:val="center"/>
        <w:rPr>
          <w:rFonts w:hint="default" w:ascii="Times New Roman" w:hAnsi="Times New Roman" w:cs="Times New Roman"/>
          <w:b/>
          <w:bCs/>
          <w:sz w:val="40"/>
          <w:szCs w:val="40"/>
        </w:rPr>
      </w:pPr>
      <w:r>
        <w:rPr>
          <w:rFonts w:hint="default" w:ascii="Times New Roman" w:hAnsi="Times New Roman" w:cs="Times New Roman"/>
          <w:sz w:val="28"/>
          <w:szCs w:val="28"/>
        </w:rPr>
        <w:drawing>
          <wp:anchor distT="0" distB="0" distL="114300" distR="114300" simplePos="0" relativeHeight="251676672" behindDoc="1" locked="0" layoutInCell="1" allowOverlap="1">
            <wp:simplePos x="0" y="0"/>
            <wp:positionH relativeFrom="column">
              <wp:posOffset>-1137285</wp:posOffset>
            </wp:positionH>
            <wp:positionV relativeFrom="paragraph">
              <wp:posOffset>-926465</wp:posOffset>
            </wp:positionV>
            <wp:extent cx="7572375" cy="10410825"/>
            <wp:effectExtent l="0" t="0" r="9525" b="9525"/>
            <wp:wrapNone/>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pic:cNvPicPr>
                  </pic:nvPicPr>
                  <pic:blipFill>
                    <a:blip r:embed="rId28"/>
                    <a:stretch>
                      <a:fillRect/>
                    </a:stretch>
                  </pic:blipFill>
                  <pic:spPr>
                    <a:xfrm>
                      <a:off x="0" y="0"/>
                      <a:ext cx="7572375" cy="10410825"/>
                    </a:xfrm>
                    <a:prstGeom prst="rect">
                      <a:avLst/>
                    </a:prstGeom>
                  </pic:spPr>
                </pic:pic>
              </a:graphicData>
            </a:graphic>
          </wp:anchor>
        </w:drawing>
      </w:r>
      <w:r>
        <w:rPr>
          <w:sz w:val="21"/>
        </w:rPr>
        <mc:AlternateContent>
          <mc:Choice Requires="wps">
            <w:drawing>
              <wp:anchor distT="0" distB="0" distL="114300" distR="114300" simplePos="0" relativeHeight="251662336" behindDoc="0" locked="0" layoutInCell="1" allowOverlap="1">
                <wp:simplePos x="0" y="0"/>
                <wp:positionH relativeFrom="column">
                  <wp:posOffset>4999990</wp:posOffset>
                </wp:positionH>
                <wp:positionV relativeFrom="paragraph">
                  <wp:posOffset>-257810</wp:posOffset>
                </wp:positionV>
                <wp:extent cx="900430" cy="320040"/>
                <wp:effectExtent l="0" t="0" r="0" b="0"/>
                <wp:wrapNone/>
                <wp:docPr id="11" name="文本框 11"/>
                <wp:cNvGraphicFramePr/>
                <a:graphic xmlns:a="http://schemas.openxmlformats.org/drawingml/2006/main">
                  <a:graphicData uri="http://schemas.microsoft.com/office/word/2010/wordprocessingShape">
                    <wps:wsp>
                      <wps:cNvSpPr txBox="1"/>
                      <wps:spPr>
                        <a:xfrm>
                          <a:off x="6061075" y="694690"/>
                          <a:ext cx="900430" cy="32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7pt;margin-top:-20.3pt;height:25.2pt;width:70.9pt;z-index:251662336;mso-width-relative:page;mso-height-relative:page;" filled="f" stroked="f" coordsize="21600,21600" o:gfxdata="UEsDBAoAAAAAAIdO4kAAAAAAAAAAAAAAAAAEAAAAZHJzL1BLAwQUAAAACACHTuJA9/n4OdsAAAAJ&#10;AQAADwAAAGRycy9kb3ducmV2LnhtbE2PTU/DMAyG70j8h8hI3LZk1di60nRClSYkBIeNXbiljddW&#10;NE5psg/49ZjTuNnyo9fPm68vrhcnHEPnScNsqkAg1d521GjYv28mKYgQDVnTe0IN3xhgXdze5Caz&#10;/kxbPO1iIziEQmY0tDEOmZShbtGZMPUDEt8OfnQm8jo20o7mzOGul4lSC+lMR/yhNQOWLdafu6PT&#10;8FJu3sy2Slz605fPr4en4Wv/8aD1/d1MPYKIeIlXGP70WR0Kdqr8kWwQvYZlupwzqmEyVwsQTKyS&#10;VQKi4iEFWeTyf4PiF1BLAwQUAAAACACHTuJAPmK4V0QCAAByBAAADgAAAGRycy9lMm9Eb2MueG1s&#10;rVRLbtswEN0X6B0I7hvJjuPURuTAjZGiQNAEcIuuaYqKBPBXko6UHqC9QVbddN9z+Rx9pGQnSLvI&#10;ohtqyDecmfdmqLPzTklyJ5xvjC7o6CinRGhuykbfFvTzp8s3bynxgemSSaNFQe+Fp+eL16/OWjsX&#10;Y1MbWQpHEET7eWsLWodg51nmeS0U80fGCg2wMk6xgK27zUrHWkRXMhvn+TRrjSutM1x4j9NVD9Ih&#10;ontJQFNVDRcrw7dK6NBHdUKyAEq+bqyni1RtVQkerqvKi0BkQcE0pBVJYG/imi3O2PzWMVs3fCiB&#10;vaSEZ5wUazSSHkKtWGBk65q/QqmGO+NNFY64UVlPJCkCFqP8mTbrmlmRuEBqbw+i+/8Xln+8u3Gk&#10;KTEJI0o0U+j47uHH7ufv3a/vBGcQqLV+Dr+1hWfo3pkOzvtzj8PIu6ucil8wIsCn+XSUn55Qcg97&#10;NpnOBqVFFwgHPsvzyTF6wIEfYyomCc8e41jnw3thFIlGQR0amfRld1c+oCa47l1iWm0uGylTM6Um&#10;LZIen+TpwgHBDalxMbLpq45W6DbdQHFjynswdKYfEm/5ZYPkV8yHG+YwFagX7yZcY6mkQRIzWJTU&#10;xn3713n0R7OAUtJiygrqv26ZE5TIDxptnI0moE5C2kxOTsfYuKfI5imit+rCYJDRKVSXzOgf5N6s&#10;nFFf8LyWMSsgpjlyFzTszYvQzz6eJxfLZXLCIFoWrvTa8hi6l3O5DaZqktJRpl6bQT2MYmrA8Gzi&#10;rD/dJ6/HX8X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f5+DnbAAAACQEAAA8AAAAAAAAAAQAg&#10;AAAAIgAAAGRycy9kb3ducmV2LnhtbFBLAQIUABQAAAAIAIdO4kA+YrhXRAIAAHIEAAAOAAAAAAAA&#10;AAEAIAAAACoBAABkcnMvZTJvRG9jLnhtbFBLBQYAAAAABgAGAFkBAADgBQAAAAA=&#10;">
                <v:fill on="f" focussize="0,0"/>
                <v:stroke on="f" weight="0.5pt"/>
                <v:imagedata o:title=""/>
                <o:lock v:ext="edit" aspectratio="f"/>
                <v:textbo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附件一</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eastAsiaTheme="minorEastAsia"/>
          <w:lang w:eastAsia="zh-CN"/>
        </w:rPr>
        <w:sectPr>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cols w:space="0" w:num="1"/>
          <w:docGrid w:linePitch="312" w:charSpace="0"/>
        </w:sectPr>
      </w:pPr>
      <w:r>
        <w:rPr>
          <w:rFonts w:hint="default" w:ascii="Times New Roman" w:hAnsi="Times New Roman" w:cs="Times New Roman"/>
          <w:sz w:val="28"/>
          <w:szCs w:val="28"/>
        </w:rPr>
        <w:t xml:space="preserve">   </w:t>
      </w:r>
    </w:p>
    <w:p>
      <w:pPr>
        <w:shd w:val="clear" w:fill="000000"/>
        <w:rPr>
          <w:rFonts w:hint="eastAsia" w:eastAsiaTheme="minorEastAsia"/>
          <w:lang w:eastAsia="zh-CN"/>
        </w:rPr>
        <w:sectPr>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cols w:space="0" w:num="1"/>
          <w:docGrid w:linePitch="312" w:charSpace="0"/>
        </w:sectPr>
      </w:pPr>
      <w:r>
        <w:rPr>
          <w:rFonts w:hint="eastAsia" w:eastAsiaTheme="minorEastAsia"/>
          <w:lang w:eastAsia="zh-CN"/>
        </w:rPr>
        <w:drawing>
          <wp:anchor distT="0" distB="0" distL="114300" distR="114300" simplePos="0" relativeHeight="251678720" behindDoc="0" locked="0" layoutInCell="1" allowOverlap="1">
            <wp:simplePos x="0" y="0"/>
            <wp:positionH relativeFrom="column">
              <wp:posOffset>-1143000</wp:posOffset>
            </wp:positionH>
            <wp:positionV relativeFrom="paragraph">
              <wp:posOffset>-781050</wp:posOffset>
            </wp:positionV>
            <wp:extent cx="7576185" cy="9802495"/>
            <wp:effectExtent l="0" t="0" r="5715" b="8255"/>
            <wp:wrapSquare wrapText="bothSides"/>
            <wp:docPr id="30" name="图片 30" descr="备案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备案证明"/>
                    <pic:cNvPicPr>
                      <a:picLocks noChangeAspect="1"/>
                    </pic:cNvPicPr>
                  </pic:nvPicPr>
                  <pic:blipFill>
                    <a:blip r:embed="rId29"/>
                    <a:srcRect/>
                    <a:stretch>
                      <a:fillRect/>
                    </a:stretch>
                  </pic:blipFill>
                  <pic:spPr>
                    <a:xfrm>
                      <a:off x="0" y="0"/>
                      <a:ext cx="7576185" cy="9802495"/>
                    </a:xfrm>
                    <a:prstGeom prst="rect">
                      <a:avLst/>
                    </a:prstGeom>
                  </pic:spPr>
                </pic:pic>
              </a:graphicData>
            </a:graphic>
          </wp:anchor>
        </w:drawing>
      </w:r>
    </w:p>
    <w:p>
      <w:pPr>
        <w:shd w:val="clear" w:fill="000000"/>
        <w:rPr>
          <w:rFonts w:hint="default"/>
        </w:rPr>
      </w:pPr>
      <w:r>
        <w:rPr>
          <w:sz w:val="21"/>
        </w:rPr>
        <mc:AlternateContent>
          <mc:Choice Requires="wps">
            <w:drawing>
              <wp:anchor distT="0" distB="0" distL="114300" distR="114300" simplePos="0" relativeHeight="251677696" behindDoc="0" locked="0" layoutInCell="1" allowOverlap="1">
                <wp:simplePos x="0" y="0"/>
                <wp:positionH relativeFrom="column">
                  <wp:posOffset>4911090</wp:posOffset>
                </wp:positionH>
                <wp:positionV relativeFrom="paragraph">
                  <wp:posOffset>-9099550</wp:posOffset>
                </wp:positionV>
                <wp:extent cx="900430" cy="32004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900430" cy="32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7pt;margin-top:-716.5pt;height:25.2pt;width:70.9pt;z-index:251677696;mso-width-relative:page;mso-height-relative:page;" filled="f" stroked="f" coordsize="21600,21600" o:gfxdata="UEsDBAoAAAAAAIdO4kAAAAAAAAAAAAAAAAAEAAAAZHJzL1BLAwQUAAAACACHTuJAFeEhYd8AAAAP&#10;AQAADwAAAGRycy9kb3ducmV2LnhtbE2Py07DMBBF90j8gzVI7Frn0Uca4lQoUoWEYNHSTXdO7CYR&#10;9jjE7gO+nukKljNzdOfcYn21hp316HuHAuJpBExj41SPrYD9x2aSAfNBopLGoRbwrT2sy/u7QubK&#10;XXCrz7vQMgpBn0sBXQhDzrlvOm2ln7pBI92ObrQy0Di2XI3yQuHW8CSKFtzKHulDJwdddbr53J2s&#10;gNdq8y63dWKzH1O9vB2fh6/9YS7E40McPQEL+hr+YLjpkzqU5FS7EyrPjIDlMp0RKmASz9KUahGz&#10;iucJsPq2S7NkAbws+P8e5S9QSwMEFAAAAAgAh07iQIHsWI88AgAAZwQAAA4AAABkcnMvZTJvRG9j&#10;LnhtbK1UwW7UMBC9I/EPlu802e220FWz1dKqCKmilQri7HWcJpLtMba3SfkA+ANOXLjzXf0Onp3d&#10;bVU49MDFGc+MZ+a9mcnxyWA0u1U+dGQrPtkrOVNWUt3Zm4p/+nj+6g1nIQpbC01WVfxOBX6yePni&#10;uHdzNaWWdK08QxAb5r2reBujmxdFkK0yIuyRUxbGhrwREVd/U9Re9IhudDEty8OiJ187T1KFAO3Z&#10;aOSbiP45AalpOqnOSK6NsnGM6pUWEZBC27nAF7naplEyXjZNUJHpigNpzCeSQF6ls1gci/mNF67t&#10;5KYE8ZwSnmAyorNIugt1JqJga9/9Fcp00lOgJu5JMsUIJDMCFJPyCTfXrXAqYwHVwe1ID/8vrPxw&#10;e+VZV1d8esiZFQYdv//x/f7n7/tf3xh0IKh3YQ6/awfPOLylAWOz1QcoE+6h8SZ9gYjBDnrvdvSq&#10;ITIJ5VFZzvZhkTDtYxRmmf7i4bHzIb5TZFgSKu7RvUyquL0IEYXAdeuSclk677TOHdSW9RU/3D8o&#10;84OdBS+0xcMEYSw1SXFYDRtcK6rvAMvTOBnByfMOyS9EiFfCYxRQL5YlXuJoNCEJbSTOWvJf/6VP&#10;/ugQrJz1GK2Khy9r4RVn+r1F744mM0BnMV9mB6+nuPjHltVji12bU8L0TrCWTmYx+Ue9FRtP5jN2&#10;apmywiSsRO6Kx614GseBx05KtVxmJ0yfE/HCXjuZQo90LteRmi4znWgaudmwh/nLDdjsShrwx/fs&#10;9fB/WP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eEhYd8AAAAPAQAADwAAAAAAAAABACAAAAAi&#10;AAAAZHJzL2Rvd25yZXYueG1sUEsBAhQAFAAAAAgAh07iQIHsWI88AgAAZwQAAA4AAAAAAAAAAQAg&#10;AAAALgEAAGRycy9lMm9Eb2MueG1sUEsFBgAAAAAGAAYAWQEAANwFAAAAAA==&#10;">
                <v:fill on="f" focussize="0,0"/>
                <v:stroke on="f" weight="0.5pt"/>
                <v:imagedata o:title=""/>
                <o:lock v:ext="edit" aspectratio="f"/>
                <v:textbo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附件三</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4999990</wp:posOffset>
                </wp:positionH>
                <wp:positionV relativeFrom="paragraph">
                  <wp:posOffset>-9047480</wp:posOffset>
                </wp:positionV>
                <wp:extent cx="900430" cy="32004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900430" cy="32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7pt;margin-top:-712.4pt;height:25.2pt;width:70.9pt;z-index:251674624;mso-width-relative:page;mso-height-relative:page;" filled="f" stroked="f" coordsize="21600,21600" o:gfxdata="UEsDBAoAAAAAAIdO4kAAAAAAAAAAAAAAAAAEAAAAZHJzL1BLAwQUAAAACACHTuJAV/Bm898AAAAP&#10;AQAADwAAAGRycy9kb3ducmV2LnhtbE2Py07DMBBF90j8gzWV2LVOjCFpiFOhSBUSgkVLN+yceJpE&#10;9SPE7gO+HncFy5k5unNuuboYTU44+cFZAekiAYK2dWqwnYDdx3qeA/FBWiW1syjgGz2sqtubUhbK&#10;ne0GT9vQkRhifSEF9CGMBaW+7dFIv3Aj2njbu8nIEMepo2qS5xhuNGVJ8kiNHGz80MsR6x7bw/Zo&#10;BLzW63e5aZjJf3T98rZ/Hr92nw9C3M3S5AlIwEv4g+GqH9Whik6NO1rliRaQ5RmPqIB5yhmPLSKz&#10;ZEsGpLnu7jPOgVYl/d+j+gVQSwMEFAAAAAgAh07iQJWXPNw7AgAAZwQAAA4AAABkcnMvZTJvRG9j&#10;LnhtbK1UwW7UMBC9I/EPlu802e220FWz1dKqCKmilQri7HWcJpLtMba3SfkA+ANOXLjzXf0Onp3d&#10;bVU49MDFGc+MZ+a9mcnxyWA0u1U+dGQrPtkrOVNWUt3Zm4p/+nj+6g1nIQpbC01WVfxOBX6yePni&#10;uHdzNaWWdK08QxAb5r2reBujmxdFkK0yIuyRUxbGhrwREVd/U9Re9IhudDEty8OiJ187T1KFAO3Z&#10;aOSbiP45AalpOqnOSK6NsnGM6pUWEZBC27nAF7naplEyXjZNUJHpigNpzCeSQF6ls1gci/mNF67t&#10;5KYE8ZwSnmAyorNIugt1JqJga9/9Fcp00lOgJu5JMsUIJDMCFJPyCTfXrXAqYwHVwe1ID/8vrPxw&#10;e+VZV2MSppxZYdDx+x/f73/+vv/1jUEHgnoX5vC7dvCMw1sa4LzVBygT7qHxJn2BiMEOeu929Koh&#10;MgnlUVnO9mGRMO1jFGaZ/uLhsfMhvlNkWBIq7tG9TKq4vQgRhcB165JyWTrvtM4d1Jb1FT/cPyjz&#10;g50FL7TFwwRhLDVJcVgNG1wrqu8Ay9M4GcHJ8w7JL0SIV8JjFFAvliVe4mg0IQltJM5a8l//pU/+&#10;6BCsnPUYrYqHL2vhFWf6vUXvjiYzQGcxX2YHr6e4+MeW1WOLXZtTwvROsJZOZjH5R70VG0/mM3Zq&#10;mbLCJKxE7orHrXgax4HHTkq1XGYnTJ8T8cJeO5lCj3Qu15GaLjOdaBq52bCH+csN2OxKGvDH9+z1&#10;8H9Y/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X8Gbz3wAAAA8BAAAPAAAAAAAAAAEAIAAAACIA&#10;AABkcnMvZG93bnJldi54bWxQSwECFAAUAAAACACHTuJAlZc83DsCAABnBAAADgAAAAAAAAABACAA&#10;AAAuAQAAZHJzL2Uyb0RvYy54bWxQSwUGAAAAAAYABgBZAQAA2wUAAAAA&#10;">
                <v:fill on="f" focussize="0,0"/>
                <v:stroke on="f" weight="0.5pt"/>
                <v:imagedata o:title=""/>
                <o:lock v:ext="edit" aspectratio="f"/>
                <v:textbo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附件三</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5196840</wp:posOffset>
                </wp:positionH>
                <wp:positionV relativeFrom="paragraph">
                  <wp:posOffset>-9099550</wp:posOffset>
                </wp:positionV>
                <wp:extent cx="900430" cy="320040"/>
                <wp:effectExtent l="0" t="0" r="13970" b="3810"/>
                <wp:wrapNone/>
                <wp:docPr id="13" name="文本框 13"/>
                <wp:cNvGraphicFramePr/>
                <a:graphic xmlns:a="http://schemas.openxmlformats.org/drawingml/2006/main">
                  <a:graphicData uri="http://schemas.microsoft.com/office/word/2010/wordprocessingShape">
                    <wps:wsp>
                      <wps:cNvSpPr txBox="1"/>
                      <wps:spPr>
                        <a:xfrm>
                          <a:off x="0" y="0"/>
                          <a:ext cx="900430" cy="320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9.2pt;margin-top:-716.5pt;height:25.2pt;width:70.9pt;z-index:251670528;mso-width-relative:page;mso-height-relative:page;" fillcolor="#FFFFFF [3201]" filled="t" stroked="f" coordsize="21600,21600" o:gfxdata="UEsDBAoAAAAAAIdO4kAAAAAAAAAAAAAAAAAEAAAAZHJzL1BLAwQUAAAACACHTuJA/3EB7tkAAAAP&#10;AQAADwAAAGRycy9kb3ducmV2LnhtbE2Py27DIBBF95X6D2gqdZcAtmW5jnEWlbqt1CTNmhhqrMBg&#10;AXl+fcmqXc7M0Z1zu/XVWXLWIU4eBfAlA6Jx8GrCUcBu+7FogMQkUUnrUQu46Qjr/vmpk63yF/zS&#10;500aSQ7B2EoBJqW5pTQORjsZl37WmG8/PjiZ8hhGqoK85HBnacFYTZ2cMH8wctbvRg/HzckJ2I/u&#10;vv/mczDK2Qo/77ftzk9CvL5wtgKS9DX9wfDQz+rQZ6eDP6GKxApoeFNlVMCCV2WZa2XmrWYFkMNj&#10;VzZFDbTv6P8e/S9QSwMEFAAAAAgAh07iQFHi93FQAgAAkAQAAA4AAABkcnMvZTJvRG9jLnhtbK1U&#10;wW4TMRC9I/EPlu90N01aaNRNFVoFIVW0UkCcHa83u5LXY2wnu+UD4A964sKd7+p38OxN2lI49EAO&#10;znhmPDPvzcyenvWtZlvlfEOm4KODnDNlJJWNWRf808fFqzec+SBMKTQZVfAb5fnZ7OWL085O1SHV&#10;pEvlGIIYP+1swesQ7DTLvKxVK/wBWWVgrMi1IuDq1lnpRIforc4O8/w468iV1pFU3kN7MRj5LqJ7&#10;TkCqqkaqC5KbVpkwRHVKiwBIvm6s57NUbVUpGa6qyqvAdMGBNKQTSSCv4pnNTsV07YStG7krQTyn&#10;hCeYWtEYJL0PdSGCYBvX/BWqbaQjT1U4kNRmA5DECFCM8ifcLGthVcICqr29J93/v7Dyw/basabE&#10;JIw5M6JFx+9uv9/9+HX38xuDDgR11k/ht7TwDP1b6uG813soI+6+cm38ByIGO+i9uadX9YFJKE/y&#10;fDKGRcI0xihMEv3Zw2PrfHinqGVRKLhD9xKpYnvpAwqB694l5vKkm3LRaJ0ubr06145tBTq9SL9Y&#10;I5784aYN6wp+PD7KU2RD8f3gpw3cI9YBU5RCv+p3BKyovAF+R8MIeSsXDaq8FD5cC4eZATBsVbjC&#10;UWlCEtpJnNXkvv5LH/3RSlg56zCDBfdfNsIpzvR7gyafjCbgiIV0mRy9PsTFPbasHlvMpj0ngB9h&#10;f61MYvQPei9WjtrPWL55zAqTMBK5Cx724nkYNgPLK9V8npwwplaES7O0MoaOVBuabwJVTWpJpGng&#10;ZsceBjXRvluquAmP78nr4UMy+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cQHu2QAAAA8BAAAP&#10;AAAAAAAAAAEAIAAAACIAAABkcnMvZG93bnJldi54bWxQSwECFAAUAAAACACHTuJAUeL3cVACAACQ&#10;BAAADgAAAAAAAAABACAAAAAoAQAAZHJzL2Uyb0RvYy54bWxQSwUGAAAAAAYABgBZAQAA6gUAAAAA&#10;">
                <v:fill on="t" focussize="0,0"/>
                <v:stroke on="f" weight="0.5pt"/>
                <v:imagedata o:title=""/>
                <o:lock v:ext="edit" aspectratio="f"/>
                <v:textbo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附件三</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5010785</wp:posOffset>
                </wp:positionH>
                <wp:positionV relativeFrom="paragraph">
                  <wp:posOffset>-9185275</wp:posOffset>
                </wp:positionV>
                <wp:extent cx="900430" cy="32004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900430" cy="32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4.55pt;margin-top:-723.25pt;height:25.2pt;width:70.9pt;z-index:251675648;mso-width-relative:page;mso-height-relative:page;" filled="f" stroked="f" coordsize="21600,21600" o:gfxdata="UEsDBAoAAAAAAIdO4kAAAAAAAAAAAAAAAAAEAAAAZHJzL1BLAwQUAAAACACHTuJAtHwUwd8AAAAP&#10;AQAADwAAAGRycy9kb3ducmV2LnhtbE2Py07DMBBF90j8gzVI7FrbfaRJiFOhSBUSgkVLN9058TSJ&#10;8CPE7gO+HncFy5k5unNusb4aTc44+t5ZAXzKgKBtnOptK2D/sZmkQHyQVkntLAr4Rg/r8v6ukLly&#10;F7vF8y60JIZYn0sBXQhDTqlvOjTST92ANt6ObjQyxHFsqRrlJYYbTWeMJdTI3sYPnRyw6rD53J2M&#10;gNdq8y639cykP7p6eTs+D1/7w1KIxwfOnoAEvIY/GG76UR3K6FS7k1WeaAGrNOMRFTDhi0WyBBKZ&#10;bM4yIPVtN88SDrQs6P8e5S9QSwMEFAAAAAgAh07iQLSMFP06AgAAZwQAAA4AAABkcnMvZTJvRG9j&#10;LnhtbK1UwW7UMBC9I/EPlu802XZb6KrZamlVhFTRSgVx9jpOE8n2GNvbpHwA/AEnLtz5rv0Onp3d&#10;bVU49MDFGc+MZ+a9mcnJ6WA0u1M+dGQrPtkrOVNWUt3Z24p/+njx6g1nIQpbC01WVfxeBX46f/ni&#10;pHcztU8t6Vp5hiA2zHpX8TZGNyuKIFtlRNgjpyyMDXkjIq7+tqi96BHd6GK/LI+KnnztPEkVArTn&#10;o5FvIvrnBKSm6aQ6J7kyysYxqldaREAKbecCn+dqm0bJeNU0QUWmKw6kMZ9IAnmZzmJ+Ima3Xri2&#10;k5sSxHNKeILJiM4i6S7UuYiCrXz3VyjTSU+BmrgnyRQjkMwIUEzKJ9zctMKpjAVUB7cjPfy/sPLD&#10;3bVnXY1JQN+tMOj4+sf39c/f61/fGHQgqHdhBr8bB884vKUBzlt9gDLhHhpv0heIGOyg935Hrxoi&#10;k1Ael+X0ABYJ0wFGYZrpLx4eOx/iO0WGJaHiHt3LpIq7yxBRCFy3LimXpYtO69xBbVlf8aODwzI/&#10;2FnwQls8TBDGUpMUh+WwwbWk+h6wPI2TEZy86JD8UoR4LTxGAfViWeIVjkYTktBG4qwl//Vf+uSP&#10;DsHKWY/Rqnj4shJecabfW/TueDIFdBbzZXr4eh8X/9iyfGyxK3NGmN4J1tLJLCb/qLdi48l8xk4t&#10;UlaYhJXIXfG4Fc/iOPDYSakWi+yE6XMiXtobJ1Pokc7FKlLTZaYTTSM3G/Ywf7kBm11JA/74nr0e&#10;/g/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R8FMHfAAAADwEAAA8AAAAAAAAAAQAgAAAAIgAA&#10;AGRycy9kb3ducmV2LnhtbFBLAQIUABQAAAAIAIdO4kC0jBT9OgIAAGcEAAAOAAAAAAAAAAEAIAAA&#10;AC4BAABkcnMvZTJvRG9jLnhtbFBLBQYAAAAABgAGAFkBAADaBQAAAAA=&#10;">
                <v:fill on="f" focussize="0,0"/>
                <v:stroke on="f" weight="0.5pt"/>
                <v:imagedata o:title=""/>
                <o:lock v:ext="edit" aspectratio="f"/>
                <v:textbo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附件四</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5196840</wp:posOffset>
                </wp:positionH>
                <wp:positionV relativeFrom="paragraph">
                  <wp:posOffset>-9099550</wp:posOffset>
                </wp:positionV>
                <wp:extent cx="900430" cy="320040"/>
                <wp:effectExtent l="0" t="0" r="13970" b="3810"/>
                <wp:wrapNone/>
                <wp:docPr id="16" name="文本框 16"/>
                <wp:cNvGraphicFramePr/>
                <a:graphic xmlns:a="http://schemas.openxmlformats.org/drawingml/2006/main">
                  <a:graphicData uri="http://schemas.microsoft.com/office/word/2010/wordprocessingShape">
                    <wps:wsp>
                      <wps:cNvSpPr txBox="1"/>
                      <wps:spPr>
                        <a:xfrm>
                          <a:off x="0" y="0"/>
                          <a:ext cx="900430" cy="320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9.2pt;margin-top:-716.5pt;height:25.2pt;width:70.9pt;z-index:251671552;mso-width-relative:page;mso-height-relative:page;" fillcolor="#FFFFFF [3201]" filled="t" stroked="f" coordsize="21600,21600" o:gfxdata="UEsDBAoAAAAAAIdO4kAAAAAAAAAAAAAAAAAEAAAAZHJzL1BLAwQUAAAACACHTuJA/3EB7tkAAAAP&#10;AQAADwAAAGRycy9kb3ducmV2LnhtbE2Py27DIBBF95X6D2gqdZcAtmW5jnEWlbqt1CTNmhhqrMBg&#10;AXl+fcmqXc7M0Z1zu/XVWXLWIU4eBfAlA6Jx8GrCUcBu+7FogMQkUUnrUQu46Qjr/vmpk63yF/zS&#10;500aSQ7B2EoBJqW5pTQORjsZl37WmG8/PjiZ8hhGqoK85HBnacFYTZ2cMH8wctbvRg/HzckJ2I/u&#10;vv/mczDK2Qo/77ftzk9CvL5wtgKS9DX9wfDQz+rQZ6eDP6GKxApoeFNlVMCCV2WZa2XmrWYFkMNj&#10;VzZFDbTv6P8e/S9QSwMEFAAAAAgAh07iQDIBjCxQAgAAkAQAAA4AAABkcnMvZTJvRG9jLnhtbK1U&#10;wW4TMRC9I/EPlu90N01aaNRNFVoFIVW0UkGcHa83u5LXY2wnu+UD4A964sKd7+p38OxN2lA49EAO&#10;znhmPDPvzcyenvWtZhvlfEOm4KODnDNlJJWNWRX808fFqzec+SBMKTQZVfBb5fnZ7OWL085O1SHV&#10;pEvlGIIYP+1swesQ7DTLvKxVK/wBWWVgrMi1IuDqVlnpRIforc4O8/w468iV1pFU3kN7MRj5NqJ7&#10;TkCqqkaqC5LrVpkwRHVKiwBIvm6s57NUbVUpGa6qyqvAdMGBNKQTSSAv45nNTsV05YStG7ktQTyn&#10;hCeYWtEYJH0IdSGCYGvX/BWqbaQjT1U4kNRmA5DECFCM8ifc3NTCqoQFVHv7QLr/f2Hlh821Y02J&#10;STjmzIgWHb+/+37/49f9z28MOhDUWT+F342FZ+jfUg/nnd5DGXH3lWvjPxAx2EHv7QO9qg9MQnmS&#10;55MxLBKmMUZhkujPHh9b58M7RS2LQsEdupdIFZtLH1AIXHcuMZcn3ZSLRut0cavluXZsI9DpRfrF&#10;GvHkDzdtWFfw4/FRniIbiu8HP23gHrEOmKIU+mW/JWBJ5S3wOxpGyFu5aFDlpfDhWjjMDIBhq8IV&#10;jkoTktBW4qwm9/Vf+uiPVsLKWYcZLLj/shZOcabfGzT5ZDQBRyyky+To9SEubt+y3LeYdXtOAD/C&#10;/lqZxOgf9E6sHLWfsXzzmBUmYSRyFzzsxPMwbAaWV6r5PDlhTK0Il+bGyhg6Um1ovg5UNaklkaaB&#10;my17GNRE+3ap4ibs35PX44dk9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cQHu2QAAAA8BAAAP&#10;AAAAAAAAAAEAIAAAACIAAABkcnMvZG93bnJldi54bWxQSwECFAAUAAAACACHTuJAMgGMLFACAACQ&#10;BAAADgAAAAAAAAABACAAAAAoAQAAZHJzL2Uyb0RvYy54bWxQSwUGAAAAAAYABgBZAQAA6gUAAAAA&#10;">
                <v:fill on="t" focussize="0,0"/>
                <v:stroke on="f" weight="0.5pt"/>
                <v:imagedata o:title=""/>
                <o:lock v:ext="edit" aspectratio="f"/>
                <v:textbo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附件四</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4987290</wp:posOffset>
                </wp:positionH>
                <wp:positionV relativeFrom="paragraph">
                  <wp:posOffset>-9078595</wp:posOffset>
                </wp:positionV>
                <wp:extent cx="900430" cy="320040"/>
                <wp:effectExtent l="0" t="0" r="13970" b="3810"/>
                <wp:wrapNone/>
                <wp:docPr id="17" name="文本框 17"/>
                <wp:cNvGraphicFramePr/>
                <a:graphic xmlns:a="http://schemas.openxmlformats.org/drawingml/2006/main">
                  <a:graphicData uri="http://schemas.microsoft.com/office/word/2010/wordprocessingShape">
                    <wps:wsp>
                      <wps:cNvSpPr txBox="1"/>
                      <wps:spPr>
                        <a:xfrm>
                          <a:off x="0" y="0"/>
                          <a:ext cx="900430" cy="320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b w:val="0"/>
                                <w:bCs w:val="0"/>
                                <w:lang w:val="en-US" w:eastAsia="zh-CN"/>
                              </w:rPr>
                            </w:pPr>
                            <w:r>
                              <w:rPr>
                                <w:rFonts w:hint="eastAsia" w:ascii="黑体" w:hAnsi="黑体" w:eastAsia="黑体" w:cs="黑体"/>
                                <w:b w:val="0"/>
                                <w:bCs w:val="0"/>
                                <w:lang w:eastAsia="zh-CN"/>
                              </w:rPr>
                              <w:t>附件三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7pt;margin-top:-714.85pt;height:25.2pt;width:70.9pt;z-index:251666432;mso-width-relative:page;mso-height-relative:page;" fillcolor="#FFFFFF [3201]" filled="t" stroked="f" coordsize="21600,21600" o:gfxdata="UEsDBAoAAAAAAIdO4kAAAAAAAAAAAAAAAAAEAAAAZHJzL1BLAwQUAAAACACHTuJA6lTyE9oAAAAP&#10;AQAADwAAAGRycy9kb3ducmV2LnhtbE2Py07DMBBF90j8gzVI7FonaSBNiNMFElsk+lq78RBH2OPI&#10;dp9fj7uC5cwc3Tm3XV2sYSf0YXQkIJ9nwJB6p0YaBGw3H7MlsBAlKWkcoYArBlh1jw+tbJQ70xee&#10;1nFgKYRCIwXoGKeG89BrtDLM3YSUbt/OWxnT6AeuvDyncGt4kWWv3MqR0gctJ3zX2P+sj1bAfrC3&#10;/S6fvFbWlPR5u262bhTi+SnP3oBFvMQ/GO76SR265HRwR1KBGQHV8qVMqIBZXhZ1BSwxdVEVwA73&#10;3aKqF8C7lv/v0f0CUEsDBBQAAAAIAIdO4kASnO6JUAIAAJAEAAAOAAAAZHJzL2Uyb0RvYy54bWyt&#10;VMFuEzEQvSPxD5bvdDdp2tIomyq0CkKqaKWCODteb3Ylr8fYTnbLB8AfcOLCne/qd/DsTdpSOPRA&#10;Ds54Zjwz783Mzs76VrOtcr4hU/DRQc6ZMpLKxqwL/vHD8tVrznwQphSajCr4rfL8bP7yxayzUzWm&#10;mnSpHEMQ46edLXgdgp1mmZe1aoU/IKsMjBW5VgRc3TornegQvdXZOM+Ps45caR1J5T20F4OR7yK6&#10;5wSkqmqkuiC5aZUJQ1SntAiA5OvGej5P1VaVkuGqqrwKTBccSEM6kQTyKp7ZfCamayds3chdCeI5&#10;JTzB1IrGIOl9qAsRBNu45q9QbSMdearCgaQ2G4AkRoBilD/h5qYWViUsoNrbe9L9/wsr32+vHWtK&#10;TMIJZ0a06Pjd9293P37d/fzKoANBnfVT+N1YeIb+DfVw3us9lBF3X7k2/gMRgx303t7Tq/rAJJSn&#10;eT45hEXCdIhRmCT6s4fH1vnwVlHLolBwh+4lUsX20gcUAte9S8zlSTflstE6Xdx6da4d2wp0epl+&#10;sUY8+cNNG9YV/PjwKE+RDcX3g582cI9YB0xRCv2q3xGwovIW+B0NI+StXDao8lL4cC0cZgbAsFXh&#10;CkelCUloJ3FWk/vyL330Ryth5azDDBbcf94IpzjT7wyafDqagCMW0mVydDLGxT22rB5bzKY9J4Af&#10;YX+tTGL0D3ovVo7aT1i+RcwKkzASuQse9uJ5GDYDyyvVYpGcMKZWhEtzY2UMHak2tNgEqprUkkjT&#10;wM2OPQxqon23VHETHt+T18OHZP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6lTyE9oAAAAPAQAA&#10;DwAAAAAAAAABACAAAAAiAAAAZHJzL2Rvd25yZXYueG1sUEsBAhQAFAAAAAgAh07iQBKc7olQAgAA&#10;kAQAAA4AAAAAAAAAAQAgAAAAKQEAAGRycy9lMm9Eb2MueG1sUEsFBgAAAAAGAAYAWQEAAOsFAAAA&#10;AA==&#10;">
                <v:fill on="t" focussize="0,0"/>
                <v:stroke on="f" weight="0.5pt"/>
                <v:imagedata o:title=""/>
                <o:lock v:ext="edit" aspectratio="f"/>
                <v:textbox>
                  <w:txbxContent>
                    <w:p>
                      <w:pPr>
                        <w:jc w:val="center"/>
                        <w:rPr>
                          <w:rFonts w:hint="default" w:ascii="黑体" w:hAnsi="黑体" w:eastAsia="黑体" w:cs="黑体"/>
                          <w:b w:val="0"/>
                          <w:bCs w:val="0"/>
                          <w:lang w:val="en-US" w:eastAsia="zh-CN"/>
                        </w:rPr>
                      </w:pPr>
                      <w:r>
                        <w:rPr>
                          <w:rFonts w:hint="eastAsia" w:ascii="黑体" w:hAnsi="黑体" w:eastAsia="黑体" w:cs="黑体"/>
                          <w:b w:val="0"/>
                          <w:bCs w:val="0"/>
                          <w:lang w:eastAsia="zh-CN"/>
                        </w:rPr>
                        <w:t>附件三</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7686675</wp:posOffset>
                </wp:positionH>
                <wp:positionV relativeFrom="paragraph">
                  <wp:posOffset>-5694045</wp:posOffset>
                </wp:positionV>
                <wp:extent cx="900430" cy="320040"/>
                <wp:effectExtent l="0" t="0" r="13970" b="3810"/>
                <wp:wrapNone/>
                <wp:docPr id="20" name="文本框 20"/>
                <wp:cNvGraphicFramePr/>
                <a:graphic xmlns:a="http://schemas.openxmlformats.org/drawingml/2006/main">
                  <a:graphicData uri="http://schemas.microsoft.com/office/word/2010/wordprocessingShape">
                    <wps:wsp>
                      <wps:cNvSpPr txBox="1"/>
                      <wps:spPr>
                        <a:xfrm>
                          <a:off x="0" y="0"/>
                          <a:ext cx="900430" cy="320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5.25pt;margin-top:-448.35pt;height:25.2pt;width:70.9pt;z-index:251673600;mso-width-relative:page;mso-height-relative:page;" fillcolor="#FFFFFF [3201]" filled="t" stroked="f" coordsize="21600,21600" o:gfxdata="UEsDBAoAAAAAAIdO4kAAAAAAAAAAAAAAAAAEAAAAZHJzL1BLAwQUAAAACACHTuJAwRyRLdgAAAAP&#10;AQAADwAAAGRycy9kb3ducmV2LnhtbE2Py07DMBBF90j8gzVI7Fo7SRtKiNMFElsk+lq78ZBE2OPI&#10;dp9fj7OC5Z05unOmXl+tYWf0YXAkIZsLYEit0wN1Enbbj9kKWIiKtDKOUMINA6ybx4daVdpd6AvP&#10;m9ixVEKhUhL6GMeK89D2aFWYuxEp7b6dtyqm6Duuvbqkcmt4LkTJrRooXejViO89tj+bk5Vw6Oz9&#10;sM9G32trFvR5v213bpDy+SkTb8AiXuMfDJN+UocmOR3diXRgJuU8E8vESpitXssXYBNTLPMC2HGa&#10;LcoCeFPz/380v1BLAwQUAAAACACHTuJAj4V8CVACAACQBAAADgAAAGRycy9lMm9Eb2MueG1srVTN&#10;bhMxEL4j8Q6W73Q3Py006qYKrYKQKlqpIM6O15tdyesxtpPd8gDwBj1x4c5z9Tn47E3aUjj0QA7O&#10;eGY8M983M3ty2reabZXzDZmCjw5yzpSRVDZmXfBPH5ev3nDmgzCl0GRUwW+U56fzly9OOjtTY6pJ&#10;l8oxBDF+1tmC1yHYWZZ5WatW+AOyysBYkWtFwNWts9KJDtFbnY3z/CjryJXWkVTeQ3s+GPkuontO&#10;QKqqRqpzkptWmTBEdUqLAEi+bqzn81RtVSkZLqvKq8B0wYE0pBNJIK/imc1PxGzthK0buStBPKeE&#10;J5ha0RgkvQ91LoJgG9f8FaptpCNPVTiQ1GYDkMQIUIzyJ9xc18KqhAVUe3tPuv9/YeWH7ZVjTVnw&#10;MSgxokXH726/3/34dffzG4MOBHXWz+B3beEZ+rfUY2z2eg9lxN1Xro3/QMRgR6ybe3pVH5iE8jjP&#10;pxNYJEwTjMI0Rc8eHlvnwztFLYtCwR26l0gV2wsfUAhc9y4xlyfdlMtG63Rx69WZdmwr0Oll+sUa&#10;8eQPN21YV/CjyWGeIhuK7wc/beAesQ6YohT6Vb8jYEXlDfA7GkbIW7lsUOWF8OFKOMwMgGGrwiWO&#10;ShOS0E7irCb39V/66I9WwspZhxksuP+yEU5xpt8bNPl4NAVHLKTL9PB1bJF7bFk9tphNe0YAP8L+&#10;WpnE6B/0XqwctZ+xfIuYFSZhJHIXPOzFszBsBpZXqsUiOWFMrQgX5trKGDpSbWixCVQ1qSWRpoGb&#10;HXsY1ET7bqniJjy+J6+HD8n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EckS3YAAAADwEAAA8A&#10;AAAAAAAAAQAgAAAAIgAAAGRycy9kb3ducmV2LnhtbFBLAQIUABQAAAAIAIdO4kCPhXwJUAIAAJAE&#10;AAAOAAAAAAAAAAEAIAAAACcBAABkcnMvZTJvRG9jLnhtbFBLBQYAAAAABgAGAFkBAADpBQAAAAA=&#10;">
                <v:fill on="t" focussize="0,0"/>
                <v:stroke on="f" weight="0.5pt"/>
                <v:imagedata o:title=""/>
                <o:lock v:ext="edit" aspectratio="f"/>
                <v:textbo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附件五</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5196840</wp:posOffset>
                </wp:positionH>
                <wp:positionV relativeFrom="paragraph">
                  <wp:posOffset>-9099550</wp:posOffset>
                </wp:positionV>
                <wp:extent cx="900430" cy="320040"/>
                <wp:effectExtent l="0" t="0" r="13970" b="3810"/>
                <wp:wrapNone/>
                <wp:docPr id="19" name="文本框 19"/>
                <wp:cNvGraphicFramePr/>
                <a:graphic xmlns:a="http://schemas.openxmlformats.org/drawingml/2006/main">
                  <a:graphicData uri="http://schemas.microsoft.com/office/word/2010/wordprocessingShape">
                    <wps:wsp>
                      <wps:cNvSpPr txBox="1"/>
                      <wps:spPr>
                        <a:xfrm>
                          <a:off x="0" y="0"/>
                          <a:ext cx="900430" cy="320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9.2pt;margin-top:-716.5pt;height:25.2pt;width:70.9pt;z-index:251672576;mso-width-relative:page;mso-height-relative:page;" fillcolor="#FFFFFF [3201]" filled="t" stroked="f" coordsize="21600,21600" o:gfxdata="UEsDBAoAAAAAAIdO4kAAAAAAAAAAAAAAAAAEAAAAZHJzL1BLAwQUAAAACACHTuJA/3EB7tkAAAAP&#10;AQAADwAAAGRycy9kb3ducmV2LnhtbE2Py27DIBBF95X6D2gqdZcAtmW5jnEWlbqt1CTNmhhqrMBg&#10;AXl+fcmqXc7M0Z1zu/XVWXLWIU4eBfAlA6Jx8GrCUcBu+7FogMQkUUnrUQu46Qjr/vmpk63yF/zS&#10;500aSQ7B2EoBJqW5pTQORjsZl37WmG8/PjiZ8hhGqoK85HBnacFYTZ2cMH8wctbvRg/HzckJ2I/u&#10;vv/mczDK2Qo/77ftzk9CvL5wtgKS9DX9wfDQz+rQZ6eDP6GKxApoeFNlVMCCV2WZa2XmrWYFkMNj&#10;VzZFDbTv6P8e/S9QSwMEFAAAAAgAh07iQJckAMtQAgAAkAQAAA4AAABkcnMvZTJvRG9jLnhtbK1U&#10;zW4TMRC+I/EOlu90Nz8tNOqmCq2CkCpaqSDOjtebXcnrMbaT3fIA8AY9ceHOc/U5+OxN2lI49EAO&#10;znhmPDPfNzN7ctq3mm2V8w2Zgo8Ocs6UkVQ2Zl3wTx+Xr95w5oMwpdBkVMFvlOen85cvTjo7U2Oq&#10;SZfKMQQxftbZgtch2FmWeVmrVvgDssrAWJFrRcDVrbPSiQ7RW52N8/wo68iV1pFU3kN7Phj5LqJ7&#10;TkCqqkaqc5KbVpkwRHVKiwBIvm6s5/NUbVUpGS6ryqvAdMGBNKQTSSCv4pnNT8Rs7YStG7krQTyn&#10;hCeYWtEYJL0PdS6CYBvX/BWqbaQjT1U4kNRmA5DECFCM8ifcXNfCqoQFVHt7T7r/f2Hlh+2VY02J&#10;STjmzIgWHb+7/X7349fdz28MOhDUWT+D37WFZ+jfUg/nvd5DGXH3lWvjPxAx2EHvzT29qg9MQnmc&#10;59MJLBKmCUZhmujPHh5b58M7RS2LQsEdupdIFdsLH1AIXPcuMZcn3ZTLRut0cevVmXZsK9DpZfrF&#10;GvHkDzdtWFfwo8lhniIbiu8HP23gHrEOmKIU+lW/I2BF5Q3wOxpGyFu5bFDlhfDhSjjMDIBhq8Il&#10;jkoTktBO4qwm9/Vf+uiPVsLKWYcZLLj/shFOcabfGzT5eDQFRyyky/Tw9RgX99iyemwxm/aMAH6E&#10;/bUyidE/6L1YOWo/Y/kWMStMwkjkLnjYi2dh2Awsr1SLRXLCmFoRLsy1lTF0pNrQYhOoalJLIk0D&#10;Nzv2MKiJ9t1SxU14fE9eDx+S+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cQHu2QAAAA8BAAAP&#10;AAAAAAAAAAEAIAAAACIAAABkcnMvZG93bnJldi54bWxQSwECFAAUAAAACACHTuJAlyQAy1ACAACQ&#10;BAAADgAAAAAAAAABACAAAAAoAQAAZHJzL2Uyb0RvYy54bWxQSwUGAAAAAAYABgBZAQAA6gUAAAAA&#10;">
                <v:fill on="t" focussize="0,0"/>
                <v:stroke on="f" weight="0.5pt"/>
                <v:imagedata o:title=""/>
                <o:lock v:ext="edit" aspectratio="f"/>
                <v:textbo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附件六</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5277485</wp:posOffset>
                </wp:positionH>
                <wp:positionV relativeFrom="paragraph">
                  <wp:posOffset>-9178290</wp:posOffset>
                </wp:positionV>
                <wp:extent cx="900430" cy="32004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900430" cy="32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lang w:eastAsia="zh-CN"/>
                              </w:rPr>
                            </w:pPr>
                            <w:r>
                              <w:rPr>
                                <w:rFonts w:hint="eastAsia" w:ascii="黑体" w:hAnsi="黑体" w:eastAsia="黑体" w:cs="黑体"/>
                                <w:b w:val="0"/>
                                <w:bCs w:val="0"/>
                                <w:lang w:eastAsia="zh-CN"/>
                              </w:rPr>
                              <w:t>附件四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55pt;margin-top:-722.7pt;height:25.2pt;width:70.9pt;z-index:251667456;mso-width-relative:page;mso-height-relative:page;" filled="f" stroked="f" coordsize="21600,21600" o:gfxdata="UEsDBAoAAAAAAIdO4kAAAAAAAAAAAAAAAAAEAAAAZHJzL1BLAwQUAAAACACHTuJAozPg9+AAAAAP&#10;AQAADwAAAGRycy9kb3ducmV2LnhtbE2Py07DMBBF90j8gzVI7FrbaQJJGqdCkSokRBct3XTnxG4S&#10;EY9D7D7g63FXsJyZozvnFqurGchZT663KIDPGRCNjVU9tgL2H+tZCsR5iUoOFrWAb+1gVd7fFTJX&#10;9oJbfd75loQQdLkU0Hk/5pS6ptNGurkdNYbb0U5G+jBOLVWTvIRwM9CIsSdqZI/hQydHXXW6+dyd&#10;jIC3ar2R2zoy6c9Qvb4fX8av/SER4vGBsyUQr6/+D4abflCHMjjV9oTKkUFAuuA8oAJmPI6TGEhg&#10;sucoA1LfdossYUDLgv7vUf4CUEsDBBQAAAAIAIdO4kBR4dXzOwIAAGcEAAAOAAAAZHJzL2Uyb0Rv&#10;Yy54bWytVMFuEzEQvSPxD5bvdDdNWmjUTRVaFSFVtFJBnB2vt7uS7TG2093yAfAHnLhw57v6HTx7&#10;k7QqHHrgshnPjGfmvXnO8clgNLtVPnRkKz7ZKzlTVlLd2ZuKf/p4/uoNZyEKWwtNVlX8TgV+snj5&#10;4rh3c7VPLelaeYYiNsx7V/E2RjcviiBbZUTYI6csgg15IyKO/qaovehR3ehivywPi5587TxJFQK8&#10;Z2OQbyr65xSkpumkOiO5NsrGsapXWkRACm3nAl/kaZtGyXjZNEFFpisOpDF/0QT2Kn2LxbGY33jh&#10;2k5uRhDPGeEJJiM6i6a7UmciCrb23V+lTCc9BWriniRTjEAyI0AxKZ9wc90KpzIWUB3cjvTw/8rK&#10;D7dXnnV1xacTzqww2Pj9j+/3P3/f//rG4ANBvQtz5F07ZMbhLQ2QzdYf4Ey4h8ab9AtEDHHQe7ej&#10;Vw2RSTiPynI2RUQiNIUUZpn+4uGy8yG+U2RYMirusb1Mqri9CBGDIHWbknpZOu+0zhvUlvUVP5we&#10;lPnCLoIb2uJigjCOmqw4rIYNrhXVd4DlaVRGcPK8Q/MLEeKV8JAC5sVjiZf4NJrQhDYWZy35r//y&#10;p3xsCFHOekir4uHLWnjFmX5vsbujyQzQWcyH2cHrfRz848jqccSuzSlBvVgPpstmyo96azaezGe8&#10;qWXqipCwEr0rHrfmaRwFjzcp1XKZk6A+J+KFvXYylR7pXK4jNV1mOtE0crNhD/rLC9i8lSTwx+ec&#10;9fD/sP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zPg9+AAAAAPAQAADwAAAAAAAAABACAAAAAi&#10;AAAAZHJzL2Rvd25yZXYueG1sUEsBAhQAFAAAAAgAh07iQFHh1fM7AgAAZwQAAA4AAAAAAAAAAQAg&#10;AAAALwEAAGRycy9lMm9Eb2MueG1sUEsFBgAAAAAGAAYAWQEAANwFAAAAAA==&#10;">
                <v:fill on="f" focussize="0,0"/>
                <v:stroke on="f" weight="0.5pt"/>
                <v:imagedata o:title=""/>
                <o:lock v:ext="edit" aspectratio="f"/>
                <v:textbox>
                  <w:txbxContent>
                    <w:p>
                      <w:pPr>
                        <w:jc w:val="center"/>
                        <w:rPr>
                          <w:rFonts w:hint="eastAsia" w:eastAsiaTheme="minorEastAsia"/>
                          <w:b/>
                          <w:bCs/>
                          <w:lang w:eastAsia="zh-CN"/>
                        </w:rPr>
                      </w:pPr>
                      <w:r>
                        <w:rPr>
                          <w:rFonts w:hint="eastAsia" w:ascii="黑体" w:hAnsi="黑体" w:eastAsia="黑体" w:cs="黑体"/>
                          <w:b w:val="0"/>
                          <w:bCs w:val="0"/>
                          <w:lang w:eastAsia="zh-CN"/>
                        </w:rPr>
                        <w:t>附件四</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5277485</wp:posOffset>
                </wp:positionH>
                <wp:positionV relativeFrom="paragraph">
                  <wp:posOffset>-9178290</wp:posOffset>
                </wp:positionV>
                <wp:extent cx="900430" cy="32004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900430" cy="32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lang w:eastAsia="zh-CN"/>
                              </w:rPr>
                            </w:pPr>
                            <w:r>
                              <w:rPr>
                                <w:rFonts w:hint="eastAsia" w:ascii="黑体" w:hAnsi="黑体" w:eastAsia="黑体" w:cs="黑体"/>
                                <w:b w:val="0"/>
                                <w:bCs w:val="0"/>
                                <w:lang w:eastAsia="zh-CN"/>
                              </w:rPr>
                              <w:t>附件五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55pt;margin-top:-722.7pt;height:25.2pt;width:70.9pt;z-index:251668480;mso-width-relative:page;mso-height-relative:page;" filled="f" stroked="f" coordsize="21600,21600" o:gfxdata="UEsDBAoAAAAAAIdO4kAAAAAAAAAAAAAAAAAEAAAAZHJzL1BLAwQUAAAACACHTuJAozPg9+AAAAAP&#10;AQAADwAAAGRycy9kb3ducmV2LnhtbE2Py07DMBBF90j8gzVI7FrbaQJJGqdCkSokRBct3XTnxG4S&#10;EY9D7D7g63FXsJyZozvnFqurGchZT663KIDPGRCNjVU9tgL2H+tZCsR5iUoOFrWAb+1gVd7fFTJX&#10;9oJbfd75loQQdLkU0Hk/5pS6ptNGurkdNYbb0U5G+jBOLVWTvIRwM9CIsSdqZI/hQydHXXW6+dyd&#10;jIC3ar2R2zoy6c9Qvb4fX8av/SER4vGBsyUQr6/+D4abflCHMjjV9oTKkUFAuuA8oAJmPI6TGEhg&#10;sucoA1LfdossYUDLgv7vUf4CUEsDBBQAAAAIAIdO4kD+ZuERPAIAAGcEAAAOAAAAZHJzL2Uyb0Rv&#10;Yy54bWytVM1uEzEQviPxDpbvdDc/LTTqpgqtgpAiWqkgzo7Xm13Jf9hOdsMDwBtw4sKd58pz8Nmb&#10;pFHh0AMX73hmPDPfNzN7dd0pSTbC+cbogg7OckqE5qZs9Kqgnz7OX72hxAemSyaNFgXdCk+vpy9f&#10;XLV2IoamNrIUjiCI9pPWFrQOwU6yzPNaKObPjBUaxso4xQKubpWVjrWIrmQ2zPOLrDWutM5w4T20&#10;t72R7iO65wQ0VdVwcWv4Wgkd+qhOSBYAydeN9XSaqq0qwcNdVXkRiCwokIZ0IgnkZTyz6RWbrByz&#10;dcP3JbDnlPAEk2KNRtJjqFsWGFm75q9QquHOeFOFM25U1gNJjADFIH/CzUPNrEhYQLW3R9L9/wvL&#10;P2zuHWnKgo6GlGim0PHdj++7n793v74R6EBQa/0Efg8WnqF7azqMzUHvoYy4u8qp+AUiAjvo3R7p&#10;FV0gHMrLPB+PYOEwjTAK40R/9vjYOh/eCaNIFArq0L1EKtssfEAhcD24xFzazBspUwelJm1BL0bn&#10;eXpwtOCF1HgYIfSlRil0y26Pa2nKLWA500+Gt3zeIPmC+XDPHEYB9WJZwh2OShokMXuJktq4r//S&#10;R390CFZKWoxWQf2XNXOCEvleo3eXgzGgk5Au4/PXQ1zcqWV5atFrdWMwvQOspeVJjP5BHsTKGfUZ&#10;OzWLWWFimiN3QcNBvAn9wGMnuZjNkhOmz7Kw0A+Wx9A9nbN1MFWTmI409dzs2cP8pQbsdyUO+Ok9&#10;eT3+H6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Mz4PfgAAAADwEAAA8AAAAAAAAAAQAgAAAA&#10;IgAAAGRycy9kb3ducmV2LnhtbFBLAQIUABQAAAAIAIdO4kD+ZuERPAIAAGcEAAAOAAAAAAAAAAEA&#10;IAAAAC8BAABkcnMvZTJvRG9jLnhtbFBLBQYAAAAABgAGAFkBAADdBQAAAAA=&#10;">
                <v:fill on="f" focussize="0,0"/>
                <v:stroke on="f" weight="0.5pt"/>
                <v:imagedata o:title=""/>
                <o:lock v:ext="edit" aspectratio="f"/>
                <v:textbox>
                  <w:txbxContent>
                    <w:p>
                      <w:pPr>
                        <w:jc w:val="center"/>
                        <w:rPr>
                          <w:rFonts w:hint="eastAsia" w:eastAsiaTheme="minorEastAsia"/>
                          <w:b/>
                          <w:bCs/>
                          <w:lang w:eastAsia="zh-CN"/>
                        </w:rPr>
                      </w:pPr>
                      <w:r>
                        <w:rPr>
                          <w:rFonts w:hint="eastAsia" w:ascii="黑体" w:hAnsi="黑体" w:eastAsia="黑体" w:cs="黑体"/>
                          <w:b w:val="0"/>
                          <w:bCs w:val="0"/>
                          <w:lang w:eastAsia="zh-CN"/>
                        </w:rPr>
                        <w:t>附件五</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5276215</wp:posOffset>
                </wp:positionH>
                <wp:positionV relativeFrom="paragraph">
                  <wp:posOffset>-9330690</wp:posOffset>
                </wp:positionV>
                <wp:extent cx="900430" cy="320040"/>
                <wp:effectExtent l="0" t="0" r="13970" b="3810"/>
                <wp:wrapNone/>
                <wp:docPr id="38" name="文本框 38"/>
                <wp:cNvGraphicFramePr/>
                <a:graphic xmlns:a="http://schemas.openxmlformats.org/drawingml/2006/main">
                  <a:graphicData uri="http://schemas.microsoft.com/office/word/2010/wordprocessingShape">
                    <wps:wsp>
                      <wps:cNvSpPr txBox="1"/>
                      <wps:spPr>
                        <a:xfrm>
                          <a:off x="0" y="0"/>
                          <a:ext cx="900430" cy="32004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color w:val="000000" w:themeColor="text1"/>
                                <w:lang w:eastAsia="zh-CN"/>
                                <w14:textFill>
                                  <w14:solidFill>
                                    <w14:schemeClr w14:val="tx1"/>
                                  </w14:solidFill>
                                </w14:textFill>
                              </w:rPr>
                            </w:pPr>
                            <w:r>
                              <w:rPr>
                                <w:rFonts w:hint="eastAsia" w:ascii="黑体" w:hAnsi="黑体" w:eastAsia="黑体" w:cs="黑体"/>
                                <w:b w:val="0"/>
                                <w:bCs w:val="0"/>
                                <w:color w:val="000000" w:themeColor="text1"/>
                                <w:lang w:eastAsia="zh-CN"/>
                                <w14:textFill>
                                  <w14:solidFill>
                                    <w14:schemeClr w14:val="tx1"/>
                                  </w14:solidFill>
                                </w14:textFill>
                              </w:rPr>
                              <w:t>附件七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45pt;margin-top:-734.7pt;height:25.2pt;width:70.9pt;z-index:251669504;mso-width-relative:page;mso-height-relative:page;" fillcolor="#FFFFFF [3212]" filled="t" stroked="f" coordsize="21600,21600" o:gfxdata="UEsDBAoAAAAAAIdO4kAAAAAAAAAAAAAAAAAEAAAAZHJzL1BLAwQUAAAACACHTuJAUW7OaNoAAAAP&#10;AQAADwAAAGRycy9kb3ducmV2LnhtbE2Py07DMBBF90j8gzVI7FrbJWqbNE4XSGyRaEvXbjzEUe1x&#10;FLvPr8ewgeXMHN05t15fvWNnHGMfSIGcCmBIbTA9dQp227fJElhMmox2gVDBDSOsm8eHWlcmXOgD&#10;z5vUsRxCsdIKbEpDxXlsLXodp2FAyrevMHqd8jh23Iz6ksO94zMh5tzrnvIHqwd8tdgeNyevYN/5&#10;+/5TDqM13hX0fr9td6FX6vlJihWwhNf0B8OPflaHJjsdwolMZE7B8kWUGVUwkcW8LIBlplzMFsAO&#10;vztZCuBNzf/3aL4BUEsDBBQAAAAIAIdO4kAdPfQZUAIAAJAEAAAOAAAAZHJzL2Uyb0RvYy54bWyt&#10;VMFuEzEQvSPxD5bvdDdNWmjUTRVaBSFVtFJAnB2vN7uS12NsJ7vlA+APeuLCne/qd/DsTdpSOPRA&#10;Ds54Zjwz783Mnp71rWZb5XxDpuCjg5wzZSSVjVkX/NPHxas3nPkgTCk0GVXwG+X52ezli9POTtUh&#10;1aRL5RiCGD/tbMHrEOw0y7ysVSv8AVllYKzItSLg6tZZ6USH6K3ODvP8OOvIldaRVN5DezEY+S6i&#10;e05AqqpGqguSm1aZMER1SosASL5urOezVG1VKRmuqsqrwHTBgTSkE0kgr+KZzU7FdO2ErRu5K0E8&#10;p4QnmFrRGCS9D3UhgmAb1/wVqm2kI09VOJDUZgOQxAhQjPIn3CxrYVXCAqq9vSfd/7+w8sP22rGm&#10;LPgYfTeiRcfvbr/f/fh19/Mbgw4EddZP4be08Az9W+oxNnu9hzLi7ivXxn8gYrCD3pt7elUfmITy&#10;JM8nY1gkTGOMwiTRnz08ts6Hd4paFoWCO3QvkSq2lz6gELjuXWIuT7opF43W6eLWq3Pt2Fag04v0&#10;izXiyR9u2rCu4MfjozxFNhTfD37awD1iHTBFKfSrfkfAisob4Hc0jJC3ctGgykvhw7VwmBkAw1aF&#10;KxyVJiShncRZTe7rv/TRH62ElbMOM1hw/2UjnOJMvzdo8sloAo5YSJfJ0etDXNxjy+qxxWzacwL4&#10;EfbXyiRG/6D3YuWo/Yzlm8esMAkjkbvgYS+eh2EzsLxSzefJCWNqRbg0Sytj6Ei1ofkmUNWklkSa&#10;Bm527GFQE+27pYqb8PievB4+JL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UW7OaNoAAAAPAQAA&#10;DwAAAAAAAAABACAAAAAiAAAAZHJzL2Rvd25yZXYueG1sUEsBAhQAFAAAAAgAh07iQB099BlQAgAA&#10;kAQAAA4AAAAAAAAAAQAgAAAAKQEAAGRycy9lMm9Eb2MueG1sUEsFBgAAAAAGAAYAWQEAAOsFAAAA&#10;AA==&#10;">
                <v:fill on="t" focussize="0,0"/>
                <v:stroke on="f" weight="0.5pt"/>
                <v:imagedata o:title=""/>
                <o:lock v:ext="edit" aspectratio="f"/>
                <v:textbox>
                  <w:txbxContent>
                    <w:p>
                      <w:pPr>
                        <w:jc w:val="center"/>
                        <w:rPr>
                          <w:rFonts w:hint="eastAsia" w:eastAsiaTheme="minorEastAsia"/>
                          <w:b/>
                          <w:bCs/>
                          <w:color w:val="000000" w:themeColor="text1"/>
                          <w:lang w:eastAsia="zh-CN"/>
                          <w14:textFill>
                            <w14:solidFill>
                              <w14:schemeClr w14:val="tx1"/>
                            </w14:solidFill>
                          </w14:textFill>
                        </w:rPr>
                      </w:pPr>
                      <w:r>
                        <w:rPr>
                          <w:rFonts w:hint="eastAsia" w:ascii="黑体" w:hAnsi="黑体" w:eastAsia="黑体" w:cs="黑体"/>
                          <w:b w:val="0"/>
                          <w:bCs w:val="0"/>
                          <w:color w:val="000000" w:themeColor="text1"/>
                          <w:lang w:eastAsia="zh-CN"/>
                          <w14:textFill>
                            <w14:solidFill>
                              <w14:schemeClr w14:val="tx1"/>
                            </w14:solidFill>
                          </w14:textFill>
                        </w:rPr>
                        <w:t>附件七</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-3809365</wp:posOffset>
                </wp:positionV>
                <wp:extent cx="647700" cy="1209675"/>
                <wp:effectExtent l="6350" t="6350" r="12700" b="22225"/>
                <wp:wrapNone/>
                <wp:docPr id="33" name="矩形 33"/>
                <wp:cNvGraphicFramePr/>
                <a:graphic xmlns:a="http://schemas.openxmlformats.org/drawingml/2006/main">
                  <a:graphicData uri="http://schemas.microsoft.com/office/word/2010/wordprocessingShape">
                    <wps:wsp>
                      <wps:cNvSpPr/>
                      <wps:spPr>
                        <a:xfrm>
                          <a:off x="1282700" y="5894705"/>
                          <a:ext cx="647700" cy="1209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pt;margin-top:-299.95pt;height:95.25pt;width:51pt;z-index:251664384;v-text-anchor:middle;mso-width-relative:page;mso-height-relative:page;" fillcolor="#4F81BD [3204]" filled="t" stroked="t" coordsize="21600,21600" o:gfxdata="UEsDBAoAAAAAAIdO4kAAAAAAAAAAAAAAAAAEAAAAZHJzL1BLAwQUAAAACACHTuJAFBwratoAAAAM&#10;AQAADwAAAGRycy9kb3ducmV2LnhtbE2PS0/DMBCE70j8B2uRuLV2rfBwGqcHRMUBoYrSS29OvMRR&#10;YzuK3Qf/nu0Jjjs7mvmmWl38wE44pT4GDYu5AIahjbYPnYbd13r2DCxlE6wZYkANP5hgVd/eVKa0&#10;8Rw+8bTNHaOQkEqjweU8lpyn1qE3aR5HDPT7jpM3mc6p43YyZwr3A5dCPHJv+kANzoz44rA9bI9e&#10;w2H/uvnYqJ1ce/vWiD4/KTe9a31/txBLYBkv+c8MV3xCh5qYmngMNrFBg5Q0JWuYPSilgF0dsiCp&#10;IakQqgBeV/z/iPoXUEsDBBQAAAAIAIdO4kAfR3EfhQIAAAwFAAAOAAAAZHJzL2Uyb0RvYy54bWyt&#10;VEFu2zAQvBfoHwjeG8mKHDtG5MCN4aJA0ARIi55pirIEUCRL0pbTzxToLY/oc4p+o0NKSZykhxzq&#10;A72rHe5wh7s8O9+3kuyEdY1WBR0dpZQIxXXZqE1Bv3xevZtS4jxTJZNaiYLeCkfP52/fnHVmJjJd&#10;a1kKS5BEuVlnClp7b2ZJ4ngtWuaOtBEKwUrblnm4dpOUlnXI3sokS9OTpNO2NFZz4Ry+LvsgHTLa&#10;1yTUVdVwsdR82wrl+6xWSOZRkqsb4+g8nraqBPdXVeWEJ7KgqNTHFSSw12FN5mdstrHM1A0fjsBe&#10;c4RnNbWsUSB9SLVknpGtbV6kahtutdOVP+K6TfpCoiKoYpQ+0+amZkbEWiC1Mw+iu/+Xln/aXVvS&#10;lAU9PqZEsRY3/ufH3e9fPwk+QJ3OuBlAN+baDp6DGUrdV7YN/yiC7NFJ2TSbpND1tqDj6Wk+Sce9&#10;umLvCQfgJJ/EOAdglKWnJ5MISB4zGev8B6FbEoyCWtxeFJXtLp0HO6D3kEDstGzKVSNldOxmfSEt&#10;2THcdL6ajt4vAz22PIFJRbqCZuM8nJQz9G+FvoHZGmjg1IYSJjcYDO5t5H6y2x2SHE/Hy+miB9Ws&#10;FD31OMXvnrmHvzxFqGLJXN1viRTDFqmADpr3Kgdrrctb3JHVffM6w1cN9l8y56+ZRbeiEsyzv8JS&#10;SY3y9GBRUmv7/V/fAx5NhCglHbofpX/bMisokR8V2ut0lOdI66OTjycZHHsYWR9G1La90JB9hJfD&#10;8GgGvJf3ZmV1+xVjvwisCDHFwd2LPDgXvp9KPBxcLBYRhhExzF+qG8ND8nDNSi+2XldNbIdHdQbR&#10;MCRR7GGgwxQe+hH1+IjN/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UHCtq2gAAAAwBAAAPAAAA&#10;AAAAAAEAIAAAACIAAABkcnMvZG93bnJldi54bWxQSwECFAAUAAAACACHTuJAH0dxH4UCAAAMBQAA&#10;DgAAAAAAAAABACAAAAApAQAAZHJzL2Uyb0RvYy54bWxQSwUGAAAAAAYABgBZAQAAIAYAAAAA&#10;">
                <v:fill on="t" focussize="0,0"/>
                <v:stroke weight="2pt" color="#385D8A [3204]" joinstyle="round"/>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101600</wp:posOffset>
                </wp:positionH>
                <wp:positionV relativeFrom="paragraph">
                  <wp:posOffset>-3885565</wp:posOffset>
                </wp:positionV>
                <wp:extent cx="476250" cy="1362075"/>
                <wp:effectExtent l="4445" t="4445" r="14605" b="5080"/>
                <wp:wrapNone/>
                <wp:docPr id="34" name="文本框 34"/>
                <wp:cNvGraphicFramePr/>
                <a:graphic xmlns:a="http://schemas.openxmlformats.org/drawingml/2006/main">
                  <a:graphicData uri="http://schemas.microsoft.com/office/word/2010/wordprocessingShape">
                    <wps:wsp>
                      <wps:cNvSpPr txBox="1"/>
                      <wps:spPr>
                        <a:xfrm>
                          <a:off x="1244600" y="5818505"/>
                          <a:ext cx="476250" cy="1362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pt;margin-top:-305.95pt;height:107.25pt;width:37.5pt;z-index:251663360;mso-width-relative:page;mso-height-relative:page;" fillcolor="#FFFFFF [3201]" filled="t" stroked="t" coordsize="21600,21600" o:gfxdata="UEsDBAoAAAAAAIdO4kAAAAAAAAAAAAAAAAAEAAAAZHJzL1BLAwQUAAAACACHTuJAZsPJUtcAAAAL&#10;AQAADwAAAGRycy9kb3ducmV2LnhtbE2PwU7DMBBE70j8g7VI3FrHDQokjVMJJCTEjZILNzfeJlHj&#10;dWS7Tfl7lhMcZ3Y0+6beXd0kLhji6EmDWmcgkDpvR+o1tJ+vqycQMRmyZvKEGr4xwq65valNZf1C&#10;H3jZp15wCcXKaBhSmispYzegM3HtZyS+HX1wJrEMvbTBLFzuJrnJskI6MxJ/GMyMLwN2p/3ZaXgr&#10;ntMXtvbd5pvcL63swnGKWt/fqWwLIuE1/YXhF5/RoWGmgz+TjWJiXfCUpGFVKFWC4ESp2Dmwk5eP&#10;DyCbWv7f0PwAUEsDBBQAAAAIAIdO4kCpCBlHZQIAAMUEAAAOAAAAZHJzL2Uyb0RvYy54bWytVMFu&#10;EzEQvSPxD5bvdDfpJi1RN1VoFYRU0UoFcXa83qyF1za2k93yAfAHnLhw57v6HTx7k7a0HHogB2fs&#10;eXkz82YmJ6d9q8hWOC+NLunoIKdEaG4qqdcl/fhh+eqYEh+YrpgyWpT0Rnh6On/54qSzMzE2jVGV&#10;cAQk2s86W9ImBDvLMs8b0TJ/YKzQcNbGtSzg6tZZ5VgH9lZl4zyfZp1xlXWGC+/xej446Y7RPYfQ&#10;1LXk4tzwTSt0GFidUCygJN9I6+k8ZVvXgofLuvYiEFVSVBrSiSCwV/HM5idstnbMNpLvUmDPSeFR&#10;TS2TGkHvqM5ZYGTj5BOqVnJnvKnDATdtNhSSFEEVo/yRNtcNsyLVAqm9vRPd/z9a/n575YisSnpY&#10;UKJZi47f/vh++/P37a9vBG8QqLN+Bty1BTL0b0yPsdm/ezzGuvvatfEbFZHoHxfFNIfINyWdHI+O&#10;J/lkkFr0gXAAiqPpeAI/B2B0OB3nRwmQ3TNZ58NbYVoSjZI6tDIpzLYXPiArQPeQGNgbJaulVCpd&#10;3Hp1phzZMrR9mT4xPH7yF0xp0pV0eohEnlBE7juKlWL881MG8CkN2ijQIES0Qr/qd6qtTHUD0ZwZ&#10;5s5bvpTgvWA+XDGHQYMCWMVwiaNWBsmYnUVJY9zXf71HPPoPLyUdBrek/suGOUGJeqcxGa9HRQHa&#10;kC7F5GiMi3voWT306E17ZiDSCEtveTIjPqi9WTvTfsLGLmJUuJjmiF3SsDfPwrBO2HguFosEwmxb&#10;Fi70teWROoqrzWITTC1T66JMgzY79TDdqT27TYzr8/CeUPf/Pv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sPJUtcAAAALAQAADwAAAAAAAAABACAAAAAiAAAAZHJzL2Rvd25yZXYueG1sUEsBAhQA&#10;FAAAAAgAh07iQKkIGUdlAgAAxQQAAA4AAAAAAAAAAQAgAAAAJgEAAGRycy9lMm9Eb2MueG1sUEsF&#10;BgAAAAAGAAYAWQEAAP0FAAAAAA==&#10;">
                <v:fill on="t" focussize="0,0"/>
                <v:stroke weight="0.5pt" color="#000000 [3204]"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5091430</wp:posOffset>
                </wp:positionH>
                <wp:positionV relativeFrom="paragraph">
                  <wp:posOffset>-9073515</wp:posOffset>
                </wp:positionV>
                <wp:extent cx="900430" cy="32004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900430" cy="32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b/>
                                <w:bCs/>
                                <w:lang w:val="en-US" w:eastAsia="zh-CN"/>
                              </w:rPr>
                            </w:pPr>
                            <w:r>
                              <w:rPr>
                                <w:rFonts w:hint="eastAsia" w:ascii="黑体" w:hAnsi="黑体" w:eastAsia="黑体" w:cs="黑体"/>
                                <w:b w:val="0"/>
                                <w:bCs w:val="0"/>
                                <w:lang w:eastAsia="zh-CN"/>
                              </w:rPr>
                              <w:t>附件四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9pt;margin-top:-714.45pt;height:25.2pt;width:70.9pt;z-index:251665408;mso-width-relative:page;mso-height-relative:page;" filled="f" stroked="f" coordsize="21600,21600" o:gfxdata="UEsDBAoAAAAAAIdO4kAAAAAAAAAAAAAAAAAEAAAAZHJzL1BLAwQUAAAACACHTuJAHmnBjN8AAAAP&#10;AQAADwAAAGRycy9kb3ducmV2LnhtbE2PS0/DMBCE70j8B2uRuLV20gduiFOhSBUSgkNLL9w2sZtE&#10;xOsQuw/49bgnOO7saOabfH2xPTuZ0XeOFCRTAcxQ7XRHjYL9+2YigfmApLF3ZBR8Gw/r4vYmx0y7&#10;M23NaRcaFkPIZ6igDWHIOPd1ayz6qRsMxd/BjRZDPMeG6xHPMdz2PBViyS12FBtaHEzZmvpzd7QK&#10;XsrNG26r1Mqfvnx+PTwNX/uPhVL3d4l4BBbMJfyZ4Yof0aGITJU7kvasVyBFEtGDgkkyT+UKWPSs&#10;5rMlsOqqzR7kAniR8/87il9QSwMEFAAAAAgAh07iQLsQOuY8AgAAZwQAAA4AAABkcnMvZTJvRG9j&#10;LnhtbK1UwW7UMBC9I/EPlu802e620FWz1dKqCKmilQri7HWcJpLtMba3SfkA+ANOXLjzXf0Onp3d&#10;bVU49MDFGc+MZ+a9mcnxyWA0u1U+dGQrPtkrOVNWUt3Zm4p/+nj+6g1nIQpbC01WVfxOBX6yePni&#10;uHdztU8t6Vp5hiA2zHtX8TZGNy+KIFtlRNgjpyyMDXkjIq7+pqi96BHd6GK/LA+LnnztPEkVArRn&#10;o5FvIvrnBKSm6aQ6I7k2ysYxqldaREAKbecCX+Rqm0bJeNk0QUWmKw6kMZ9IAnmVzmJxLOY3Xri2&#10;k5sSxHNKeILJiM4i6S7UmYiCrX33VyjTSU+BmrgnyRQjkMwIUEzKJ9xct8KpjAVUB7cjPfy/sPLD&#10;7ZVnXV3x6QFnVhh0/P7H9/ufv+9/fWPQgaDehTn8rh084/CWBozNVh+gTLiHxpv0BSIGO+i929Gr&#10;hsgklEdlOZvCImGaYhRmmf7i4bHzIb5TZFgSKu7RvUyquL0IEYXAdeuSclk677TOHdSW9RU/nB6U&#10;+cHOghfa4mGCMJaapDishg2uFdV3gOVpnIzg5HmH5BcixCvhMQqoF8sSL3E0mpCENhJnLfmv/9In&#10;f3QIVs56jFbFw5e18Ioz/d6id0eTGaCzmC+zg9f7uPjHltVji12bU8L0TrCWTmYx+Ue9FRtP5jN2&#10;apmywiSsRO6Kx614GseBx05KtVxmJ0yfE/HCXjuZQo90LteRmi4znWgaudmwh/nLDdjsShrwx/fs&#10;9fB/WP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mnBjN8AAAAPAQAADwAAAAAAAAABACAAAAAi&#10;AAAAZHJzL2Rvd25yZXYueG1sUEsBAhQAFAAAAAgAh07iQLsQOuY8AgAAZwQAAA4AAAAAAAAAAQAg&#10;AAAALgEAAGRycy9lMm9Eb2MueG1sUEsFBgAAAAAGAAYAWQEAANwFAAAAAA==&#10;">
                <v:fill on="f" focussize="0,0"/>
                <v:stroke on="f" weight="0.5pt"/>
                <v:imagedata o:title=""/>
                <o:lock v:ext="edit" aspectratio="f"/>
                <v:textbox>
                  <w:txbxContent>
                    <w:p>
                      <w:pPr>
                        <w:jc w:val="center"/>
                        <w:rPr>
                          <w:rFonts w:hint="default" w:eastAsiaTheme="minorEastAsia"/>
                          <w:b/>
                          <w:bCs/>
                          <w:lang w:val="en-US" w:eastAsia="zh-CN"/>
                        </w:rPr>
                      </w:pPr>
                      <w:r>
                        <w:rPr>
                          <w:rFonts w:hint="eastAsia" w:ascii="黑体" w:hAnsi="黑体" w:eastAsia="黑体" w:cs="黑体"/>
                          <w:b w:val="0"/>
                          <w:bCs w:val="0"/>
                          <w:lang w:eastAsia="zh-CN"/>
                        </w:rPr>
                        <w:t>附件四</w:t>
                      </w:r>
                    </w:p>
                  </w:txbxContent>
                </v:textbox>
              </v:shape>
            </w:pict>
          </mc:Fallback>
        </mc:AlternateContent>
      </w:r>
    </w:p>
    <w:sectPr>
      <w:pgSz w:w="11906" w:h="16838"/>
      <w:pgMar w:top="1440" w:right="1803" w:bottom="1440" w:left="1803"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font-weight : 400">
    <w:altName w:val="Segoe Print"/>
    <w:panose1 w:val="00000000000000000000"/>
    <w:charset w:val="00"/>
    <w:family w:val="auto"/>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3000509000000000000"/>
    <w:charset w:val="86"/>
    <w:family w:val="script"/>
    <w:pitch w:val="default"/>
    <w:sig w:usb0="00000000" w:usb1="00000000" w:usb2="00000000" w:usb3="00000000" w:csb0="0004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Style w:val="24"/>
                              <w:rFonts w:ascii="宋体" w:hAnsi="宋体"/>
                              <w:sz w:val="28"/>
                              <w:szCs w:val="28"/>
                            </w:rPr>
                          </w:pPr>
                          <w:r>
                            <w:rPr>
                              <w:rStyle w:val="24"/>
                              <w:rFonts w:hint="eastAsia" w:ascii="宋体" w:hAnsi="宋体"/>
                              <w:sz w:val="28"/>
                              <w:szCs w:val="28"/>
                            </w:rPr>
                            <w:t>—</w:t>
                          </w:r>
                          <w:r>
                            <w:rPr>
                              <w:rStyle w:val="24"/>
                              <w:rFonts w:hint="eastAsia" w:ascii="宋体" w:hAnsi="宋体"/>
                              <w:sz w:val="20"/>
                            </w:rPr>
                            <w:t xml:space="preserve">  </w:t>
                          </w:r>
                          <w:r>
                            <w:rPr>
                              <w:rFonts w:ascii="宋体" w:hAnsi="宋体"/>
                              <w:sz w:val="26"/>
                              <w:szCs w:val="26"/>
                            </w:rPr>
                            <w:fldChar w:fldCharType="begin"/>
                          </w:r>
                          <w:r>
                            <w:rPr>
                              <w:rStyle w:val="24"/>
                              <w:rFonts w:ascii="宋体" w:hAnsi="宋体"/>
                              <w:sz w:val="26"/>
                              <w:szCs w:val="26"/>
                            </w:rPr>
                            <w:instrText xml:space="preserve">PAGE  </w:instrText>
                          </w:r>
                          <w:r>
                            <w:rPr>
                              <w:rFonts w:ascii="宋体" w:hAnsi="宋体"/>
                              <w:sz w:val="26"/>
                              <w:szCs w:val="26"/>
                            </w:rPr>
                            <w:fldChar w:fldCharType="separate"/>
                          </w:r>
                          <w:r>
                            <w:rPr>
                              <w:rStyle w:val="24"/>
                              <w:rFonts w:ascii="宋体" w:hAnsi="宋体"/>
                              <w:sz w:val="26"/>
                              <w:szCs w:val="26"/>
                            </w:rPr>
                            <w:t>23</w:t>
                          </w:r>
                          <w:r>
                            <w:rPr>
                              <w:rFonts w:ascii="宋体" w:hAnsi="宋体"/>
                              <w:sz w:val="26"/>
                              <w:szCs w:val="26"/>
                            </w:rPr>
                            <w:fldChar w:fldCharType="end"/>
                          </w:r>
                          <w:r>
                            <w:rPr>
                              <w:rStyle w:val="24"/>
                              <w:rFonts w:hint="eastAsia" w:ascii="宋体" w:hAnsi="宋体"/>
                              <w:sz w:val="20"/>
                            </w:rPr>
                            <w:t xml:space="preserve">  </w:t>
                          </w:r>
                          <w:r>
                            <w:rPr>
                              <w:rStyle w:val="24"/>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14"/>
                      <w:rPr>
                        <w:rStyle w:val="24"/>
                        <w:rFonts w:ascii="宋体" w:hAnsi="宋体"/>
                        <w:sz w:val="28"/>
                        <w:szCs w:val="28"/>
                      </w:rPr>
                    </w:pPr>
                    <w:r>
                      <w:rPr>
                        <w:rStyle w:val="24"/>
                        <w:rFonts w:hint="eastAsia" w:ascii="宋体" w:hAnsi="宋体"/>
                        <w:sz w:val="28"/>
                        <w:szCs w:val="28"/>
                      </w:rPr>
                      <w:t>—</w:t>
                    </w:r>
                    <w:r>
                      <w:rPr>
                        <w:rStyle w:val="24"/>
                        <w:rFonts w:hint="eastAsia" w:ascii="宋体" w:hAnsi="宋体"/>
                        <w:sz w:val="20"/>
                      </w:rPr>
                      <w:t xml:space="preserve">  </w:t>
                    </w:r>
                    <w:r>
                      <w:rPr>
                        <w:rFonts w:ascii="宋体" w:hAnsi="宋体"/>
                        <w:sz w:val="26"/>
                        <w:szCs w:val="26"/>
                      </w:rPr>
                      <w:fldChar w:fldCharType="begin"/>
                    </w:r>
                    <w:r>
                      <w:rPr>
                        <w:rStyle w:val="24"/>
                        <w:rFonts w:ascii="宋体" w:hAnsi="宋体"/>
                        <w:sz w:val="26"/>
                        <w:szCs w:val="26"/>
                      </w:rPr>
                      <w:instrText xml:space="preserve">PAGE  </w:instrText>
                    </w:r>
                    <w:r>
                      <w:rPr>
                        <w:rFonts w:ascii="宋体" w:hAnsi="宋体"/>
                        <w:sz w:val="26"/>
                        <w:szCs w:val="26"/>
                      </w:rPr>
                      <w:fldChar w:fldCharType="separate"/>
                    </w:r>
                    <w:r>
                      <w:rPr>
                        <w:rStyle w:val="24"/>
                        <w:rFonts w:ascii="宋体" w:hAnsi="宋体"/>
                        <w:sz w:val="26"/>
                        <w:szCs w:val="26"/>
                      </w:rPr>
                      <w:t>23</w:t>
                    </w:r>
                    <w:r>
                      <w:rPr>
                        <w:rFonts w:ascii="宋体" w:hAnsi="宋体"/>
                        <w:sz w:val="26"/>
                        <w:szCs w:val="26"/>
                      </w:rPr>
                      <w:fldChar w:fldCharType="end"/>
                    </w:r>
                    <w:r>
                      <w:rPr>
                        <w:rStyle w:val="24"/>
                        <w:rFonts w:hint="eastAsia" w:ascii="宋体" w:hAnsi="宋体"/>
                        <w:sz w:val="20"/>
                      </w:rPr>
                      <w:t xml:space="preserve">  </w:t>
                    </w:r>
                    <w:r>
                      <w:rPr>
                        <w:rStyle w:val="24"/>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Style w:val="24"/>
                              <w:rFonts w:ascii="宋体" w:hAnsi="宋体"/>
                              <w:sz w:val="28"/>
                              <w:szCs w:val="28"/>
                            </w:rPr>
                          </w:pPr>
                          <w:r>
                            <w:rPr>
                              <w:rStyle w:val="24"/>
                              <w:rFonts w:hint="eastAsia" w:ascii="宋体" w:hAnsi="宋体"/>
                              <w:sz w:val="28"/>
                              <w:szCs w:val="28"/>
                            </w:rPr>
                            <w:t>—</w:t>
                          </w:r>
                          <w:r>
                            <w:rPr>
                              <w:rStyle w:val="24"/>
                              <w:rFonts w:hint="eastAsia" w:ascii="宋体" w:hAnsi="宋体"/>
                              <w:sz w:val="20"/>
                            </w:rPr>
                            <w:t xml:space="preserve">  </w:t>
                          </w:r>
                          <w:r>
                            <w:rPr>
                              <w:rFonts w:ascii="宋体" w:hAnsi="宋体"/>
                              <w:sz w:val="26"/>
                              <w:szCs w:val="26"/>
                            </w:rPr>
                            <w:fldChar w:fldCharType="begin"/>
                          </w:r>
                          <w:r>
                            <w:rPr>
                              <w:rStyle w:val="24"/>
                              <w:rFonts w:ascii="宋体" w:hAnsi="宋体"/>
                              <w:sz w:val="26"/>
                              <w:szCs w:val="26"/>
                            </w:rPr>
                            <w:instrText xml:space="preserve">PAGE  </w:instrText>
                          </w:r>
                          <w:r>
                            <w:rPr>
                              <w:rFonts w:ascii="宋体" w:hAnsi="宋体"/>
                              <w:sz w:val="26"/>
                              <w:szCs w:val="26"/>
                            </w:rPr>
                            <w:fldChar w:fldCharType="separate"/>
                          </w:r>
                          <w:r>
                            <w:rPr>
                              <w:rStyle w:val="24"/>
                              <w:rFonts w:ascii="宋体" w:hAnsi="宋体"/>
                              <w:sz w:val="26"/>
                              <w:szCs w:val="26"/>
                            </w:rPr>
                            <w:t>69</w:t>
                          </w:r>
                          <w:r>
                            <w:rPr>
                              <w:rFonts w:ascii="宋体" w:hAnsi="宋体"/>
                              <w:sz w:val="26"/>
                              <w:szCs w:val="26"/>
                            </w:rPr>
                            <w:fldChar w:fldCharType="end"/>
                          </w:r>
                          <w:r>
                            <w:rPr>
                              <w:rStyle w:val="24"/>
                              <w:rFonts w:hint="eastAsia" w:ascii="宋体" w:hAnsi="宋体"/>
                              <w:sz w:val="20"/>
                            </w:rPr>
                            <w:t xml:space="preserve">  </w:t>
                          </w:r>
                          <w:r>
                            <w:rPr>
                              <w:rStyle w:val="24"/>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4"/>
                      <w:rPr>
                        <w:rStyle w:val="24"/>
                        <w:rFonts w:ascii="宋体" w:hAnsi="宋体"/>
                        <w:sz w:val="28"/>
                        <w:szCs w:val="28"/>
                      </w:rPr>
                    </w:pPr>
                    <w:r>
                      <w:rPr>
                        <w:rStyle w:val="24"/>
                        <w:rFonts w:hint="eastAsia" w:ascii="宋体" w:hAnsi="宋体"/>
                        <w:sz w:val="28"/>
                        <w:szCs w:val="28"/>
                      </w:rPr>
                      <w:t>—</w:t>
                    </w:r>
                    <w:r>
                      <w:rPr>
                        <w:rStyle w:val="24"/>
                        <w:rFonts w:hint="eastAsia" w:ascii="宋体" w:hAnsi="宋体"/>
                        <w:sz w:val="20"/>
                      </w:rPr>
                      <w:t xml:space="preserve">  </w:t>
                    </w:r>
                    <w:r>
                      <w:rPr>
                        <w:rFonts w:ascii="宋体" w:hAnsi="宋体"/>
                        <w:sz w:val="26"/>
                        <w:szCs w:val="26"/>
                      </w:rPr>
                      <w:fldChar w:fldCharType="begin"/>
                    </w:r>
                    <w:r>
                      <w:rPr>
                        <w:rStyle w:val="24"/>
                        <w:rFonts w:ascii="宋体" w:hAnsi="宋体"/>
                        <w:sz w:val="26"/>
                        <w:szCs w:val="26"/>
                      </w:rPr>
                      <w:instrText xml:space="preserve">PAGE  </w:instrText>
                    </w:r>
                    <w:r>
                      <w:rPr>
                        <w:rFonts w:ascii="宋体" w:hAnsi="宋体"/>
                        <w:sz w:val="26"/>
                        <w:szCs w:val="26"/>
                      </w:rPr>
                      <w:fldChar w:fldCharType="separate"/>
                    </w:r>
                    <w:r>
                      <w:rPr>
                        <w:rStyle w:val="24"/>
                        <w:rFonts w:ascii="宋体" w:hAnsi="宋体"/>
                        <w:sz w:val="26"/>
                        <w:szCs w:val="26"/>
                      </w:rPr>
                      <w:t>69</w:t>
                    </w:r>
                    <w:r>
                      <w:rPr>
                        <w:rFonts w:ascii="宋体" w:hAnsi="宋体"/>
                        <w:sz w:val="26"/>
                        <w:szCs w:val="26"/>
                      </w:rPr>
                      <w:fldChar w:fldCharType="end"/>
                    </w:r>
                    <w:r>
                      <w:rPr>
                        <w:rStyle w:val="24"/>
                        <w:rFonts w:hint="eastAsia" w:ascii="宋体" w:hAnsi="宋体"/>
                        <w:sz w:val="20"/>
                      </w:rPr>
                      <w:t xml:space="preserve">  </w:t>
                    </w:r>
                    <w:r>
                      <w:rPr>
                        <w:rStyle w:val="24"/>
                        <w:rFonts w:hint="eastAsia" w:ascii="宋体" w:hAnsi="宋体"/>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rPr>
        <w:rFonts w:hint="eastAsia" w:eastAsia="宋体"/>
        <w:lang w:val="en-US" w:eastAsia="zh-CN"/>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F753ED"/>
    <w:multiLevelType w:val="singleLevel"/>
    <w:tmpl w:val="95F753ED"/>
    <w:lvl w:ilvl="0" w:tentative="0">
      <w:start w:val="1"/>
      <w:numFmt w:val="decimal"/>
      <w:suff w:val="nothing"/>
      <w:lvlText w:val="（%1）"/>
      <w:lvlJc w:val="left"/>
    </w:lvl>
  </w:abstractNum>
  <w:abstractNum w:abstractNumId="1">
    <w:nsid w:val="9B5146CC"/>
    <w:multiLevelType w:val="singleLevel"/>
    <w:tmpl w:val="9B5146CC"/>
    <w:lvl w:ilvl="0" w:tentative="0">
      <w:start w:val="1"/>
      <w:numFmt w:val="decimal"/>
      <w:suff w:val="nothing"/>
      <w:lvlText w:val="（%1）"/>
      <w:lvlJc w:val="left"/>
    </w:lvl>
  </w:abstractNum>
  <w:abstractNum w:abstractNumId="2">
    <w:nsid w:val="A1556DF4"/>
    <w:multiLevelType w:val="multilevel"/>
    <w:tmpl w:val="A1556DF4"/>
    <w:lvl w:ilvl="0" w:tentative="0">
      <w:start w:val="1"/>
      <w:numFmt w:val="decimal"/>
      <w:lvlText w:val="图%1   "/>
      <w:lvlJc w:val="center"/>
      <w:pPr>
        <w:ind w:left="900" w:hanging="420"/>
      </w:pPr>
      <w:rPr>
        <w:rFonts w:hint="default" w:ascii="Times New Roman" w:hAnsi="Times New Roman" w:eastAsia="黑体" w:cs="宋体"/>
        <w:b w:val="0"/>
        <w:i w:val="0"/>
        <w:color w:val="000000"/>
        <w:sz w:val="21"/>
        <w:szCs w:val="21"/>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D4E41BFF"/>
    <w:multiLevelType w:val="singleLevel"/>
    <w:tmpl w:val="D4E41BFF"/>
    <w:lvl w:ilvl="0" w:tentative="0">
      <w:start w:val="2"/>
      <w:numFmt w:val="chineseCounting"/>
      <w:suff w:val="nothing"/>
      <w:lvlText w:val="%1、"/>
      <w:lvlJc w:val="left"/>
      <w:rPr>
        <w:rFonts w:hint="eastAsia"/>
      </w:rPr>
    </w:lvl>
  </w:abstractNum>
  <w:abstractNum w:abstractNumId="4">
    <w:nsid w:val="DA49CEDE"/>
    <w:multiLevelType w:val="singleLevel"/>
    <w:tmpl w:val="DA49CEDE"/>
    <w:lvl w:ilvl="0" w:tentative="0">
      <w:start w:val="1"/>
      <w:numFmt w:val="decimal"/>
      <w:suff w:val="nothing"/>
      <w:lvlText w:val="表%1   "/>
      <w:lvlJc w:val="left"/>
      <w:pPr>
        <w:tabs>
          <w:tab w:val="left" w:pos="0"/>
        </w:tabs>
      </w:pPr>
      <w:rPr>
        <w:rFonts w:hint="default" w:ascii="Times New Roman" w:hAnsi="Times New Roman" w:eastAsia="黑体" w:cs="Times New Roman"/>
        <w:sz w:val="18"/>
      </w:rPr>
    </w:lvl>
  </w:abstractNum>
  <w:abstractNum w:abstractNumId="5">
    <w:nsid w:val="EBE68D09"/>
    <w:multiLevelType w:val="singleLevel"/>
    <w:tmpl w:val="EBE68D09"/>
    <w:lvl w:ilvl="0" w:tentative="0">
      <w:start w:val="1"/>
      <w:numFmt w:val="decimal"/>
      <w:suff w:val="nothing"/>
      <w:lvlText w:val="%1、"/>
      <w:lvlJc w:val="left"/>
    </w:lvl>
  </w:abstractNum>
  <w:abstractNum w:abstractNumId="6">
    <w:nsid w:val="1EF60170"/>
    <w:multiLevelType w:val="singleLevel"/>
    <w:tmpl w:val="1EF60170"/>
    <w:lvl w:ilvl="0" w:tentative="0">
      <w:start w:val="1"/>
      <w:numFmt w:val="decimal"/>
      <w:suff w:val="nothing"/>
      <w:lvlText w:val="（%1）"/>
      <w:lvlJc w:val="left"/>
    </w:lvl>
  </w:abstractNum>
  <w:abstractNum w:abstractNumId="7">
    <w:nsid w:val="38BFB18C"/>
    <w:multiLevelType w:val="singleLevel"/>
    <w:tmpl w:val="38BFB18C"/>
    <w:lvl w:ilvl="0" w:tentative="0">
      <w:start w:val="1"/>
      <w:numFmt w:val="decimal"/>
      <w:suff w:val="nothing"/>
      <w:lvlText w:val="%1、"/>
      <w:lvlJc w:val="left"/>
    </w:lvl>
  </w:abstractNum>
  <w:abstractNum w:abstractNumId="8">
    <w:nsid w:val="45D5EBD8"/>
    <w:multiLevelType w:val="singleLevel"/>
    <w:tmpl w:val="45D5EBD8"/>
    <w:lvl w:ilvl="0" w:tentative="0">
      <w:start w:val="3"/>
      <w:numFmt w:val="decimal"/>
      <w:suff w:val="nothing"/>
      <w:lvlText w:val="（%1）"/>
      <w:lvlJc w:val="left"/>
    </w:lvl>
  </w:abstractNum>
  <w:abstractNum w:abstractNumId="9">
    <w:nsid w:val="467D3AF5"/>
    <w:multiLevelType w:val="singleLevel"/>
    <w:tmpl w:val="467D3AF5"/>
    <w:lvl w:ilvl="0" w:tentative="0">
      <w:start w:val="7"/>
      <w:numFmt w:val="decimal"/>
      <w:suff w:val="space"/>
      <w:lvlText w:val="%1."/>
      <w:lvlJc w:val="left"/>
    </w:lvl>
  </w:abstractNum>
  <w:abstractNum w:abstractNumId="10">
    <w:nsid w:val="6B25C167"/>
    <w:multiLevelType w:val="singleLevel"/>
    <w:tmpl w:val="6B25C167"/>
    <w:lvl w:ilvl="0" w:tentative="0">
      <w:start w:val="5"/>
      <w:numFmt w:val="chineseCounting"/>
      <w:suff w:val="nothing"/>
      <w:lvlText w:val="%1、"/>
      <w:lvlJc w:val="left"/>
      <w:rPr>
        <w:rFonts w:hint="eastAsia"/>
      </w:rPr>
    </w:lvl>
  </w:abstractNum>
  <w:num w:numId="1">
    <w:abstractNumId w:val="8"/>
  </w:num>
  <w:num w:numId="2">
    <w:abstractNumId w:val="4"/>
  </w:num>
  <w:num w:numId="3">
    <w:abstractNumId w:val="9"/>
  </w:num>
  <w:num w:numId="4">
    <w:abstractNumId w:val="5"/>
  </w:num>
  <w:num w:numId="5">
    <w:abstractNumId w:val="10"/>
  </w:num>
  <w:num w:numId="6">
    <w:abstractNumId w:val="3"/>
  </w:num>
  <w:num w:numId="7">
    <w:abstractNumId w:val="7"/>
  </w:num>
  <w:num w:numId="8">
    <w:abstractNumId w:val="2"/>
  </w:num>
  <w:num w:numId="9">
    <w:abstractNumId w:val="6"/>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iZWQ1ZDRmODgxNGI4Y2YzOTFhZTNjMDRiYTBkY2IifQ=="/>
  </w:docVars>
  <w:rsids>
    <w:rsidRoot w:val="00172A27"/>
    <w:rsid w:val="000060B3"/>
    <w:rsid w:val="00007E50"/>
    <w:rsid w:val="00026E08"/>
    <w:rsid w:val="000302E4"/>
    <w:rsid w:val="000327D0"/>
    <w:rsid w:val="00043000"/>
    <w:rsid w:val="0004364B"/>
    <w:rsid w:val="00045A94"/>
    <w:rsid w:val="00054221"/>
    <w:rsid w:val="0005554E"/>
    <w:rsid w:val="00061B1F"/>
    <w:rsid w:val="00072FA6"/>
    <w:rsid w:val="000733C4"/>
    <w:rsid w:val="00074783"/>
    <w:rsid w:val="0008070B"/>
    <w:rsid w:val="000810AC"/>
    <w:rsid w:val="000815C3"/>
    <w:rsid w:val="00081A02"/>
    <w:rsid w:val="00082231"/>
    <w:rsid w:val="00085D0C"/>
    <w:rsid w:val="000908BA"/>
    <w:rsid w:val="00092D38"/>
    <w:rsid w:val="0009377B"/>
    <w:rsid w:val="000A02B9"/>
    <w:rsid w:val="000A20C9"/>
    <w:rsid w:val="000A24FF"/>
    <w:rsid w:val="000A68E6"/>
    <w:rsid w:val="000B058F"/>
    <w:rsid w:val="000B25CD"/>
    <w:rsid w:val="000B4467"/>
    <w:rsid w:val="000B4DB9"/>
    <w:rsid w:val="000B6885"/>
    <w:rsid w:val="000C09AC"/>
    <w:rsid w:val="000C5E85"/>
    <w:rsid w:val="000C668B"/>
    <w:rsid w:val="000C767F"/>
    <w:rsid w:val="000D5A44"/>
    <w:rsid w:val="000D79E4"/>
    <w:rsid w:val="000E10C8"/>
    <w:rsid w:val="000E3ED2"/>
    <w:rsid w:val="000E4493"/>
    <w:rsid w:val="00131F42"/>
    <w:rsid w:val="0013285B"/>
    <w:rsid w:val="001357F1"/>
    <w:rsid w:val="00135F68"/>
    <w:rsid w:val="001374A0"/>
    <w:rsid w:val="00140FA8"/>
    <w:rsid w:val="00142FEB"/>
    <w:rsid w:val="00143A2D"/>
    <w:rsid w:val="00145A41"/>
    <w:rsid w:val="001460D7"/>
    <w:rsid w:val="00151675"/>
    <w:rsid w:val="00157435"/>
    <w:rsid w:val="0017504D"/>
    <w:rsid w:val="0017671A"/>
    <w:rsid w:val="00177422"/>
    <w:rsid w:val="00184590"/>
    <w:rsid w:val="001870D1"/>
    <w:rsid w:val="0018781E"/>
    <w:rsid w:val="00190B22"/>
    <w:rsid w:val="0019262D"/>
    <w:rsid w:val="00194AEF"/>
    <w:rsid w:val="001A1B35"/>
    <w:rsid w:val="001A48A2"/>
    <w:rsid w:val="001A6F61"/>
    <w:rsid w:val="001B72B8"/>
    <w:rsid w:val="001C69B3"/>
    <w:rsid w:val="001D5595"/>
    <w:rsid w:val="001D6736"/>
    <w:rsid w:val="001D69B2"/>
    <w:rsid w:val="001D7874"/>
    <w:rsid w:val="001D7F22"/>
    <w:rsid w:val="001E22E0"/>
    <w:rsid w:val="001E2F5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11E5"/>
    <w:rsid w:val="00284204"/>
    <w:rsid w:val="002870BA"/>
    <w:rsid w:val="00291773"/>
    <w:rsid w:val="002A168C"/>
    <w:rsid w:val="002A2253"/>
    <w:rsid w:val="002A3DC7"/>
    <w:rsid w:val="002B49E2"/>
    <w:rsid w:val="002B7B00"/>
    <w:rsid w:val="002B7C44"/>
    <w:rsid w:val="002C0B4F"/>
    <w:rsid w:val="002C2B17"/>
    <w:rsid w:val="002D3DD0"/>
    <w:rsid w:val="002E1F3A"/>
    <w:rsid w:val="002E298A"/>
    <w:rsid w:val="002E4F2F"/>
    <w:rsid w:val="002F10CC"/>
    <w:rsid w:val="002F35E8"/>
    <w:rsid w:val="00301596"/>
    <w:rsid w:val="00301978"/>
    <w:rsid w:val="0030332C"/>
    <w:rsid w:val="00303688"/>
    <w:rsid w:val="003051C2"/>
    <w:rsid w:val="00312296"/>
    <w:rsid w:val="00314614"/>
    <w:rsid w:val="00314F0E"/>
    <w:rsid w:val="00321D8E"/>
    <w:rsid w:val="00325928"/>
    <w:rsid w:val="003265B2"/>
    <w:rsid w:val="003302DC"/>
    <w:rsid w:val="00332863"/>
    <w:rsid w:val="0033684D"/>
    <w:rsid w:val="00337B42"/>
    <w:rsid w:val="003412F6"/>
    <w:rsid w:val="00341861"/>
    <w:rsid w:val="00341A92"/>
    <w:rsid w:val="00341B42"/>
    <w:rsid w:val="0034348F"/>
    <w:rsid w:val="00356653"/>
    <w:rsid w:val="003570CD"/>
    <w:rsid w:val="0035743F"/>
    <w:rsid w:val="00357BE2"/>
    <w:rsid w:val="0036170C"/>
    <w:rsid w:val="00363C08"/>
    <w:rsid w:val="00366E0F"/>
    <w:rsid w:val="00381A72"/>
    <w:rsid w:val="00384676"/>
    <w:rsid w:val="00390857"/>
    <w:rsid w:val="00390FBC"/>
    <w:rsid w:val="003A4BF3"/>
    <w:rsid w:val="003B420D"/>
    <w:rsid w:val="003C6C16"/>
    <w:rsid w:val="003D103A"/>
    <w:rsid w:val="003D794D"/>
    <w:rsid w:val="003E3058"/>
    <w:rsid w:val="003E76A9"/>
    <w:rsid w:val="003F0809"/>
    <w:rsid w:val="003F6A8C"/>
    <w:rsid w:val="003F755C"/>
    <w:rsid w:val="00402E2F"/>
    <w:rsid w:val="00406F01"/>
    <w:rsid w:val="004076E2"/>
    <w:rsid w:val="0041641A"/>
    <w:rsid w:val="00416B38"/>
    <w:rsid w:val="00416D50"/>
    <w:rsid w:val="00416FD5"/>
    <w:rsid w:val="00417772"/>
    <w:rsid w:val="00420E6A"/>
    <w:rsid w:val="00421AFC"/>
    <w:rsid w:val="00424A21"/>
    <w:rsid w:val="00424D09"/>
    <w:rsid w:val="00425A9E"/>
    <w:rsid w:val="00426D6B"/>
    <w:rsid w:val="00431E6C"/>
    <w:rsid w:val="00433CE7"/>
    <w:rsid w:val="00434115"/>
    <w:rsid w:val="00452738"/>
    <w:rsid w:val="00456091"/>
    <w:rsid w:val="00466321"/>
    <w:rsid w:val="00473C2C"/>
    <w:rsid w:val="00484B9B"/>
    <w:rsid w:val="004855F6"/>
    <w:rsid w:val="0048661E"/>
    <w:rsid w:val="00494670"/>
    <w:rsid w:val="004A3823"/>
    <w:rsid w:val="004B60EC"/>
    <w:rsid w:val="004D49DD"/>
    <w:rsid w:val="004E10CE"/>
    <w:rsid w:val="004E6946"/>
    <w:rsid w:val="004F1AD8"/>
    <w:rsid w:val="005039CB"/>
    <w:rsid w:val="0050558F"/>
    <w:rsid w:val="00506286"/>
    <w:rsid w:val="00507241"/>
    <w:rsid w:val="00510813"/>
    <w:rsid w:val="00511990"/>
    <w:rsid w:val="00511DE0"/>
    <w:rsid w:val="00513337"/>
    <w:rsid w:val="00514870"/>
    <w:rsid w:val="00514B9B"/>
    <w:rsid w:val="00515AFC"/>
    <w:rsid w:val="00517F02"/>
    <w:rsid w:val="00524303"/>
    <w:rsid w:val="005258A2"/>
    <w:rsid w:val="00530544"/>
    <w:rsid w:val="00537C28"/>
    <w:rsid w:val="005401AE"/>
    <w:rsid w:val="00542E07"/>
    <w:rsid w:val="00545424"/>
    <w:rsid w:val="00551F30"/>
    <w:rsid w:val="00554A7B"/>
    <w:rsid w:val="005550E8"/>
    <w:rsid w:val="0055572C"/>
    <w:rsid w:val="005579AE"/>
    <w:rsid w:val="0056106A"/>
    <w:rsid w:val="005720AE"/>
    <w:rsid w:val="00574637"/>
    <w:rsid w:val="0058374D"/>
    <w:rsid w:val="00583829"/>
    <w:rsid w:val="0058514E"/>
    <w:rsid w:val="00592F95"/>
    <w:rsid w:val="00594D77"/>
    <w:rsid w:val="005969E4"/>
    <w:rsid w:val="005A06B7"/>
    <w:rsid w:val="005A1759"/>
    <w:rsid w:val="005A68A7"/>
    <w:rsid w:val="005A7860"/>
    <w:rsid w:val="005D36AB"/>
    <w:rsid w:val="005F6807"/>
    <w:rsid w:val="006042F8"/>
    <w:rsid w:val="00617CC3"/>
    <w:rsid w:val="00635E3A"/>
    <w:rsid w:val="006377A6"/>
    <w:rsid w:val="00637A3D"/>
    <w:rsid w:val="006411EF"/>
    <w:rsid w:val="00646716"/>
    <w:rsid w:val="00650856"/>
    <w:rsid w:val="00655B52"/>
    <w:rsid w:val="006651BE"/>
    <w:rsid w:val="0066627D"/>
    <w:rsid w:val="006748B8"/>
    <w:rsid w:val="006775C3"/>
    <w:rsid w:val="00683099"/>
    <w:rsid w:val="00686843"/>
    <w:rsid w:val="0069290A"/>
    <w:rsid w:val="0069775A"/>
    <w:rsid w:val="00697813"/>
    <w:rsid w:val="006A3EE8"/>
    <w:rsid w:val="006A72BF"/>
    <w:rsid w:val="006B0064"/>
    <w:rsid w:val="006B03F2"/>
    <w:rsid w:val="006B0FCF"/>
    <w:rsid w:val="006B37DC"/>
    <w:rsid w:val="006B4F68"/>
    <w:rsid w:val="006B6329"/>
    <w:rsid w:val="006C0592"/>
    <w:rsid w:val="006C272E"/>
    <w:rsid w:val="006C5479"/>
    <w:rsid w:val="006C63AE"/>
    <w:rsid w:val="006D13B5"/>
    <w:rsid w:val="006D5CE2"/>
    <w:rsid w:val="006D7D80"/>
    <w:rsid w:val="006E12FF"/>
    <w:rsid w:val="006E607E"/>
    <w:rsid w:val="006F7C9C"/>
    <w:rsid w:val="00706C5D"/>
    <w:rsid w:val="007206B7"/>
    <w:rsid w:val="00730CC4"/>
    <w:rsid w:val="00732922"/>
    <w:rsid w:val="007360CF"/>
    <w:rsid w:val="00747594"/>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054B"/>
    <w:rsid w:val="007B1056"/>
    <w:rsid w:val="007B72B8"/>
    <w:rsid w:val="007B7A58"/>
    <w:rsid w:val="007C1741"/>
    <w:rsid w:val="007C21B5"/>
    <w:rsid w:val="007C4FA5"/>
    <w:rsid w:val="007E4BD2"/>
    <w:rsid w:val="007E79B2"/>
    <w:rsid w:val="00801393"/>
    <w:rsid w:val="00802F88"/>
    <w:rsid w:val="0081293E"/>
    <w:rsid w:val="00815465"/>
    <w:rsid w:val="00817E9A"/>
    <w:rsid w:val="00823F79"/>
    <w:rsid w:val="00826E3B"/>
    <w:rsid w:val="008277F7"/>
    <w:rsid w:val="008306BD"/>
    <w:rsid w:val="008318AF"/>
    <w:rsid w:val="00831A80"/>
    <w:rsid w:val="00833743"/>
    <w:rsid w:val="008340A4"/>
    <w:rsid w:val="0084064D"/>
    <w:rsid w:val="00844CFE"/>
    <w:rsid w:val="00851E7D"/>
    <w:rsid w:val="0087135F"/>
    <w:rsid w:val="00872D94"/>
    <w:rsid w:val="00876435"/>
    <w:rsid w:val="00880364"/>
    <w:rsid w:val="00891592"/>
    <w:rsid w:val="00891E9E"/>
    <w:rsid w:val="008A2F68"/>
    <w:rsid w:val="008B4FA6"/>
    <w:rsid w:val="008B5282"/>
    <w:rsid w:val="008B5429"/>
    <w:rsid w:val="008B7C17"/>
    <w:rsid w:val="008C2D01"/>
    <w:rsid w:val="008C40E6"/>
    <w:rsid w:val="008C424F"/>
    <w:rsid w:val="008C6747"/>
    <w:rsid w:val="008D0B58"/>
    <w:rsid w:val="008D0F7A"/>
    <w:rsid w:val="008D68E4"/>
    <w:rsid w:val="008E0506"/>
    <w:rsid w:val="008E0CFF"/>
    <w:rsid w:val="008E5D6B"/>
    <w:rsid w:val="008E76F0"/>
    <w:rsid w:val="008F12C3"/>
    <w:rsid w:val="008F15FE"/>
    <w:rsid w:val="008F2D29"/>
    <w:rsid w:val="008F5187"/>
    <w:rsid w:val="008F60D8"/>
    <w:rsid w:val="00902727"/>
    <w:rsid w:val="0090312B"/>
    <w:rsid w:val="00907F7B"/>
    <w:rsid w:val="00911E34"/>
    <w:rsid w:val="0091736D"/>
    <w:rsid w:val="00925E7E"/>
    <w:rsid w:val="009268FC"/>
    <w:rsid w:val="00927816"/>
    <w:rsid w:val="0093037A"/>
    <w:rsid w:val="00932FAD"/>
    <w:rsid w:val="0094154D"/>
    <w:rsid w:val="00946B22"/>
    <w:rsid w:val="0095155F"/>
    <w:rsid w:val="00954429"/>
    <w:rsid w:val="009563CE"/>
    <w:rsid w:val="0095707D"/>
    <w:rsid w:val="00957F6B"/>
    <w:rsid w:val="00971415"/>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D798F"/>
    <w:rsid w:val="009E227D"/>
    <w:rsid w:val="009E4788"/>
    <w:rsid w:val="009E5019"/>
    <w:rsid w:val="009F66F1"/>
    <w:rsid w:val="00A0203F"/>
    <w:rsid w:val="00A04F1B"/>
    <w:rsid w:val="00A0501B"/>
    <w:rsid w:val="00A14947"/>
    <w:rsid w:val="00A308EF"/>
    <w:rsid w:val="00A3274E"/>
    <w:rsid w:val="00A32A83"/>
    <w:rsid w:val="00A368DB"/>
    <w:rsid w:val="00A423AA"/>
    <w:rsid w:val="00A5167A"/>
    <w:rsid w:val="00A53EC6"/>
    <w:rsid w:val="00A55C0F"/>
    <w:rsid w:val="00A6280A"/>
    <w:rsid w:val="00A63179"/>
    <w:rsid w:val="00A731F9"/>
    <w:rsid w:val="00A8713F"/>
    <w:rsid w:val="00A90BA1"/>
    <w:rsid w:val="00A97A9A"/>
    <w:rsid w:val="00AA0671"/>
    <w:rsid w:val="00AA2531"/>
    <w:rsid w:val="00AA728E"/>
    <w:rsid w:val="00AA7AD8"/>
    <w:rsid w:val="00AB1E09"/>
    <w:rsid w:val="00AB5330"/>
    <w:rsid w:val="00AB7747"/>
    <w:rsid w:val="00AC14CE"/>
    <w:rsid w:val="00AC1E97"/>
    <w:rsid w:val="00AC2A56"/>
    <w:rsid w:val="00AC6282"/>
    <w:rsid w:val="00AD055E"/>
    <w:rsid w:val="00AD47A7"/>
    <w:rsid w:val="00AD4A34"/>
    <w:rsid w:val="00AE1DEB"/>
    <w:rsid w:val="00AF0CBF"/>
    <w:rsid w:val="00AF257F"/>
    <w:rsid w:val="00AF33CF"/>
    <w:rsid w:val="00AF4D50"/>
    <w:rsid w:val="00AF517A"/>
    <w:rsid w:val="00AF6179"/>
    <w:rsid w:val="00B07785"/>
    <w:rsid w:val="00B10585"/>
    <w:rsid w:val="00B11166"/>
    <w:rsid w:val="00B1218C"/>
    <w:rsid w:val="00B1295A"/>
    <w:rsid w:val="00B20A45"/>
    <w:rsid w:val="00B21A2D"/>
    <w:rsid w:val="00B22C5C"/>
    <w:rsid w:val="00B24B4D"/>
    <w:rsid w:val="00B24F30"/>
    <w:rsid w:val="00B25F51"/>
    <w:rsid w:val="00B2657A"/>
    <w:rsid w:val="00B31ABF"/>
    <w:rsid w:val="00B33BE3"/>
    <w:rsid w:val="00B3401A"/>
    <w:rsid w:val="00B53B5D"/>
    <w:rsid w:val="00B6055E"/>
    <w:rsid w:val="00B6317D"/>
    <w:rsid w:val="00B76659"/>
    <w:rsid w:val="00B7723F"/>
    <w:rsid w:val="00B80534"/>
    <w:rsid w:val="00B8433C"/>
    <w:rsid w:val="00B87491"/>
    <w:rsid w:val="00BA05D6"/>
    <w:rsid w:val="00BA29E9"/>
    <w:rsid w:val="00BA7142"/>
    <w:rsid w:val="00BB237C"/>
    <w:rsid w:val="00BB41A3"/>
    <w:rsid w:val="00BC32DC"/>
    <w:rsid w:val="00BC35B6"/>
    <w:rsid w:val="00BD1B51"/>
    <w:rsid w:val="00BD4596"/>
    <w:rsid w:val="00BE1405"/>
    <w:rsid w:val="00BE312D"/>
    <w:rsid w:val="00BF1C20"/>
    <w:rsid w:val="00BF20B6"/>
    <w:rsid w:val="00C10578"/>
    <w:rsid w:val="00C10A74"/>
    <w:rsid w:val="00C135BC"/>
    <w:rsid w:val="00C15C95"/>
    <w:rsid w:val="00C2596A"/>
    <w:rsid w:val="00C25CE3"/>
    <w:rsid w:val="00C27537"/>
    <w:rsid w:val="00C328FE"/>
    <w:rsid w:val="00C33507"/>
    <w:rsid w:val="00C4409D"/>
    <w:rsid w:val="00C44E72"/>
    <w:rsid w:val="00C45A06"/>
    <w:rsid w:val="00C47E5B"/>
    <w:rsid w:val="00C5252C"/>
    <w:rsid w:val="00C56AD6"/>
    <w:rsid w:val="00C61E4B"/>
    <w:rsid w:val="00C64BFF"/>
    <w:rsid w:val="00C704E9"/>
    <w:rsid w:val="00C727CE"/>
    <w:rsid w:val="00C763C9"/>
    <w:rsid w:val="00C80057"/>
    <w:rsid w:val="00C82232"/>
    <w:rsid w:val="00C82913"/>
    <w:rsid w:val="00C91539"/>
    <w:rsid w:val="00C93560"/>
    <w:rsid w:val="00C94A8B"/>
    <w:rsid w:val="00C972B1"/>
    <w:rsid w:val="00CA2CCE"/>
    <w:rsid w:val="00CA43FD"/>
    <w:rsid w:val="00CA7EF8"/>
    <w:rsid w:val="00CB0A42"/>
    <w:rsid w:val="00CB42AC"/>
    <w:rsid w:val="00CC2240"/>
    <w:rsid w:val="00CC489B"/>
    <w:rsid w:val="00CC7B45"/>
    <w:rsid w:val="00CD2BCD"/>
    <w:rsid w:val="00CD3A4C"/>
    <w:rsid w:val="00CD7B38"/>
    <w:rsid w:val="00CE10E9"/>
    <w:rsid w:val="00CE2910"/>
    <w:rsid w:val="00CE3362"/>
    <w:rsid w:val="00CE3778"/>
    <w:rsid w:val="00CE5393"/>
    <w:rsid w:val="00CF10E9"/>
    <w:rsid w:val="00CF36BE"/>
    <w:rsid w:val="00CF6000"/>
    <w:rsid w:val="00D003F3"/>
    <w:rsid w:val="00D0364F"/>
    <w:rsid w:val="00D06834"/>
    <w:rsid w:val="00D15DB3"/>
    <w:rsid w:val="00D214EB"/>
    <w:rsid w:val="00D26002"/>
    <w:rsid w:val="00D308ED"/>
    <w:rsid w:val="00D36D86"/>
    <w:rsid w:val="00D428AA"/>
    <w:rsid w:val="00D50A34"/>
    <w:rsid w:val="00D53EFA"/>
    <w:rsid w:val="00D6517C"/>
    <w:rsid w:val="00D72AFA"/>
    <w:rsid w:val="00D761B9"/>
    <w:rsid w:val="00D82AB9"/>
    <w:rsid w:val="00D86D43"/>
    <w:rsid w:val="00D94506"/>
    <w:rsid w:val="00D94A7C"/>
    <w:rsid w:val="00D95896"/>
    <w:rsid w:val="00D95955"/>
    <w:rsid w:val="00DB2983"/>
    <w:rsid w:val="00DC1257"/>
    <w:rsid w:val="00DC3DC0"/>
    <w:rsid w:val="00DC5B2B"/>
    <w:rsid w:val="00DD318D"/>
    <w:rsid w:val="00DD5A43"/>
    <w:rsid w:val="00DF2E12"/>
    <w:rsid w:val="00DF514A"/>
    <w:rsid w:val="00DF662A"/>
    <w:rsid w:val="00DF6690"/>
    <w:rsid w:val="00DF6804"/>
    <w:rsid w:val="00E0358D"/>
    <w:rsid w:val="00E04323"/>
    <w:rsid w:val="00E070A2"/>
    <w:rsid w:val="00E0764F"/>
    <w:rsid w:val="00E14D92"/>
    <w:rsid w:val="00E25C10"/>
    <w:rsid w:val="00E2656A"/>
    <w:rsid w:val="00E30EC1"/>
    <w:rsid w:val="00E33B2F"/>
    <w:rsid w:val="00E412D0"/>
    <w:rsid w:val="00E56322"/>
    <w:rsid w:val="00E60982"/>
    <w:rsid w:val="00E62C62"/>
    <w:rsid w:val="00E654C1"/>
    <w:rsid w:val="00E65D97"/>
    <w:rsid w:val="00E72A5A"/>
    <w:rsid w:val="00E73354"/>
    <w:rsid w:val="00E74627"/>
    <w:rsid w:val="00E9242D"/>
    <w:rsid w:val="00EA2F6A"/>
    <w:rsid w:val="00EB5255"/>
    <w:rsid w:val="00EB565A"/>
    <w:rsid w:val="00EB5C47"/>
    <w:rsid w:val="00EC1672"/>
    <w:rsid w:val="00ED0639"/>
    <w:rsid w:val="00ED747A"/>
    <w:rsid w:val="00EF4755"/>
    <w:rsid w:val="00EF6951"/>
    <w:rsid w:val="00EF7135"/>
    <w:rsid w:val="00F01ABA"/>
    <w:rsid w:val="00F027DB"/>
    <w:rsid w:val="00F03C1D"/>
    <w:rsid w:val="00F06514"/>
    <w:rsid w:val="00F14A7A"/>
    <w:rsid w:val="00F22985"/>
    <w:rsid w:val="00F31C19"/>
    <w:rsid w:val="00F3383E"/>
    <w:rsid w:val="00F35CDB"/>
    <w:rsid w:val="00F368A1"/>
    <w:rsid w:val="00F465A7"/>
    <w:rsid w:val="00F50B7C"/>
    <w:rsid w:val="00F550E6"/>
    <w:rsid w:val="00F70670"/>
    <w:rsid w:val="00F72B3A"/>
    <w:rsid w:val="00F74345"/>
    <w:rsid w:val="00F767AB"/>
    <w:rsid w:val="00F80A0A"/>
    <w:rsid w:val="00F80ACA"/>
    <w:rsid w:val="00F81904"/>
    <w:rsid w:val="00F82B19"/>
    <w:rsid w:val="00F914C5"/>
    <w:rsid w:val="00F9212D"/>
    <w:rsid w:val="00F965DA"/>
    <w:rsid w:val="00FA406A"/>
    <w:rsid w:val="00FB166C"/>
    <w:rsid w:val="00FB20DD"/>
    <w:rsid w:val="00FB503A"/>
    <w:rsid w:val="00FB516C"/>
    <w:rsid w:val="00FD0236"/>
    <w:rsid w:val="00FD18F4"/>
    <w:rsid w:val="00FD54DB"/>
    <w:rsid w:val="00FD619F"/>
    <w:rsid w:val="00FE2DB2"/>
    <w:rsid w:val="01020E54"/>
    <w:rsid w:val="011E5562"/>
    <w:rsid w:val="01286A12"/>
    <w:rsid w:val="01290F7E"/>
    <w:rsid w:val="013412AD"/>
    <w:rsid w:val="014C15B5"/>
    <w:rsid w:val="01511253"/>
    <w:rsid w:val="01530715"/>
    <w:rsid w:val="015D1E09"/>
    <w:rsid w:val="01702DAB"/>
    <w:rsid w:val="01993635"/>
    <w:rsid w:val="01BC156D"/>
    <w:rsid w:val="01D4129F"/>
    <w:rsid w:val="01F36A6F"/>
    <w:rsid w:val="02074DEA"/>
    <w:rsid w:val="020C4849"/>
    <w:rsid w:val="02367426"/>
    <w:rsid w:val="02697903"/>
    <w:rsid w:val="02933CF8"/>
    <w:rsid w:val="02CD1308"/>
    <w:rsid w:val="02DE5734"/>
    <w:rsid w:val="02F96569"/>
    <w:rsid w:val="03082BE3"/>
    <w:rsid w:val="030B3424"/>
    <w:rsid w:val="03101D77"/>
    <w:rsid w:val="032C6BE5"/>
    <w:rsid w:val="033A6511"/>
    <w:rsid w:val="03514A3D"/>
    <w:rsid w:val="03571FF7"/>
    <w:rsid w:val="03660AEE"/>
    <w:rsid w:val="036F4D79"/>
    <w:rsid w:val="03750BFE"/>
    <w:rsid w:val="037B5F61"/>
    <w:rsid w:val="037E5457"/>
    <w:rsid w:val="03905699"/>
    <w:rsid w:val="03A84F45"/>
    <w:rsid w:val="03A908CB"/>
    <w:rsid w:val="03E71426"/>
    <w:rsid w:val="03EA7B21"/>
    <w:rsid w:val="041B272B"/>
    <w:rsid w:val="043E1D9D"/>
    <w:rsid w:val="044A0B2F"/>
    <w:rsid w:val="048D12FC"/>
    <w:rsid w:val="048E046F"/>
    <w:rsid w:val="0490144A"/>
    <w:rsid w:val="04901B76"/>
    <w:rsid w:val="04A92C7A"/>
    <w:rsid w:val="04C86418"/>
    <w:rsid w:val="04CA0308"/>
    <w:rsid w:val="04E90B5B"/>
    <w:rsid w:val="0506227A"/>
    <w:rsid w:val="05383F82"/>
    <w:rsid w:val="055E433E"/>
    <w:rsid w:val="05634469"/>
    <w:rsid w:val="056B42F1"/>
    <w:rsid w:val="056D0CBF"/>
    <w:rsid w:val="057A1A3A"/>
    <w:rsid w:val="05815051"/>
    <w:rsid w:val="05B3789F"/>
    <w:rsid w:val="05B61F54"/>
    <w:rsid w:val="05BC1DCB"/>
    <w:rsid w:val="05D723C2"/>
    <w:rsid w:val="05F83EAE"/>
    <w:rsid w:val="06073DD1"/>
    <w:rsid w:val="060A7570"/>
    <w:rsid w:val="061F2A86"/>
    <w:rsid w:val="062005AC"/>
    <w:rsid w:val="063B5B7A"/>
    <w:rsid w:val="063E7D85"/>
    <w:rsid w:val="06482992"/>
    <w:rsid w:val="06590F09"/>
    <w:rsid w:val="06602F27"/>
    <w:rsid w:val="06652463"/>
    <w:rsid w:val="069D6B5A"/>
    <w:rsid w:val="0700671A"/>
    <w:rsid w:val="071C6FC5"/>
    <w:rsid w:val="07293586"/>
    <w:rsid w:val="07295285"/>
    <w:rsid w:val="073A4468"/>
    <w:rsid w:val="074C5CD1"/>
    <w:rsid w:val="07636392"/>
    <w:rsid w:val="07770C56"/>
    <w:rsid w:val="077C2954"/>
    <w:rsid w:val="07823C29"/>
    <w:rsid w:val="07B77899"/>
    <w:rsid w:val="07B90F65"/>
    <w:rsid w:val="07B97881"/>
    <w:rsid w:val="07BF7EB9"/>
    <w:rsid w:val="07CC45E1"/>
    <w:rsid w:val="07D534D3"/>
    <w:rsid w:val="07EA0853"/>
    <w:rsid w:val="082C19AB"/>
    <w:rsid w:val="084320A0"/>
    <w:rsid w:val="08454E7C"/>
    <w:rsid w:val="08510F6B"/>
    <w:rsid w:val="08976B43"/>
    <w:rsid w:val="089858A6"/>
    <w:rsid w:val="08A80E28"/>
    <w:rsid w:val="08AC3680"/>
    <w:rsid w:val="08CE0B51"/>
    <w:rsid w:val="08E26B92"/>
    <w:rsid w:val="090A5711"/>
    <w:rsid w:val="091A7487"/>
    <w:rsid w:val="092217DD"/>
    <w:rsid w:val="09284DBC"/>
    <w:rsid w:val="093721A1"/>
    <w:rsid w:val="093A7294"/>
    <w:rsid w:val="09497BFD"/>
    <w:rsid w:val="094B5F2D"/>
    <w:rsid w:val="09772BD9"/>
    <w:rsid w:val="098D4BDD"/>
    <w:rsid w:val="099931B3"/>
    <w:rsid w:val="09DE3573"/>
    <w:rsid w:val="09FE2F63"/>
    <w:rsid w:val="0A093CB1"/>
    <w:rsid w:val="0A263993"/>
    <w:rsid w:val="0A2D3AC2"/>
    <w:rsid w:val="0A3F1874"/>
    <w:rsid w:val="0A4E6FBD"/>
    <w:rsid w:val="0A5151D8"/>
    <w:rsid w:val="0A5B1C9D"/>
    <w:rsid w:val="0A8C07BD"/>
    <w:rsid w:val="0A9B3DCA"/>
    <w:rsid w:val="0AA27E70"/>
    <w:rsid w:val="0AA555CF"/>
    <w:rsid w:val="0AA755DF"/>
    <w:rsid w:val="0AB56E5C"/>
    <w:rsid w:val="0AC101D6"/>
    <w:rsid w:val="0AE16233"/>
    <w:rsid w:val="0AE85F78"/>
    <w:rsid w:val="0AF95916"/>
    <w:rsid w:val="0B022B79"/>
    <w:rsid w:val="0B113701"/>
    <w:rsid w:val="0B120D44"/>
    <w:rsid w:val="0B595E15"/>
    <w:rsid w:val="0B601240"/>
    <w:rsid w:val="0B613F1A"/>
    <w:rsid w:val="0BC11EE9"/>
    <w:rsid w:val="0BD27BF6"/>
    <w:rsid w:val="0C1D0333"/>
    <w:rsid w:val="0C22277D"/>
    <w:rsid w:val="0C387E2C"/>
    <w:rsid w:val="0C392F0A"/>
    <w:rsid w:val="0C3B3C7D"/>
    <w:rsid w:val="0C4B242C"/>
    <w:rsid w:val="0C4E7445"/>
    <w:rsid w:val="0C691B96"/>
    <w:rsid w:val="0C8C7609"/>
    <w:rsid w:val="0C8E4EF6"/>
    <w:rsid w:val="0C9862FF"/>
    <w:rsid w:val="0CAB2EAE"/>
    <w:rsid w:val="0CD3533D"/>
    <w:rsid w:val="0D143198"/>
    <w:rsid w:val="0D156991"/>
    <w:rsid w:val="0D2645DA"/>
    <w:rsid w:val="0D2C5796"/>
    <w:rsid w:val="0D3B3882"/>
    <w:rsid w:val="0D3F756A"/>
    <w:rsid w:val="0D42705A"/>
    <w:rsid w:val="0D5A43A4"/>
    <w:rsid w:val="0D621C7D"/>
    <w:rsid w:val="0DA1356D"/>
    <w:rsid w:val="0DAE0F8E"/>
    <w:rsid w:val="0DB461AA"/>
    <w:rsid w:val="0DBA12E6"/>
    <w:rsid w:val="0DDE0B34"/>
    <w:rsid w:val="0DF4585F"/>
    <w:rsid w:val="0E013AA6"/>
    <w:rsid w:val="0E37131F"/>
    <w:rsid w:val="0E73034D"/>
    <w:rsid w:val="0EB21FBD"/>
    <w:rsid w:val="0EC53040"/>
    <w:rsid w:val="0EDD018D"/>
    <w:rsid w:val="0EF27D74"/>
    <w:rsid w:val="0F035AE8"/>
    <w:rsid w:val="0F13775A"/>
    <w:rsid w:val="0F5F45FE"/>
    <w:rsid w:val="0F6A7266"/>
    <w:rsid w:val="0F9A112B"/>
    <w:rsid w:val="0FDF5034"/>
    <w:rsid w:val="101E01DD"/>
    <w:rsid w:val="102F5B68"/>
    <w:rsid w:val="10301D81"/>
    <w:rsid w:val="103136D5"/>
    <w:rsid w:val="106D2F64"/>
    <w:rsid w:val="108703B3"/>
    <w:rsid w:val="109B189C"/>
    <w:rsid w:val="10B63710"/>
    <w:rsid w:val="10DE4B9F"/>
    <w:rsid w:val="10EA0134"/>
    <w:rsid w:val="10F10820"/>
    <w:rsid w:val="10F15212"/>
    <w:rsid w:val="110132F0"/>
    <w:rsid w:val="111C2F7A"/>
    <w:rsid w:val="112371A2"/>
    <w:rsid w:val="112A6983"/>
    <w:rsid w:val="11315459"/>
    <w:rsid w:val="1143045F"/>
    <w:rsid w:val="11551A52"/>
    <w:rsid w:val="11665CA1"/>
    <w:rsid w:val="117B6FDE"/>
    <w:rsid w:val="11C12CB1"/>
    <w:rsid w:val="11C74FD7"/>
    <w:rsid w:val="11D82AF8"/>
    <w:rsid w:val="11EB59A4"/>
    <w:rsid w:val="11FC011F"/>
    <w:rsid w:val="1221034B"/>
    <w:rsid w:val="125664E4"/>
    <w:rsid w:val="12747CB6"/>
    <w:rsid w:val="12D16E5D"/>
    <w:rsid w:val="13170101"/>
    <w:rsid w:val="133531D4"/>
    <w:rsid w:val="13931BDB"/>
    <w:rsid w:val="13951726"/>
    <w:rsid w:val="13A72B64"/>
    <w:rsid w:val="13BE4506"/>
    <w:rsid w:val="13D205B1"/>
    <w:rsid w:val="13D7584F"/>
    <w:rsid w:val="13F953C6"/>
    <w:rsid w:val="14034084"/>
    <w:rsid w:val="141352AC"/>
    <w:rsid w:val="141A13FB"/>
    <w:rsid w:val="14243C74"/>
    <w:rsid w:val="14396509"/>
    <w:rsid w:val="14665304"/>
    <w:rsid w:val="147251D4"/>
    <w:rsid w:val="1490109D"/>
    <w:rsid w:val="14932BE8"/>
    <w:rsid w:val="149B2440"/>
    <w:rsid w:val="14B12CBB"/>
    <w:rsid w:val="14BB3133"/>
    <w:rsid w:val="14DD2C3C"/>
    <w:rsid w:val="14DE3B0C"/>
    <w:rsid w:val="14E813C2"/>
    <w:rsid w:val="151015E2"/>
    <w:rsid w:val="1514752E"/>
    <w:rsid w:val="15757273"/>
    <w:rsid w:val="15976B6E"/>
    <w:rsid w:val="15D1198F"/>
    <w:rsid w:val="15F829AC"/>
    <w:rsid w:val="16087E1D"/>
    <w:rsid w:val="161A6EA9"/>
    <w:rsid w:val="161D68B6"/>
    <w:rsid w:val="163958A2"/>
    <w:rsid w:val="163E7F6F"/>
    <w:rsid w:val="16541166"/>
    <w:rsid w:val="16590A62"/>
    <w:rsid w:val="16593F8C"/>
    <w:rsid w:val="16900415"/>
    <w:rsid w:val="169E6FE9"/>
    <w:rsid w:val="172D0D7B"/>
    <w:rsid w:val="175D45DA"/>
    <w:rsid w:val="17701D14"/>
    <w:rsid w:val="17735226"/>
    <w:rsid w:val="17904284"/>
    <w:rsid w:val="17AA3F16"/>
    <w:rsid w:val="17B47BF1"/>
    <w:rsid w:val="17B53831"/>
    <w:rsid w:val="17B65CA2"/>
    <w:rsid w:val="17BC6AFB"/>
    <w:rsid w:val="17DD073D"/>
    <w:rsid w:val="17DD5268"/>
    <w:rsid w:val="17EC4792"/>
    <w:rsid w:val="18052DD3"/>
    <w:rsid w:val="180E10DD"/>
    <w:rsid w:val="186A2793"/>
    <w:rsid w:val="188744BB"/>
    <w:rsid w:val="188E4A08"/>
    <w:rsid w:val="189F624C"/>
    <w:rsid w:val="18D1704E"/>
    <w:rsid w:val="18D70A65"/>
    <w:rsid w:val="18DF1450"/>
    <w:rsid w:val="18F358AD"/>
    <w:rsid w:val="192166BD"/>
    <w:rsid w:val="19232435"/>
    <w:rsid w:val="19345563"/>
    <w:rsid w:val="194543C8"/>
    <w:rsid w:val="196A32EF"/>
    <w:rsid w:val="19727272"/>
    <w:rsid w:val="198303AF"/>
    <w:rsid w:val="19AD3736"/>
    <w:rsid w:val="19C51918"/>
    <w:rsid w:val="19D26CC1"/>
    <w:rsid w:val="19DF26F0"/>
    <w:rsid w:val="19F35B46"/>
    <w:rsid w:val="1A1C66C0"/>
    <w:rsid w:val="1A42393B"/>
    <w:rsid w:val="1A5D1977"/>
    <w:rsid w:val="1A644AB4"/>
    <w:rsid w:val="1A6E5329"/>
    <w:rsid w:val="1A942CC3"/>
    <w:rsid w:val="1AA26BE8"/>
    <w:rsid w:val="1AAD45DE"/>
    <w:rsid w:val="1AB33FF8"/>
    <w:rsid w:val="1AD14861"/>
    <w:rsid w:val="1AF97902"/>
    <w:rsid w:val="1B046F80"/>
    <w:rsid w:val="1B227C60"/>
    <w:rsid w:val="1B3267B5"/>
    <w:rsid w:val="1B40161D"/>
    <w:rsid w:val="1B441859"/>
    <w:rsid w:val="1B4D2AF4"/>
    <w:rsid w:val="1B6606B1"/>
    <w:rsid w:val="1B883E20"/>
    <w:rsid w:val="1BAD565E"/>
    <w:rsid w:val="1BDC68CC"/>
    <w:rsid w:val="1BF750FD"/>
    <w:rsid w:val="1C042A47"/>
    <w:rsid w:val="1C48566E"/>
    <w:rsid w:val="1C544DB8"/>
    <w:rsid w:val="1C5E7925"/>
    <w:rsid w:val="1C672639"/>
    <w:rsid w:val="1C6E2DC0"/>
    <w:rsid w:val="1C6E3F6B"/>
    <w:rsid w:val="1C765EED"/>
    <w:rsid w:val="1C8B6B48"/>
    <w:rsid w:val="1C9F0B9D"/>
    <w:rsid w:val="1CE17CE3"/>
    <w:rsid w:val="1CF058D6"/>
    <w:rsid w:val="1CF10155"/>
    <w:rsid w:val="1CF163A7"/>
    <w:rsid w:val="1CFD070F"/>
    <w:rsid w:val="1D3371F4"/>
    <w:rsid w:val="1D3732FC"/>
    <w:rsid w:val="1D5F6196"/>
    <w:rsid w:val="1D6132A5"/>
    <w:rsid w:val="1D6628F1"/>
    <w:rsid w:val="1D813CC1"/>
    <w:rsid w:val="1D8E56D5"/>
    <w:rsid w:val="1DB17512"/>
    <w:rsid w:val="1DC72D0E"/>
    <w:rsid w:val="1DF11B11"/>
    <w:rsid w:val="1E3B111E"/>
    <w:rsid w:val="1E534ABC"/>
    <w:rsid w:val="1E545323"/>
    <w:rsid w:val="1E554249"/>
    <w:rsid w:val="1E5810E7"/>
    <w:rsid w:val="1E6B556D"/>
    <w:rsid w:val="1E7A43DA"/>
    <w:rsid w:val="1E8277F9"/>
    <w:rsid w:val="1E973A3F"/>
    <w:rsid w:val="1EA614A3"/>
    <w:rsid w:val="1EAF1A93"/>
    <w:rsid w:val="1EBB7ACA"/>
    <w:rsid w:val="1EBF675C"/>
    <w:rsid w:val="1ECB57F4"/>
    <w:rsid w:val="1ED072B2"/>
    <w:rsid w:val="1EE37343"/>
    <w:rsid w:val="1F022C16"/>
    <w:rsid w:val="1F743AE6"/>
    <w:rsid w:val="1F747B6D"/>
    <w:rsid w:val="1F8D285C"/>
    <w:rsid w:val="1F923A98"/>
    <w:rsid w:val="1F9B48BB"/>
    <w:rsid w:val="1F9C35C0"/>
    <w:rsid w:val="1FA82281"/>
    <w:rsid w:val="1FB5210B"/>
    <w:rsid w:val="1FC57FA4"/>
    <w:rsid w:val="1FE02794"/>
    <w:rsid w:val="1FE7539E"/>
    <w:rsid w:val="1FF829EB"/>
    <w:rsid w:val="200A7D12"/>
    <w:rsid w:val="205B4263"/>
    <w:rsid w:val="20671BE0"/>
    <w:rsid w:val="206760AA"/>
    <w:rsid w:val="20725926"/>
    <w:rsid w:val="20963CB8"/>
    <w:rsid w:val="20A81A1B"/>
    <w:rsid w:val="20AC2D10"/>
    <w:rsid w:val="20B07FB6"/>
    <w:rsid w:val="20B646FB"/>
    <w:rsid w:val="20D603E1"/>
    <w:rsid w:val="20DD18D9"/>
    <w:rsid w:val="213B74B1"/>
    <w:rsid w:val="215A2310"/>
    <w:rsid w:val="216A4989"/>
    <w:rsid w:val="217750CC"/>
    <w:rsid w:val="21826606"/>
    <w:rsid w:val="21C347B6"/>
    <w:rsid w:val="21DE318A"/>
    <w:rsid w:val="21EC16E9"/>
    <w:rsid w:val="21EF5B80"/>
    <w:rsid w:val="22576990"/>
    <w:rsid w:val="225E34CC"/>
    <w:rsid w:val="22733AEE"/>
    <w:rsid w:val="22733ED9"/>
    <w:rsid w:val="229D6DB5"/>
    <w:rsid w:val="22DF6424"/>
    <w:rsid w:val="22EC09E4"/>
    <w:rsid w:val="22F43287"/>
    <w:rsid w:val="22F47480"/>
    <w:rsid w:val="233603D3"/>
    <w:rsid w:val="23410C42"/>
    <w:rsid w:val="23757D31"/>
    <w:rsid w:val="23BF2D5B"/>
    <w:rsid w:val="23CB615B"/>
    <w:rsid w:val="23DE1C48"/>
    <w:rsid w:val="23F0191A"/>
    <w:rsid w:val="240210CD"/>
    <w:rsid w:val="24091DE1"/>
    <w:rsid w:val="24264B88"/>
    <w:rsid w:val="24286AD0"/>
    <w:rsid w:val="246B6A3F"/>
    <w:rsid w:val="247F433D"/>
    <w:rsid w:val="24975A86"/>
    <w:rsid w:val="24BF09F7"/>
    <w:rsid w:val="24C347F3"/>
    <w:rsid w:val="24CA658A"/>
    <w:rsid w:val="252D53FE"/>
    <w:rsid w:val="253A4D8F"/>
    <w:rsid w:val="256F70E5"/>
    <w:rsid w:val="25807435"/>
    <w:rsid w:val="25C1100C"/>
    <w:rsid w:val="25EC2D81"/>
    <w:rsid w:val="260B34EE"/>
    <w:rsid w:val="261E66BD"/>
    <w:rsid w:val="261F20D9"/>
    <w:rsid w:val="26305DF0"/>
    <w:rsid w:val="26341E47"/>
    <w:rsid w:val="26487037"/>
    <w:rsid w:val="2660508F"/>
    <w:rsid w:val="266F17F9"/>
    <w:rsid w:val="269D33ED"/>
    <w:rsid w:val="269E759F"/>
    <w:rsid w:val="26E6011C"/>
    <w:rsid w:val="26F04ACF"/>
    <w:rsid w:val="2720435B"/>
    <w:rsid w:val="2728039B"/>
    <w:rsid w:val="272D5420"/>
    <w:rsid w:val="274719E5"/>
    <w:rsid w:val="27574C29"/>
    <w:rsid w:val="277057A2"/>
    <w:rsid w:val="277B3410"/>
    <w:rsid w:val="278F30CA"/>
    <w:rsid w:val="27AE3812"/>
    <w:rsid w:val="27B2687E"/>
    <w:rsid w:val="27BD5346"/>
    <w:rsid w:val="27C24F68"/>
    <w:rsid w:val="27E3353B"/>
    <w:rsid w:val="281C60D6"/>
    <w:rsid w:val="28214015"/>
    <w:rsid w:val="28231C0C"/>
    <w:rsid w:val="28484B8F"/>
    <w:rsid w:val="285520ED"/>
    <w:rsid w:val="286059A6"/>
    <w:rsid w:val="28702875"/>
    <w:rsid w:val="287E3BF6"/>
    <w:rsid w:val="28902F18"/>
    <w:rsid w:val="28BC1142"/>
    <w:rsid w:val="28BF5A2C"/>
    <w:rsid w:val="28D72DA3"/>
    <w:rsid w:val="28FB201F"/>
    <w:rsid w:val="29206EB8"/>
    <w:rsid w:val="294C3D70"/>
    <w:rsid w:val="29595666"/>
    <w:rsid w:val="29673F9A"/>
    <w:rsid w:val="297D055D"/>
    <w:rsid w:val="29874881"/>
    <w:rsid w:val="29A42EB3"/>
    <w:rsid w:val="29BC7957"/>
    <w:rsid w:val="29C15A7E"/>
    <w:rsid w:val="29E325E0"/>
    <w:rsid w:val="2A2437DD"/>
    <w:rsid w:val="2A452503"/>
    <w:rsid w:val="2A656E6E"/>
    <w:rsid w:val="2AC43825"/>
    <w:rsid w:val="2AD417E1"/>
    <w:rsid w:val="2ADF12DD"/>
    <w:rsid w:val="2B53055A"/>
    <w:rsid w:val="2B5B5A5F"/>
    <w:rsid w:val="2B6648A5"/>
    <w:rsid w:val="2B717B3C"/>
    <w:rsid w:val="2B792139"/>
    <w:rsid w:val="2BA07916"/>
    <w:rsid w:val="2BA936A8"/>
    <w:rsid w:val="2BBD4024"/>
    <w:rsid w:val="2BD32290"/>
    <w:rsid w:val="2BEF7F55"/>
    <w:rsid w:val="2C1219BB"/>
    <w:rsid w:val="2C315A5A"/>
    <w:rsid w:val="2C4701CE"/>
    <w:rsid w:val="2C4B1C25"/>
    <w:rsid w:val="2C6C481A"/>
    <w:rsid w:val="2C7F577D"/>
    <w:rsid w:val="2CAD52E1"/>
    <w:rsid w:val="2CC46DAC"/>
    <w:rsid w:val="2CDD4CB6"/>
    <w:rsid w:val="2CDE06F5"/>
    <w:rsid w:val="2D10705E"/>
    <w:rsid w:val="2D371B71"/>
    <w:rsid w:val="2D4B08B0"/>
    <w:rsid w:val="2D4C0D65"/>
    <w:rsid w:val="2D654F40"/>
    <w:rsid w:val="2D666FB2"/>
    <w:rsid w:val="2D946763"/>
    <w:rsid w:val="2D9E56F5"/>
    <w:rsid w:val="2DA730DA"/>
    <w:rsid w:val="2DCC49F2"/>
    <w:rsid w:val="2DCC5589"/>
    <w:rsid w:val="2DE27D71"/>
    <w:rsid w:val="2E263A80"/>
    <w:rsid w:val="2E3C2181"/>
    <w:rsid w:val="2E3E700E"/>
    <w:rsid w:val="2E667F96"/>
    <w:rsid w:val="2E8226AB"/>
    <w:rsid w:val="2EAD4709"/>
    <w:rsid w:val="2EB10E54"/>
    <w:rsid w:val="2ED00645"/>
    <w:rsid w:val="2EDB7306"/>
    <w:rsid w:val="2EE3574B"/>
    <w:rsid w:val="2EE55AE5"/>
    <w:rsid w:val="2F0D459B"/>
    <w:rsid w:val="2F2D7712"/>
    <w:rsid w:val="2F585DE4"/>
    <w:rsid w:val="2F6E19B1"/>
    <w:rsid w:val="2F86506E"/>
    <w:rsid w:val="2F8C7A06"/>
    <w:rsid w:val="2FC53DC8"/>
    <w:rsid w:val="2FD065E6"/>
    <w:rsid w:val="2FD96870"/>
    <w:rsid w:val="30022E5B"/>
    <w:rsid w:val="30580BC9"/>
    <w:rsid w:val="306F4855"/>
    <w:rsid w:val="307B3DE3"/>
    <w:rsid w:val="3090640C"/>
    <w:rsid w:val="309C6C2F"/>
    <w:rsid w:val="30C23F79"/>
    <w:rsid w:val="30D3594F"/>
    <w:rsid w:val="30DA2026"/>
    <w:rsid w:val="30E07834"/>
    <w:rsid w:val="311E2ED7"/>
    <w:rsid w:val="313A6116"/>
    <w:rsid w:val="31450839"/>
    <w:rsid w:val="314B5736"/>
    <w:rsid w:val="315619EE"/>
    <w:rsid w:val="315801C0"/>
    <w:rsid w:val="315C449C"/>
    <w:rsid w:val="31701F4C"/>
    <w:rsid w:val="318F0ECE"/>
    <w:rsid w:val="319A5F7F"/>
    <w:rsid w:val="31B22151"/>
    <w:rsid w:val="31B82709"/>
    <w:rsid w:val="31BD6B98"/>
    <w:rsid w:val="31D05482"/>
    <w:rsid w:val="31FF7EB0"/>
    <w:rsid w:val="320655AF"/>
    <w:rsid w:val="32140715"/>
    <w:rsid w:val="322924BF"/>
    <w:rsid w:val="32297556"/>
    <w:rsid w:val="32400B34"/>
    <w:rsid w:val="32494863"/>
    <w:rsid w:val="32573C08"/>
    <w:rsid w:val="32743EF4"/>
    <w:rsid w:val="327B3CFF"/>
    <w:rsid w:val="32804A86"/>
    <w:rsid w:val="328C14AB"/>
    <w:rsid w:val="329E6876"/>
    <w:rsid w:val="32C05C5B"/>
    <w:rsid w:val="32DA30A0"/>
    <w:rsid w:val="32E83B87"/>
    <w:rsid w:val="331D26D3"/>
    <w:rsid w:val="33226A2C"/>
    <w:rsid w:val="332B2B49"/>
    <w:rsid w:val="333015F2"/>
    <w:rsid w:val="33364F1A"/>
    <w:rsid w:val="33374DFF"/>
    <w:rsid w:val="3341378C"/>
    <w:rsid w:val="334B6320"/>
    <w:rsid w:val="33556251"/>
    <w:rsid w:val="33670469"/>
    <w:rsid w:val="33754941"/>
    <w:rsid w:val="33886B3E"/>
    <w:rsid w:val="33A8556B"/>
    <w:rsid w:val="33D934D4"/>
    <w:rsid w:val="33DF6860"/>
    <w:rsid w:val="33EA5704"/>
    <w:rsid w:val="33F12501"/>
    <w:rsid w:val="33FE2F6A"/>
    <w:rsid w:val="34031E9A"/>
    <w:rsid w:val="34070810"/>
    <w:rsid w:val="340E07E5"/>
    <w:rsid w:val="34235BF7"/>
    <w:rsid w:val="343B790C"/>
    <w:rsid w:val="345F1C3A"/>
    <w:rsid w:val="34600D1D"/>
    <w:rsid w:val="346746A9"/>
    <w:rsid w:val="34777368"/>
    <w:rsid w:val="34DB19BE"/>
    <w:rsid w:val="34E1503D"/>
    <w:rsid w:val="353A069D"/>
    <w:rsid w:val="35416308"/>
    <w:rsid w:val="354711A9"/>
    <w:rsid w:val="354B49EF"/>
    <w:rsid w:val="354F479B"/>
    <w:rsid w:val="355968AD"/>
    <w:rsid w:val="358C5FA8"/>
    <w:rsid w:val="358D5BE4"/>
    <w:rsid w:val="35C15DF1"/>
    <w:rsid w:val="35CE5396"/>
    <w:rsid w:val="36074A7F"/>
    <w:rsid w:val="36183E27"/>
    <w:rsid w:val="361F4892"/>
    <w:rsid w:val="363C7F8E"/>
    <w:rsid w:val="367125DA"/>
    <w:rsid w:val="36765F29"/>
    <w:rsid w:val="36923549"/>
    <w:rsid w:val="36A4497E"/>
    <w:rsid w:val="36AC3852"/>
    <w:rsid w:val="36B75FBF"/>
    <w:rsid w:val="36BA5F48"/>
    <w:rsid w:val="36BD0C45"/>
    <w:rsid w:val="36D214DF"/>
    <w:rsid w:val="36FE5F0E"/>
    <w:rsid w:val="37474E1D"/>
    <w:rsid w:val="374B37C3"/>
    <w:rsid w:val="377D6812"/>
    <w:rsid w:val="37822916"/>
    <w:rsid w:val="378B0DB2"/>
    <w:rsid w:val="37C93E97"/>
    <w:rsid w:val="37CB4130"/>
    <w:rsid w:val="37CF3E9D"/>
    <w:rsid w:val="37E00298"/>
    <w:rsid w:val="380F5EE2"/>
    <w:rsid w:val="380F75E4"/>
    <w:rsid w:val="38255CB5"/>
    <w:rsid w:val="38637D01"/>
    <w:rsid w:val="386C4CA5"/>
    <w:rsid w:val="38B302F9"/>
    <w:rsid w:val="38EC4BB3"/>
    <w:rsid w:val="38F12CD3"/>
    <w:rsid w:val="38F82B3F"/>
    <w:rsid w:val="38F94775"/>
    <w:rsid w:val="392261B1"/>
    <w:rsid w:val="392753DE"/>
    <w:rsid w:val="392971ED"/>
    <w:rsid w:val="39325651"/>
    <w:rsid w:val="395A0680"/>
    <w:rsid w:val="395D3F56"/>
    <w:rsid w:val="39AF3828"/>
    <w:rsid w:val="39B4222B"/>
    <w:rsid w:val="39F544E1"/>
    <w:rsid w:val="3A24332B"/>
    <w:rsid w:val="3A4E08BC"/>
    <w:rsid w:val="3A4E0CEB"/>
    <w:rsid w:val="3A4E41E0"/>
    <w:rsid w:val="3A865F28"/>
    <w:rsid w:val="3A872856"/>
    <w:rsid w:val="3A8E63BA"/>
    <w:rsid w:val="3AA906BC"/>
    <w:rsid w:val="3AAF2239"/>
    <w:rsid w:val="3ABA4A99"/>
    <w:rsid w:val="3AC401BA"/>
    <w:rsid w:val="3ACE1D17"/>
    <w:rsid w:val="3AD969A0"/>
    <w:rsid w:val="3B3763D1"/>
    <w:rsid w:val="3B5B761C"/>
    <w:rsid w:val="3B624C93"/>
    <w:rsid w:val="3B71466B"/>
    <w:rsid w:val="3B7B3744"/>
    <w:rsid w:val="3BE205C7"/>
    <w:rsid w:val="3BF138D0"/>
    <w:rsid w:val="3C096E11"/>
    <w:rsid w:val="3C2810DB"/>
    <w:rsid w:val="3C2D5BDB"/>
    <w:rsid w:val="3C2F6E1E"/>
    <w:rsid w:val="3C3E487E"/>
    <w:rsid w:val="3C413397"/>
    <w:rsid w:val="3C4979E3"/>
    <w:rsid w:val="3C4F64BA"/>
    <w:rsid w:val="3C4F6F1A"/>
    <w:rsid w:val="3C522A4A"/>
    <w:rsid w:val="3C5B2793"/>
    <w:rsid w:val="3C5E400B"/>
    <w:rsid w:val="3C656005"/>
    <w:rsid w:val="3C9455F4"/>
    <w:rsid w:val="3CDA245A"/>
    <w:rsid w:val="3D014521"/>
    <w:rsid w:val="3D136E0E"/>
    <w:rsid w:val="3D1E06B7"/>
    <w:rsid w:val="3D361CF6"/>
    <w:rsid w:val="3D381A7B"/>
    <w:rsid w:val="3D4011E0"/>
    <w:rsid w:val="3D6A5E37"/>
    <w:rsid w:val="3D8E5820"/>
    <w:rsid w:val="3D9C12F8"/>
    <w:rsid w:val="3D9F6A2C"/>
    <w:rsid w:val="3DAD2772"/>
    <w:rsid w:val="3DCF633C"/>
    <w:rsid w:val="3DD75419"/>
    <w:rsid w:val="3DD97108"/>
    <w:rsid w:val="3DEC22C1"/>
    <w:rsid w:val="3DED5874"/>
    <w:rsid w:val="3E086D70"/>
    <w:rsid w:val="3E5F0F6A"/>
    <w:rsid w:val="3E5F4196"/>
    <w:rsid w:val="3E634CB5"/>
    <w:rsid w:val="3E736E23"/>
    <w:rsid w:val="3EDA0523"/>
    <w:rsid w:val="3EE878CB"/>
    <w:rsid w:val="3F1D2F3F"/>
    <w:rsid w:val="3F404654"/>
    <w:rsid w:val="3F4343B0"/>
    <w:rsid w:val="3F5136FA"/>
    <w:rsid w:val="3F5F69E4"/>
    <w:rsid w:val="3F6718AB"/>
    <w:rsid w:val="3F7E3FBC"/>
    <w:rsid w:val="3F806214"/>
    <w:rsid w:val="3FF322B2"/>
    <w:rsid w:val="40242CE7"/>
    <w:rsid w:val="40385F17"/>
    <w:rsid w:val="403F2E01"/>
    <w:rsid w:val="407A6407"/>
    <w:rsid w:val="40A50046"/>
    <w:rsid w:val="40CA554C"/>
    <w:rsid w:val="40E65973"/>
    <w:rsid w:val="4105229D"/>
    <w:rsid w:val="41145F91"/>
    <w:rsid w:val="411753FE"/>
    <w:rsid w:val="413A3ED2"/>
    <w:rsid w:val="41890513"/>
    <w:rsid w:val="4192492E"/>
    <w:rsid w:val="41D26D66"/>
    <w:rsid w:val="41EC0D67"/>
    <w:rsid w:val="41F00CB8"/>
    <w:rsid w:val="41F24E6F"/>
    <w:rsid w:val="41FF4F3E"/>
    <w:rsid w:val="4200449D"/>
    <w:rsid w:val="42040582"/>
    <w:rsid w:val="423A3BCC"/>
    <w:rsid w:val="424E57D2"/>
    <w:rsid w:val="42540FF9"/>
    <w:rsid w:val="4298343B"/>
    <w:rsid w:val="42AD2AB0"/>
    <w:rsid w:val="42B26C49"/>
    <w:rsid w:val="42D76A7A"/>
    <w:rsid w:val="42F44377"/>
    <w:rsid w:val="431F180A"/>
    <w:rsid w:val="433A6FE6"/>
    <w:rsid w:val="43480868"/>
    <w:rsid w:val="4350713C"/>
    <w:rsid w:val="436653E0"/>
    <w:rsid w:val="437877BC"/>
    <w:rsid w:val="43803DD5"/>
    <w:rsid w:val="43A578D0"/>
    <w:rsid w:val="43B76C74"/>
    <w:rsid w:val="43C4431A"/>
    <w:rsid w:val="43D27FC5"/>
    <w:rsid w:val="43D62D1F"/>
    <w:rsid w:val="440B4FC8"/>
    <w:rsid w:val="44171D01"/>
    <w:rsid w:val="443A04B0"/>
    <w:rsid w:val="44893F64"/>
    <w:rsid w:val="448E74DF"/>
    <w:rsid w:val="44AD6ED3"/>
    <w:rsid w:val="44AE7B60"/>
    <w:rsid w:val="44B350DF"/>
    <w:rsid w:val="44B951CC"/>
    <w:rsid w:val="44CD14E0"/>
    <w:rsid w:val="44CD1C49"/>
    <w:rsid w:val="44DA46D5"/>
    <w:rsid w:val="44EC1676"/>
    <w:rsid w:val="44F20B0B"/>
    <w:rsid w:val="44FE12DE"/>
    <w:rsid w:val="452E5F4C"/>
    <w:rsid w:val="453A628D"/>
    <w:rsid w:val="454E7A88"/>
    <w:rsid w:val="45612018"/>
    <w:rsid w:val="457B5846"/>
    <w:rsid w:val="45851EA5"/>
    <w:rsid w:val="458946E9"/>
    <w:rsid w:val="45920AF2"/>
    <w:rsid w:val="45963239"/>
    <w:rsid w:val="45A47C0E"/>
    <w:rsid w:val="45AD7418"/>
    <w:rsid w:val="45BE2FE0"/>
    <w:rsid w:val="463252F0"/>
    <w:rsid w:val="46577FD6"/>
    <w:rsid w:val="46756273"/>
    <w:rsid w:val="46955090"/>
    <w:rsid w:val="46D87B0C"/>
    <w:rsid w:val="46D955A7"/>
    <w:rsid w:val="46EB3C22"/>
    <w:rsid w:val="46F72CBA"/>
    <w:rsid w:val="46FB2867"/>
    <w:rsid w:val="47133957"/>
    <w:rsid w:val="472320D7"/>
    <w:rsid w:val="473C60E1"/>
    <w:rsid w:val="475529C8"/>
    <w:rsid w:val="477E071D"/>
    <w:rsid w:val="47805297"/>
    <w:rsid w:val="479D2CF9"/>
    <w:rsid w:val="47A07E0C"/>
    <w:rsid w:val="47AB5535"/>
    <w:rsid w:val="47B36F9E"/>
    <w:rsid w:val="47C01E75"/>
    <w:rsid w:val="47CA4C51"/>
    <w:rsid w:val="47D74267"/>
    <w:rsid w:val="47FC1517"/>
    <w:rsid w:val="482762D1"/>
    <w:rsid w:val="4853145B"/>
    <w:rsid w:val="48595198"/>
    <w:rsid w:val="48623B31"/>
    <w:rsid w:val="486C6C61"/>
    <w:rsid w:val="486D6549"/>
    <w:rsid w:val="4870272E"/>
    <w:rsid w:val="487E25DF"/>
    <w:rsid w:val="487F6573"/>
    <w:rsid w:val="48C82244"/>
    <w:rsid w:val="48D26D05"/>
    <w:rsid w:val="48E921CA"/>
    <w:rsid w:val="4913727A"/>
    <w:rsid w:val="49202AE6"/>
    <w:rsid w:val="49486421"/>
    <w:rsid w:val="49492F43"/>
    <w:rsid w:val="496274DF"/>
    <w:rsid w:val="496C3E3C"/>
    <w:rsid w:val="497D6590"/>
    <w:rsid w:val="499E3232"/>
    <w:rsid w:val="49A72AEB"/>
    <w:rsid w:val="49D74391"/>
    <w:rsid w:val="49DC7715"/>
    <w:rsid w:val="49E20FBA"/>
    <w:rsid w:val="49F01DD4"/>
    <w:rsid w:val="49FE2617"/>
    <w:rsid w:val="4A023139"/>
    <w:rsid w:val="4A154C02"/>
    <w:rsid w:val="4A45195C"/>
    <w:rsid w:val="4A516C11"/>
    <w:rsid w:val="4A58168F"/>
    <w:rsid w:val="4A77428F"/>
    <w:rsid w:val="4A7B576F"/>
    <w:rsid w:val="4AB2087D"/>
    <w:rsid w:val="4ACA573D"/>
    <w:rsid w:val="4AF561A9"/>
    <w:rsid w:val="4B045373"/>
    <w:rsid w:val="4B2161F4"/>
    <w:rsid w:val="4B4D77EB"/>
    <w:rsid w:val="4B5358D7"/>
    <w:rsid w:val="4B565240"/>
    <w:rsid w:val="4B611AB4"/>
    <w:rsid w:val="4B6B71A0"/>
    <w:rsid w:val="4B86198D"/>
    <w:rsid w:val="4BA30248"/>
    <w:rsid w:val="4BAE0005"/>
    <w:rsid w:val="4BAF3531"/>
    <w:rsid w:val="4BBB3E40"/>
    <w:rsid w:val="4BE07B8E"/>
    <w:rsid w:val="4C3413A7"/>
    <w:rsid w:val="4C3C62A4"/>
    <w:rsid w:val="4C433C79"/>
    <w:rsid w:val="4C4A0649"/>
    <w:rsid w:val="4C554AE9"/>
    <w:rsid w:val="4C7E5ECA"/>
    <w:rsid w:val="4C855E29"/>
    <w:rsid w:val="4C876AA5"/>
    <w:rsid w:val="4C9028AB"/>
    <w:rsid w:val="4CA77B53"/>
    <w:rsid w:val="4CAE284E"/>
    <w:rsid w:val="4CB97DCF"/>
    <w:rsid w:val="4CEF7D2C"/>
    <w:rsid w:val="4D0E00FB"/>
    <w:rsid w:val="4D176606"/>
    <w:rsid w:val="4D1C0DE7"/>
    <w:rsid w:val="4D260E6C"/>
    <w:rsid w:val="4D4E6D7A"/>
    <w:rsid w:val="4D561A43"/>
    <w:rsid w:val="4D620845"/>
    <w:rsid w:val="4D6640C3"/>
    <w:rsid w:val="4D764171"/>
    <w:rsid w:val="4D77671C"/>
    <w:rsid w:val="4DD962E3"/>
    <w:rsid w:val="4DE549AB"/>
    <w:rsid w:val="4DEC4FB0"/>
    <w:rsid w:val="4DF81CBC"/>
    <w:rsid w:val="4E011036"/>
    <w:rsid w:val="4E075D8A"/>
    <w:rsid w:val="4E276627"/>
    <w:rsid w:val="4E285EC6"/>
    <w:rsid w:val="4E3C1A8F"/>
    <w:rsid w:val="4E3D6C6A"/>
    <w:rsid w:val="4E4A5C22"/>
    <w:rsid w:val="4E646963"/>
    <w:rsid w:val="4E727016"/>
    <w:rsid w:val="4E75180B"/>
    <w:rsid w:val="4E983BA7"/>
    <w:rsid w:val="4EC00FAD"/>
    <w:rsid w:val="4ECD10A3"/>
    <w:rsid w:val="4EDB2B08"/>
    <w:rsid w:val="4EDC3366"/>
    <w:rsid w:val="4EDD03B5"/>
    <w:rsid w:val="4EEC6DAB"/>
    <w:rsid w:val="4EF77EEF"/>
    <w:rsid w:val="4F0C2A48"/>
    <w:rsid w:val="4F676439"/>
    <w:rsid w:val="4F696D5A"/>
    <w:rsid w:val="4F773718"/>
    <w:rsid w:val="4F802D09"/>
    <w:rsid w:val="4F8627FB"/>
    <w:rsid w:val="4F887855"/>
    <w:rsid w:val="4F9843DC"/>
    <w:rsid w:val="4FAE7E06"/>
    <w:rsid w:val="4FC62A8C"/>
    <w:rsid w:val="4FE20F0D"/>
    <w:rsid w:val="4FE2277E"/>
    <w:rsid w:val="4FE51552"/>
    <w:rsid w:val="4FF04026"/>
    <w:rsid w:val="500742FC"/>
    <w:rsid w:val="500B134E"/>
    <w:rsid w:val="503A3197"/>
    <w:rsid w:val="50504C4B"/>
    <w:rsid w:val="505F6101"/>
    <w:rsid w:val="506B7639"/>
    <w:rsid w:val="5085442F"/>
    <w:rsid w:val="509A7C71"/>
    <w:rsid w:val="509C6E7C"/>
    <w:rsid w:val="50A218B6"/>
    <w:rsid w:val="50DC780D"/>
    <w:rsid w:val="50E15D4D"/>
    <w:rsid w:val="514A45D3"/>
    <w:rsid w:val="514B3CFC"/>
    <w:rsid w:val="5162104E"/>
    <w:rsid w:val="51754B84"/>
    <w:rsid w:val="51826FC0"/>
    <w:rsid w:val="51844B18"/>
    <w:rsid w:val="51AB4044"/>
    <w:rsid w:val="51C26320"/>
    <w:rsid w:val="51C7526D"/>
    <w:rsid w:val="51DB1900"/>
    <w:rsid w:val="52312F34"/>
    <w:rsid w:val="525666A0"/>
    <w:rsid w:val="525B0597"/>
    <w:rsid w:val="52706C20"/>
    <w:rsid w:val="52750905"/>
    <w:rsid w:val="52C11D9C"/>
    <w:rsid w:val="52E2331D"/>
    <w:rsid w:val="52E43B5E"/>
    <w:rsid w:val="52EC0B45"/>
    <w:rsid w:val="52F1552A"/>
    <w:rsid w:val="53315A85"/>
    <w:rsid w:val="53587D04"/>
    <w:rsid w:val="536A351C"/>
    <w:rsid w:val="53820380"/>
    <w:rsid w:val="539108C3"/>
    <w:rsid w:val="53A039CC"/>
    <w:rsid w:val="53A1505A"/>
    <w:rsid w:val="54063E08"/>
    <w:rsid w:val="542D5BE2"/>
    <w:rsid w:val="5430603E"/>
    <w:rsid w:val="543437E8"/>
    <w:rsid w:val="544A1342"/>
    <w:rsid w:val="545F186C"/>
    <w:rsid w:val="54616A49"/>
    <w:rsid w:val="548C13E6"/>
    <w:rsid w:val="54946A24"/>
    <w:rsid w:val="54A31759"/>
    <w:rsid w:val="54BF0398"/>
    <w:rsid w:val="54C435A2"/>
    <w:rsid w:val="54CF6E85"/>
    <w:rsid w:val="54D15274"/>
    <w:rsid w:val="54F73313"/>
    <w:rsid w:val="54F80955"/>
    <w:rsid w:val="54FA4CFA"/>
    <w:rsid w:val="550164A9"/>
    <w:rsid w:val="55086FD1"/>
    <w:rsid w:val="551A42B1"/>
    <w:rsid w:val="55202DAA"/>
    <w:rsid w:val="552D478F"/>
    <w:rsid w:val="555170A7"/>
    <w:rsid w:val="555C23A0"/>
    <w:rsid w:val="556413FD"/>
    <w:rsid w:val="5587536D"/>
    <w:rsid w:val="559B174B"/>
    <w:rsid w:val="55A74861"/>
    <w:rsid w:val="55CE0CF4"/>
    <w:rsid w:val="55DD7A41"/>
    <w:rsid w:val="56013199"/>
    <w:rsid w:val="56331401"/>
    <w:rsid w:val="56512413"/>
    <w:rsid w:val="56867584"/>
    <w:rsid w:val="568E3A93"/>
    <w:rsid w:val="56A95E08"/>
    <w:rsid w:val="56B22A9C"/>
    <w:rsid w:val="56C24C35"/>
    <w:rsid w:val="56E26CB7"/>
    <w:rsid w:val="570A3D11"/>
    <w:rsid w:val="571E77BD"/>
    <w:rsid w:val="572672EA"/>
    <w:rsid w:val="57A118C8"/>
    <w:rsid w:val="57A24C1B"/>
    <w:rsid w:val="57B72A76"/>
    <w:rsid w:val="57C3426C"/>
    <w:rsid w:val="57CC7219"/>
    <w:rsid w:val="57CE1F93"/>
    <w:rsid w:val="57D60097"/>
    <w:rsid w:val="5803253C"/>
    <w:rsid w:val="5822099B"/>
    <w:rsid w:val="58692CBA"/>
    <w:rsid w:val="58715E55"/>
    <w:rsid w:val="588743D1"/>
    <w:rsid w:val="5887701A"/>
    <w:rsid w:val="588B42F9"/>
    <w:rsid w:val="589D038E"/>
    <w:rsid w:val="58B73CB7"/>
    <w:rsid w:val="58BF023E"/>
    <w:rsid w:val="58D03818"/>
    <w:rsid w:val="58D345D7"/>
    <w:rsid w:val="593D067B"/>
    <w:rsid w:val="59516454"/>
    <w:rsid w:val="595A2602"/>
    <w:rsid w:val="595E46A3"/>
    <w:rsid w:val="59700EB0"/>
    <w:rsid w:val="597E4543"/>
    <w:rsid w:val="59A25405"/>
    <w:rsid w:val="59AC4578"/>
    <w:rsid w:val="59C0439F"/>
    <w:rsid w:val="59D105B7"/>
    <w:rsid w:val="59D24591"/>
    <w:rsid w:val="59D2488F"/>
    <w:rsid w:val="59F20A8D"/>
    <w:rsid w:val="59F84291"/>
    <w:rsid w:val="5A082FD9"/>
    <w:rsid w:val="5A10294A"/>
    <w:rsid w:val="5A421371"/>
    <w:rsid w:val="5A424547"/>
    <w:rsid w:val="5A4B4ADE"/>
    <w:rsid w:val="5A505656"/>
    <w:rsid w:val="5A6B3FBA"/>
    <w:rsid w:val="5A716D02"/>
    <w:rsid w:val="5A7245D7"/>
    <w:rsid w:val="5A89319F"/>
    <w:rsid w:val="5AB04A9E"/>
    <w:rsid w:val="5AB95119"/>
    <w:rsid w:val="5ABE2233"/>
    <w:rsid w:val="5AC32CB4"/>
    <w:rsid w:val="5AF143C1"/>
    <w:rsid w:val="5B080F95"/>
    <w:rsid w:val="5B2F5A5B"/>
    <w:rsid w:val="5B332702"/>
    <w:rsid w:val="5B9B2277"/>
    <w:rsid w:val="5BDF5D95"/>
    <w:rsid w:val="5BFE7528"/>
    <w:rsid w:val="5C0A6562"/>
    <w:rsid w:val="5C5537CA"/>
    <w:rsid w:val="5C59581B"/>
    <w:rsid w:val="5C860F6B"/>
    <w:rsid w:val="5C97637F"/>
    <w:rsid w:val="5CB91B1B"/>
    <w:rsid w:val="5CC20BEA"/>
    <w:rsid w:val="5CD56E5C"/>
    <w:rsid w:val="5D103A98"/>
    <w:rsid w:val="5D506660"/>
    <w:rsid w:val="5D6972B8"/>
    <w:rsid w:val="5D714477"/>
    <w:rsid w:val="5D7400B5"/>
    <w:rsid w:val="5DC058EB"/>
    <w:rsid w:val="5DD10128"/>
    <w:rsid w:val="5DD81CCD"/>
    <w:rsid w:val="5DFE7EB6"/>
    <w:rsid w:val="5E2467F1"/>
    <w:rsid w:val="5E4E5EB9"/>
    <w:rsid w:val="5E530E11"/>
    <w:rsid w:val="5E687CB5"/>
    <w:rsid w:val="5E8F0FA0"/>
    <w:rsid w:val="5EB21DF7"/>
    <w:rsid w:val="5EB9324F"/>
    <w:rsid w:val="5EBB48D3"/>
    <w:rsid w:val="5EE035AA"/>
    <w:rsid w:val="5F1119B5"/>
    <w:rsid w:val="5F1A2B43"/>
    <w:rsid w:val="5F24730D"/>
    <w:rsid w:val="5F507349"/>
    <w:rsid w:val="5F6212A1"/>
    <w:rsid w:val="5F71003F"/>
    <w:rsid w:val="5F776EA7"/>
    <w:rsid w:val="5F7D0235"/>
    <w:rsid w:val="5F9173A6"/>
    <w:rsid w:val="5FB54D7B"/>
    <w:rsid w:val="5FB837BB"/>
    <w:rsid w:val="5FF82C9E"/>
    <w:rsid w:val="60475718"/>
    <w:rsid w:val="60563B24"/>
    <w:rsid w:val="6084556A"/>
    <w:rsid w:val="608C64A1"/>
    <w:rsid w:val="60906CEE"/>
    <w:rsid w:val="60956D42"/>
    <w:rsid w:val="60A23B95"/>
    <w:rsid w:val="60CC405A"/>
    <w:rsid w:val="60D17C3E"/>
    <w:rsid w:val="61386967"/>
    <w:rsid w:val="61497B2C"/>
    <w:rsid w:val="615D5386"/>
    <w:rsid w:val="617859E8"/>
    <w:rsid w:val="618D7E32"/>
    <w:rsid w:val="61A30FEA"/>
    <w:rsid w:val="61A8488C"/>
    <w:rsid w:val="61B35ABE"/>
    <w:rsid w:val="61BA27D8"/>
    <w:rsid w:val="61E215D8"/>
    <w:rsid w:val="61EB2000"/>
    <w:rsid w:val="620847C0"/>
    <w:rsid w:val="621B3775"/>
    <w:rsid w:val="622A34BA"/>
    <w:rsid w:val="622F6D22"/>
    <w:rsid w:val="62364782"/>
    <w:rsid w:val="623B764F"/>
    <w:rsid w:val="623E7711"/>
    <w:rsid w:val="623F6E56"/>
    <w:rsid w:val="626F25B9"/>
    <w:rsid w:val="62842E61"/>
    <w:rsid w:val="628A341F"/>
    <w:rsid w:val="62960B4F"/>
    <w:rsid w:val="62F320BB"/>
    <w:rsid w:val="62F53AC8"/>
    <w:rsid w:val="632750CE"/>
    <w:rsid w:val="632D6F1F"/>
    <w:rsid w:val="633B5C45"/>
    <w:rsid w:val="633D42EE"/>
    <w:rsid w:val="6394356A"/>
    <w:rsid w:val="63B67828"/>
    <w:rsid w:val="63C61B2C"/>
    <w:rsid w:val="63D40BE9"/>
    <w:rsid w:val="63F35013"/>
    <w:rsid w:val="63FA1AC3"/>
    <w:rsid w:val="63FB4D3D"/>
    <w:rsid w:val="64102431"/>
    <w:rsid w:val="641C58F3"/>
    <w:rsid w:val="641E30F4"/>
    <w:rsid w:val="64404479"/>
    <w:rsid w:val="6441125F"/>
    <w:rsid w:val="6447192E"/>
    <w:rsid w:val="646F7140"/>
    <w:rsid w:val="648A0AFE"/>
    <w:rsid w:val="64A5243A"/>
    <w:rsid w:val="64B00C39"/>
    <w:rsid w:val="64D91F3D"/>
    <w:rsid w:val="64F531DE"/>
    <w:rsid w:val="65046244"/>
    <w:rsid w:val="650F2266"/>
    <w:rsid w:val="65130235"/>
    <w:rsid w:val="651414DB"/>
    <w:rsid w:val="652C4266"/>
    <w:rsid w:val="65373578"/>
    <w:rsid w:val="65390F9D"/>
    <w:rsid w:val="65462486"/>
    <w:rsid w:val="654D17F1"/>
    <w:rsid w:val="657B402C"/>
    <w:rsid w:val="659934A9"/>
    <w:rsid w:val="65B76F02"/>
    <w:rsid w:val="65D67F63"/>
    <w:rsid w:val="65F71C93"/>
    <w:rsid w:val="66367CE8"/>
    <w:rsid w:val="666C4254"/>
    <w:rsid w:val="669376C0"/>
    <w:rsid w:val="66AC0EDD"/>
    <w:rsid w:val="66D82988"/>
    <w:rsid w:val="66E856F1"/>
    <w:rsid w:val="670E2CF4"/>
    <w:rsid w:val="671F124A"/>
    <w:rsid w:val="67291D7B"/>
    <w:rsid w:val="673275D2"/>
    <w:rsid w:val="674A1F08"/>
    <w:rsid w:val="674C75E3"/>
    <w:rsid w:val="675D60DF"/>
    <w:rsid w:val="67644C59"/>
    <w:rsid w:val="677A33C6"/>
    <w:rsid w:val="679717A3"/>
    <w:rsid w:val="679A7D77"/>
    <w:rsid w:val="67C36A7F"/>
    <w:rsid w:val="67E932C3"/>
    <w:rsid w:val="67F45CA8"/>
    <w:rsid w:val="67FC2C1C"/>
    <w:rsid w:val="681D7936"/>
    <w:rsid w:val="681F6961"/>
    <w:rsid w:val="68610A2F"/>
    <w:rsid w:val="68805514"/>
    <w:rsid w:val="688105BC"/>
    <w:rsid w:val="689577D1"/>
    <w:rsid w:val="68991B2C"/>
    <w:rsid w:val="689F35C3"/>
    <w:rsid w:val="68BF27B9"/>
    <w:rsid w:val="68C072C7"/>
    <w:rsid w:val="690146B6"/>
    <w:rsid w:val="690C2FEE"/>
    <w:rsid w:val="69110E39"/>
    <w:rsid w:val="6924682B"/>
    <w:rsid w:val="69285015"/>
    <w:rsid w:val="69316E2F"/>
    <w:rsid w:val="69443B0A"/>
    <w:rsid w:val="694E2071"/>
    <w:rsid w:val="696B2369"/>
    <w:rsid w:val="6971484A"/>
    <w:rsid w:val="69766163"/>
    <w:rsid w:val="697A3B33"/>
    <w:rsid w:val="69860B9D"/>
    <w:rsid w:val="69BD77EF"/>
    <w:rsid w:val="69D22283"/>
    <w:rsid w:val="69D22757"/>
    <w:rsid w:val="69D44760"/>
    <w:rsid w:val="69D54154"/>
    <w:rsid w:val="69D55693"/>
    <w:rsid w:val="6A1E7759"/>
    <w:rsid w:val="6A2223B0"/>
    <w:rsid w:val="6A237592"/>
    <w:rsid w:val="6A425119"/>
    <w:rsid w:val="6A4335FB"/>
    <w:rsid w:val="6A4C70B4"/>
    <w:rsid w:val="6A520EC7"/>
    <w:rsid w:val="6A6D03E7"/>
    <w:rsid w:val="6A7D7420"/>
    <w:rsid w:val="6A9A6590"/>
    <w:rsid w:val="6AB0104F"/>
    <w:rsid w:val="6AC12A02"/>
    <w:rsid w:val="6AC46A89"/>
    <w:rsid w:val="6ACA63DC"/>
    <w:rsid w:val="6ADF68F7"/>
    <w:rsid w:val="6AF87E20"/>
    <w:rsid w:val="6B0E431E"/>
    <w:rsid w:val="6B2131AD"/>
    <w:rsid w:val="6B2667E8"/>
    <w:rsid w:val="6B2B445F"/>
    <w:rsid w:val="6B322639"/>
    <w:rsid w:val="6B3B5EBD"/>
    <w:rsid w:val="6B4D2364"/>
    <w:rsid w:val="6B6537B4"/>
    <w:rsid w:val="6B83186E"/>
    <w:rsid w:val="6B8E2D0B"/>
    <w:rsid w:val="6B9A15B5"/>
    <w:rsid w:val="6BA6460F"/>
    <w:rsid w:val="6BB36DBD"/>
    <w:rsid w:val="6BE70DD8"/>
    <w:rsid w:val="6BED7125"/>
    <w:rsid w:val="6C1D015A"/>
    <w:rsid w:val="6C4C7C6C"/>
    <w:rsid w:val="6C636C38"/>
    <w:rsid w:val="6C9A011D"/>
    <w:rsid w:val="6CE07F5A"/>
    <w:rsid w:val="6CEB5622"/>
    <w:rsid w:val="6D016E29"/>
    <w:rsid w:val="6D0C029D"/>
    <w:rsid w:val="6D2D1C74"/>
    <w:rsid w:val="6D507DE1"/>
    <w:rsid w:val="6D7E2C2C"/>
    <w:rsid w:val="6DB34098"/>
    <w:rsid w:val="6DB545B6"/>
    <w:rsid w:val="6DB91255"/>
    <w:rsid w:val="6DC0587F"/>
    <w:rsid w:val="6DE02FB4"/>
    <w:rsid w:val="6DE226F5"/>
    <w:rsid w:val="6DE81972"/>
    <w:rsid w:val="6E28389A"/>
    <w:rsid w:val="6E29002F"/>
    <w:rsid w:val="6E2E7027"/>
    <w:rsid w:val="6E370B2E"/>
    <w:rsid w:val="6E4B6C92"/>
    <w:rsid w:val="6E514CED"/>
    <w:rsid w:val="6EB563D5"/>
    <w:rsid w:val="6EC274E1"/>
    <w:rsid w:val="6ED92677"/>
    <w:rsid w:val="6EF819BD"/>
    <w:rsid w:val="6F030DC0"/>
    <w:rsid w:val="6F08452F"/>
    <w:rsid w:val="6F1F7810"/>
    <w:rsid w:val="6F225983"/>
    <w:rsid w:val="6F56579A"/>
    <w:rsid w:val="6F715E6C"/>
    <w:rsid w:val="6FBE4DFC"/>
    <w:rsid w:val="6FC867CF"/>
    <w:rsid w:val="6FD22D31"/>
    <w:rsid w:val="6FFC5590"/>
    <w:rsid w:val="70075064"/>
    <w:rsid w:val="701F03D6"/>
    <w:rsid w:val="70436DC6"/>
    <w:rsid w:val="704C1A75"/>
    <w:rsid w:val="706659AD"/>
    <w:rsid w:val="70677460"/>
    <w:rsid w:val="706D1DD0"/>
    <w:rsid w:val="70817EA2"/>
    <w:rsid w:val="70856B87"/>
    <w:rsid w:val="708C3D6B"/>
    <w:rsid w:val="70B36547"/>
    <w:rsid w:val="70C26FB3"/>
    <w:rsid w:val="70D527EE"/>
    <w:rsid w:val="70EA2C04"/>
    <w:rsid w:val="70FA24FF"/>
    <w:rsid w:val="71325EE7"/>
    <w:rsid w:val="715562D5"/>
    <w:rsid w:val="715B5300"/>
    <w:rsid w:val="715E12D2"/>
    <w:rsid w:val="7166706B"/>
    <w:rsid w:val="718D5813"/>
    <w:rsid w:val="71C31A9E"/>
    <w:rsid w:val="71C951FF"/>
    <w:rsid w:val="71D17060"/>
    <w:rsid w:val="71D27F8A"/>
    <w:rsid w:val="71E40CE8"/>
    <w:rsid w:val="71F14BEC"/>
    <w:rsid w:val="71F238C8"/>
    <w:rsid w:val="721D0C1E"/>
    <w:rsid w:val="72243A2A"/>
    <w:rsid w:val="722B23C0"/>
    <w:rsid w:val="72553024"/>
    <w:rsid w:val="72740CF0"/>
    <w:rsid w:val="728267BC"/>
    <w:rsid w:val="72BD237B"/>
    <w:rsid w:val="72D0089E"/>
    <w:rsid w:val="72DA3944"/>
    <w:rsid w:val="72EF2DB5"/>
    <w:rsid w:val="72FA786E"/>
    <w:rsid w:val="73122968"/>
    <w:rsid w:val="731D4975"/>
    <w:rsid w:val="731F5D5E"/>
    <w:rsid w:val="73247AB1"/>
    <w:rsid w:val="73272BDC"/>
    <w:rsid w:val="733067B5"/>
    <w:rsid w:val="73780D94"/>
    <w:rsid w:val="73882F0F"/>
    <w:rsid w:val="73BA7B45"/>
    <w:rsid w:val="73C51AD5"/>
    <w:rsid w:val="73D01C2B"/>
    <w:rsid w:val="741E793C"/>
    <w:rsid w:val="743117C9"/>
    <w:rsid w:val="74373814"/>
    <w:rsid w:val="74487D1F"/>
    <w:rsid w:val="74527E06"/>
    <w:rsid w:val="74543B20"/>
    <w:rsid w:val="745E3944"/>
    <w:rsid w:val="747277DF"/>
    <w:rsid w:val="749C5F61"/>
    <w:rsid w:val="749E5641"/>
    <w:rsid w:val="74B47C18"/>
    <w:rsid w:val="74D07AB2"/>
    <w:rsid w:val="74D605B6"/>
    <w:rsid w:val="74E52C9C"/>
    <w:rsid w:val="74FA1ED5"/>
    <w:rsid w:val="7544736E"/>
    <w:rsid w:val="754D2874"/>
    <w:rsid w:val="75624691"/>
    <w:rsid w:val="75640AB8"/>
    <w:rsid w:val="758B1568"/>
    <w:rsid w:val="75D52413"/>
    <w:rsid w:val="75D93717"/>
    <w:rsid w:val="75DE03EB"/>
    <w:rsid w:val="75E8196C"/>
    <w:rsid w:val="75FB5CA5"/>
    <w:rsid w:val="760164B2"/>
    <w:rsid w:val="7635099D"/>
    <w:rsid w:val="76363A86"/>
    <w:rsid w:val="76481559"/>
    <w:rsid w:val="76667D4B"/>
    <w:rsid w:val="766D724E"/>
    <w:rsid w:val="76F81981"/>
    <w:rsid w:val="771B6972"/>
    <w:rsid w:val="7725544B"/>
    <w:rsid w:val="772C2215"/>
    <w:rsid w:val="774C639E"/>
    <w:rsid w:val="77545277"/>
    <w:rsid w:val="775D7A36"/>
    <w:rsid w:val="776963DA"/>
    <w:rsid w:val="77762421"/>
    <w:rsid w:val="77763BBD"/>
    <w:rsid w:val="777F1672"/>
    <w:rsid w:val="77B56B1F"/>
    <w:rsid w:val="77CA246F"/>
    <w:rsid w:val="77EE329F"/>
    <w:rsid w:val="77F15CD9"/>
    <w:rsid w:val="77F37914"/>
    <w:rsid w:val="77FC345B"/>
    <w:rsid w:val="78000AED"/>
    <w:rsid w:val="780F09F4"/>
    <w:rsid w:val="78150B79"/>
    <w:rsid w:val="78277CA7"/>
    <w:rsid w:val="783262C6"/>
    <w:rsid w:val="783C650A"/>
    <w:rsid w:val="784A17EC"/>
    <w:rsid w:val="785D0446"/>
    <w:rsid w:val="78A67C1F"/>
    <w:rsid w:val="78A90480"/>
    <w:rsid w:val="78B87AD6"/>
    <w:rsid w:val="78D54EA9"/>
    <w:rsid w:val="78F32400"/>
    <w:rsid w:val="7906462C"/>
    <w:rsid w:val="790C1713"/>
    <w:rsid w:val="79240F4C"/>
    <w:rsid w:val="79370BFE"/>
    <w:rsid w:val="79433773"/>
    <w:rsid w:val="79617202"/>
    <w:rsid w:val="79831B77"/>
    <w:rsid w:val="79932D5A"/>
    <w:rsid w:val="79956F87"/>
    <w:rsid w:val="79D87712"/>
    <w:rsid w:val="79EF04C5"/>
    <w:rsid w:val="7A0D6944"/>
    <w:rsid w:val="7A364017"/>
    <w:rsid w:val="7A5C3FD5"/>
    <w:rsid w:val="7A663012"/>
    <w:rsid w:val="7A664E53"/>
    <w:rsid w:val="7A8265E1"/>
    <w:rsid w:val="7A871722"/>
    <w:rsid w:val="7AA21FFC"/>
    <w:rsid w:val="7AC82F70"/>
    <w:rsid w:val="7AD51D81"/>
    <w:rsid w:val="7AED03E4"/>
    <w:rsid w:val="7B1A265A"/>
    <w:rsid w:val="7B1E128A"/>
    <w:rsid w:val="7B271A3F"/>
    <w:rsid w:val="7B5F1FA2"/>
    <w:rsid w:val="7B686D42"/>
    <w:rsid w:val="7B81253F"/>
    <w:rsid w:val="7B841746"/>
    <w:rsid w:val="7B975099"/>
    <w:rsid w:val="7BA87C08"/>
    <w:rsid w:val="7BD12F3C"/>
    <w:rsid w:val="7BE04CB6"/>
    <w:rsid w:val="7BE6624C"/>
    <w:rsid w:val="7C05720C"/>
    <w:rsid w:val="7C073C4C"/>
    <w:rsid w:val="7C306F55"/>
    <w:rsid w:val="7C375BAD"/>
    <w:rsid w:val="7C6C5AC7"/>
    <w:rsid w:val="7C801D18"/>
    <w:rsid w:val="7C8D4919"/>
    <w:rsid w:val="7CC6544B"/>
    <w:rsid w:val="7CCC2D51"/>
    <w:rsid w:val="7CF92DF0"/>
    <w:rsid w:val="7CF9616B"/>
    <w:rsid w:val="7D0239FF"/>
    <w:rsid w:val="7D4A17B1"/>
    <w:rsid w:val="7D5E40CD"/>
    <w:rsid w:val="7D637AC9"/>
    <w:rsid w:val="7D656FB0"/>
    <w:rsid w:val="7D930CF5"/>
    <w:rsid w:val="7DC45B56"/>
    <w:rsid w:val="7DCD56F2"/>
    <w:rsid w:val="7DD10BB6"/>
    <w:rsid w:val="7DE15CB3"/>
    <w:rsid w:val="7DEF00C9"/>
    <w:rsid w:val="7DFC464E"/>
    <w:rsid w:val="7E130E4E"/>
    <w:rsid w:val="7E396DCD"/>
    <w:rsid w:val="7E4E1E86"/>
    <w:rsid w:val="7E5C0AAA"/>
    <w:rsid w:val="7E8A55B4"/>
    <w:rsid w:val="7E8C3798"/>
    <w:rsid w:val="7EA335BB"/>
    <w:rsid w:val="7EAC7BD7"/>
    <w:rsid w:val="7EAF501B"/>
    <w:rsid w:val="7EB37CDE"/>
    <w:rsid w:val="7ECB3D8F"/>
    <w:rsid w:val="7ECF5B1E"/>
    <w:rsid w:val="7F001CE7"/>
    <w:rsid w:val="7F1206C1"/>
    <w:rsid w:val="7F1430D0"/>
    <w:rsid w:val="7F1A58FA"/>
    <w:rsid w:val="7F267D2F"/>
    <w:rsid w:val="7F8750FC"/>
    <w:rsid w:val="7F8E20B7"/>
    <w:rsid w:val="7FE47E50"/>
    <w:rsid w:val="7FE505C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qFormat="1" w:unhideWhenUsed="0" w:uiPriority="0" w:semiHidden="0" w:name="Date"/>
    <w:lsdException w:qFormat="1" w:unhideWhenUsed="0" w:uiPriority="99"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6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line="360" w:lineRule="auto"/>
      <w:ind w:left="0" w:hanging="432"/>
      <w:outlineLvl w:val="0"/>
    </w:pPr>
    <w:rPr>
      <w:b/>
      <w:bCs/>
      <w:color w:val="000000"/>
      <w:kern w:val="44"/>
      <w:szCs w:val="30"/>
    </w:rPr>
  </w:style>
  <w:style w:type="paragraph" w:styleId="3">
    <w:name w:val="heading 3"/>
    <w:basedOn w:val="1"/>
    <w:next w:val="1"/>
    <w:link w:val="26"/>
    <w:autoRedefine/>
    <w:unhideWhenUsed/>
    <w:qFormat/>
    <w:locked/>
    <w:uiPriority w:val="0"/>
    <w:pPr>
      <w:keepNext/>
      <w:keepLines/>
      <w:spacing w:before="260" w:after="260" w:line="416" w:lineRule="auto"/>
      <w:outlineLvl w:val="2"/>
    </w:pPr>
    <w:rPr>
      <w:b/>
      <w:bCs/>
      <w:sz w:val="32"/>
      <w:szCs w:val="32"/>
    </w:rPr>
  </w:style>
  <w:style w:type="paragraph" w:styleId="4">
    <w:name w:val="heading 4"/>
    <w:basedOn w:val="1"/>
    <w:next w:val="1"/>
    <w:link w:val="47"/>
    <w:autoRedefine/>
    <w:unhideWhenUsed/>
    <w:qFormat/>
    <w:locked/>
    <w:uiPriority w:val="0"/>
    <w:pPr>
      <w:keepNext/>
      <w:keepLines/>
      <w:spacing w:before="280" w:after="290" w:line="376" w:lineRule="auto"/>
      <w:outlineLvl w:val="3"/>
    </w:pPr>
    <w:rPr>
      <w:rFonts w:ascii="Calibri Light" w:hAnsi="Calibri Light" w:eastAsia="宋体" w:cs="Times New Roman"/>
      <w:b/>
      <w:bCs/>
      <w:sz w:val="28"/>
      <w:szCs w:val="28"/>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5">
    <w:name w:val="caption"/>
    <w:basedOn w:val="1"/>
    <w:next w:val="1"/>
    <w:link w:val="44"/>
    <w:autoRedefine/>
    <w:qFormat/>
    <w:locked/>
    <w:uiPriority w:val="35"/>
    <w:pPr>
      <w:spacing w:line="360" w:lineRule="auto"/>
      <w:jc w:val="center"/>
    </w:pPr>
    <w:rPr>
      <w:rFonts w:eastAsia="黑体"/>
      <w:kern w:val="0"/>
      <w:sz w:val="24"/>
      <w:szCs w:val="20"/>
    </w:rPr>
  </w:style>
  <w:style w:type="paragraph" w:styleId="6">
    <w:name w:val="annotation text"/>
    <w:basedOn w:val="1"/>
    <w:link w:val="51"/>
    <w:autoRedefine/>
    <w:semiHidden/>
    <w:qFormat/>
    <w:uiPriority w:val="0"/>
    <w:pPr>
      <w:jc w:val="left"/>
    </w:pPr>
    <w:rPr>
      <w:kern w:val="0"/>
      <w:sz w:val="24"/>
      <w:szCs w:val="20"/>
    </w:rPr>
  </w:style>
  <w:style w:type="paragraph" w:styleId="7">
    <w:name w:val="Salutation"/>
    <w:basedOn w:val="1"/>
    <w:next w:val="1"/>
    <w:autoRedefine/>
    <w:unhideWhenUsed/>
    <w:qFormat/>
    <w:locked/>
    <w:uiPriority w:val="99"/>
  </w:style>
  <w:style w:type="paragraph" w:styleId="8">
    <w:name w:val="Body Text"/>
    <w:basedOn w:val="1"/>
    <w:next w:val="7"/>
    <w:link w:val="49"/>
    <w:autoRedefine/>
    <w:qFormat/>
    <w:uiPriority w:val="0"/>
    <w:pPr>
      <w:widowControl/>
      <w:snapToGrid w:val="0"/>
      <w:spacing w:before="60" w:after="160" w:line="259" w:lineRule="auto"/>
      <w:ind w:right="113"/>
    </w:pPr>
    <w:rPr>
      <w:kern w:val="0"/>
      <w:sz w:val="18"/>
      <w:szCs w:val="20"/>
    </w:rPr>
  </w:style>
  <w:style w:type="paragraph" w:styleId="9">
    <w:name w:val="Body Text Indent"/>
    <w:basedOn w:val="1"/>
    <w:next w:val="8"/>
    <w:link w:val="39"/>
    <w:autoRedefine/>
    <w:qFormat/>
    <w:uiPriority w:val="0"/>
    <w:pPr>
      <w:spacing w:after="120"/>
      <w:ind w:left="420" w:leftChars="200"/>
    </w:pPr>
    <w:rPr>
      <w:kern w:val="0"/>
      <w:sz w:val="24"/>
      <w:szCs w:val="20"/>
    </w:rPr>
  </w:style>
  <w:style w:type="paragraph" w:styleId="10">
    <w:name w:val="Block Text"/>
    <w:basedOn w:val="1"/>
    <w:next w:val="1"/>
    <w:autoRedefine/>
    <w:qFormat/>
    <w:locked/>
    <w:uiPriority w:val="0"/>
    <w:pPr>
      <w:snapToGrid w:val="0"/>
      <w:spacing w:line="408" w:lineRule="auto"/>
      <w:ind w:left="-113" w:right="-510" w:firstLine="510"/>
    </w:pPr>
    <w:rPr>
      <w:sz w:val="24"/>
      <w:szCs w:val="20"/>
    </w:rPr>
  </w:style>
  <w:style w:type="paragraph" w:styleId="11">
    <w:name w:val="Plain Text"/>
    <w:basedOn w:val="1"/>
    <w:autoRedefine/>
    <w:qFormat/>
    <w:locked/>
    <w:uiPriority w:val="0"/>
    <w:rPr>
      <w:rFonts w:ascii="宋体" w:hAnsi="Courier New"/>
    </w:rPr>
  </w:style>
  <w:style w:type="paragraph" w:styleId="12">
    <w:name w:val="Date"/>
    <w:basedOn w:val="1"/>
    <w:next w:val="1"/>
    <w:link w:val="46"/>
    <w:autoRedefine/>
    <w:qFormat/>
    <w:uiPriority w:val="0"/>
    <w:pPr>
      <w:ind w:left="100" w:leftChars="2500"/>
    </w:pPr>
    <w:rPr>
      <w:kern w:val="0"/>
      <w:sz w:val="24"/>
      <w:szCs w:val="20"/>
    </w:rPr>
  </w:style>
  <w:style w:type="paragraph" w:styleId="13">
    <w:name w:val="Balloon Text"/>
    <w:basedOn w:val="1"/>
    <w:link w:val="37"/>
    <w:autoRedefine/>
    <w:semiHidden/>
    <w:qFormat/>
    <w:uiPriority w:val="0"/>
    <w:rPr>
      <w:kern w:val="0"/>
      <w:sz w:val="18"/>
      <w:szCs w:val="20"/>
    </w:rPr>
  </w:style>
  <w:style w:type="paragraph" w:styleId="14">
    <w:name w:val="footer"/>
    <w:basedOn w:val="1"/>
    <w:next w:val="1"/>
    <w:link w:val="40"/>
    <w:autoRedefine/>
    <w:qFormat/>
    <w:uiPriority w:val="99"/>
    <w:pPr>
      <w:tabs>
        <w:tab w:val="center" w:pos="4153"/>
        <w:tab w:val="right" w:pos="8306"/>
      </w:tabs>
      <w:snapToGrid w:val="0"/>
      <w:jc w:val="left"/>
    </w:pPr>
    <w:rPr>
      <w:kern w:val="0"/>
      <w:sz w:val="18"/>
      <w:szCs w:val="20"/>
    </w:rPr>
  </w:style>
  <w:style w:type="paragraph" w:styleId="15">
    <w:name w:val="header"/>
    <w:basedOn w:val="1"/>
    <w:link w:val="43"/>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Normal (Web)"/>
    <w:basedOn w:val="1"/>
    <w:link w:val="45"/>
    <w:autoRedefine/>
    <w:qFormat/>
    <w:uiPriority w:val="0"/>
    <w:pPr>
      <w:widowControl/>
      <w:spacing w:before="100" w:beforeAutospacing="1" w:after="100" w:afterAutospacing="1"/>
      <w:jc w:val="left"/>
    </w:pPr>
    <w:rPr>
      <w:rFonts w:ascii="宋体" w:hAnsi="宋体"/>
      <w:kern w:val="0"/>
      <w:sz w:val="24"/>
      <w:szCs w:val="20"/>
    </w:rPr>
  </w:style>
  <w:style w:type="paragraph" w:styleId="17">
    <w:name w:val="Title"/>
    <w:basedOn w:val="1"/>
    <w:next w:val="1"/>
    <w:autoRedefine/>
    <w:qFormat/>
    <w:locked/>
    <w:uiPriority w:val="0"/>
    <w:pPr>
      <w:spacing w:line="240" w:lineRule="auto"/>
      <w:ind w:firstLine="0" w:firstLineChars="0"/>
      <w:jc w:val="center"/>
    </w:pPr>
    <w:rPr>
      <w:rFonts w:eastAsia="黑体" w:cs="Times New Roman"/>
      <w:bCs/>
      <w:sz w:val="21"/>
      <w:szCs w:val="32"/>
    </w:rPr>
  </w:style>
  <w:style w:type="paragraph" w:styleId="18">
    <w:name w:val="annotation subject"/>
    <w:basedOn w:val="6"/>
    <w:next w:val="6"/>
    <w:link w:val="53"/>
    <w:autoRedefine/>
    <w:semiHidden/>
    <w:qFormat/>
    <w:uiPriority w:val="0"/>
    <w:rPr>
      <w:b/>
      <w:sz w:val="24"/>
      <w:szCs w:val="20"/>
    </w:rPr>
  </w:style>
  <w:style w:type="paragraph" w:styleId="19">
    <w:name w:val="Body Text First Indent"/>
    <w:basedOn w:val="8"/>
    <w:next w:val="20"/>
    <w:autoRedefine/>
    <w:qFormat/>
    <w:locked/>
    <w:uiPriority w:val="99"/>
    <w:pPr>
      <w:spacing w:after="120"/>
      <w:ind w:firstLine="420" w:firstLineChars="100"/>
      <w:jc w:val="both"/>
    </w:pPr>
    <w:rPr>
      <w:szCs w:val="21"/>
    </w:rPr>
  </w:style>
  <w:style w:type="paragraph" w:styleId="20">
    <w:name w:val="Body Text First Indent 2"/>
    <w:basedOn w:val="9"/>
    <w:next w:val="1"/>
    <w:autoRedefine/>
    <w:qFormat/>
    <w:locked/>
    <w:uiPriority w:val="0"/>
    <w:pPr>
      <w:ind w:firstLine="420" w:firstLineChars="200"/>
    </w:pPr>
  </w:style>
  <w:style w:type="table" w:styleId="22">
    <w:name w:val="Table Grid"/>
    <w:basedOn w:val="21"/>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autoRedefine/>
    <w:qFormat/>
    <w:locked/>
    <w:uiPriority w:val="0"/>
  </w:style>
  <w:style w:type="character" w:styleId="25">
    <w:name w:val="annotation reference"/>
    <w:autoRedefine/>
    <w:semiHidden/>
    <w:qFormat/>
    <w:uiPriority w:val="0"/>
    <w:rPr>
      <w:sz w:val="21"/>
    </w:rPr>
  </w:style>
  <w:style w:type="character" w:customStyle="1" w:styleId="26">
    <w:name w:val="标题 3 Char"/>
    <w:link w:val="3"/>
    <w:autoRedefine/>
    <w:semiHidden/>
    <w:qFormat/>
    <w:uiPriority w:val="0"/>
    <w:rPr>
      <w:b/>
      <w:bCs/>
      <w:kern w:val="2"/>
      <w:sz w:val="32"/>
      <w:szCs w:val="32"/>
    </w:rPr>
  </w:style>
  <w:style w:type="paragraph" w:customStyle="1" w:styleId="27">
    <w:name w:val="Default"/>
    <w:next w:val="28"/>
    <w:autoRedefine/>
    <w:qFormat/>
    <w:uiPriority w:val="0"/>
    <w:pPr>
      <w:widowControl w:val="0"/>
      <w:autoSpaceDE w:val="0"/>
      <w:autoSpaceDN w:val="0"/>
      <w:adjustRightInd w:val="0"/>
      <w:spacing w:line="460" w:lineRule="exact"/>
      <w:jc w:val="center"/>
    </w:pPr>
    <w:rPr>
      <w:rFonts w:ascii="黑体" w:hAnsi="Times New Roman" w:eastAsia="黑体" w:cs="黑体"/>
      <w:color w:val="000000"/>
      <w:sz w:val="24"/>
      <w:szCs w:val="24"/>
      <w:lang w:val="en-US" w:eastAsia="zh-CN" w:bidi="ar-SA"/>
    </w:rPr>
  </w:style>
  <w:style w:type="paragraph" w:customStyle="1" w:styleId="28">
    <w:name w:val="样式35"/>
    <w:basedOn w:val="1"/>
    <w:next w:val="1"/>
    <w:autoRedefine/>
    <w:qFormat/>
    <w:uiPriority w:val="0"/>
    <w:pPr>
      <w:spacing w:line="312" w:lineRule="auto"/>
      <w:ind w:firstLine="567"/>
    </w:pPr>
    <w:rPr>
      <w:rFonts w:ascii="宋体"/>
      <w:sz w:val="28"/>
    </w:rPr>
  </w:style>
  <w:style w:type="paragraph" w:customStyle="1" w:styleId="29">
    <w:name w:val="Body Text 2_050de59c-084d-4175-9105-ef8c1c28e700"/>
    <w:basedOn w:val="1"/>
    <w:autoRedefine/>
    <w:qFormat/>
    <w:uiPriority w:val="0"/>
    <w:pPr>
      <w:spacing w:after="120" w:line="480" w:lineRule="auto"/>
    </w:pPr>
  </w:style>
  <w:style w:type="paragraph" w:customStyle="1" w:styleId="30">
    <w:name w:val="Char Char Char Char Char Char1 Char Char Char Char"/>
    <w:basedOn w:val="1"/>
    <w:next w:val="1"/>
    <w:autoRedefine/>
    <w:qFormat/>
    <w:uiPriority w:val="0"/>
    <w:pPr>
      <w:widowControl w:val="0"/>
      <w:autoSpaceDE/>
      <w:autoSpaceDN/>
      <w:spacing w:before="0" w:after="0" w:line="360" w:lineRule="auto"/>
      <w:ind w:left="0" w:firstLine="200"/>
      <w:jc w:val="both"/>
    </w:pPr>
    <w:rPr>
      <w:rFonts w:ascii="Times New Roman" w:eastAsia="宋体"/>
      <w:sz w:val="21"/>
    </w:rPr>
  </w:style>
  <w:style w:type="paragraph" w:customStyle="1" w:styleId="31">
    <w:name w:val="Default1"/>
    <w:next w:val="32"/>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2">
    <w:name w:val="正文样式1"/>
    <w:basedOn w:val="1"/>
    <w:next w:val="1"/>
    <w:autoRedefine/>
    <w:qFormat/>
    <w:uiPriority w:val="0"/>
    <w:pPr>
      <w:adjustRightInd w:val="0"/>
      <w:spacing w:line="360" w:lineRule="auto"/>
      <w:ind w:firstLine="360" w:firstLineChars="150"/>
      <w:textAlignment w:val="baseline"/>
    </w:pPr>
    <w:rPr>
      <w:rFonts w:ascii="宋体" w:hAnsi="宋体"/>
      <w:color w:val="FF0000"/>
      <w:kern w:val="0"/>
      <w:sz w:val="24"/>
      <w:szCs w:val="20"/>
    </w:rPr>
  </w:style>
  <w:style w:type="paragraph" w:customStyle="1" w:styleId="33">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4">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35">
    <w:name w:val="表格"/>
    <w:basedOn w:val="1"/>
    <w:next w:val="1"/>
    <w:link w:val="52"/>
    <w:autoRedefine/>
    <w:qFormat/>
    <w:uiPriority w:val="0"/>
    <w:pPr>
      <w:adjustRightInd w:val="0"/>
      <w:snapToGrid w:val="0"/>
      <w:spacing w:beforeLines="10" w:afterLines="10" w:line="259" w:lineRule="auto"/>
      <w:jc w:val="center"/>
    </w:pPr>
    <w:rPr>
      <w:rFonts w:ascii="宋体"/>
      <w:kern w:val="0"/>
      <w:szCs w:val="20"/>
    </w:rPr>
  </w:style>
  <w:style w:type="paragraph" w:customStyle="1" w:styleId="36">
    <w:name w:val="表格中文字"/>
    <w:basedOn w:val="1"/>
    <w:link w:val="41"/>
    <w:autoRedefine/>
    <w:qFormat/>
    <w:uiPriority w:val="0"/>
    <w:pPr>
      <w:jc w:val="center"/>
    </w:pPr>
    <w:rPr>
      <w:kern w:val="0"/>
      <w:sz w:val="20"/>
      <w:lang w:val="zh-CN"/>
    </w:rPr>
  </w:style>
  <w:style w:type="character" w:customStyle="1" w:styleId="37">
    <w:name w:val="批注框文本 Char"/>
    <w:link w:val="13"/>
    <w:autoRedefine/>
    <w:semiHidden/>
    <w:qFormat/>
    <w:locked/>
    <w:uiPriority w:val="0"/>
    <w:rPr>
      <w:rFonts w:ascii="Times New Roman" w:hAnsi="Times New Roman" w:eastAsia="宋体"/>
      <w:sz w:val="18"/>
    </w:rPr>
  </w:style>
  <w:style w:type="character" w:customStyle="1" w:styleId="38">
    <w:name w:val="页脚 字符"/>
    <w:basedOn w:val="23"/>
    <w:autoRedefine/>
    <w:qFormat/>
    <w:uiPriority w:val="99"/>
  </w:style>
  <w:style w:type="character" w:customStyle="1" w:styleId="39">
    <w:name w:val="正文文本缩进 Char"/>
    <w:link w:val="9"/>
    <w:autoRedefine/>
    <w:semiHidden/>
    <w:qFormat/>
    <w:locked/>
    <w:uiPriority w:val="0"/>
    <w:rPr>
      <w:rFonts w:ascii="Times New Roman" w:hAnsi="Times New Roman" w:eastAsia="宋体"/>
      <w:sz w:val="24"/>
    </w:rPr>
  </w:style>
  <w:style w:type="character" w:customStyle="1" w:styleId="40">
    <w:name w:val="页脚 Char"/>
    <w:link w:val="14"/>
    <w:autoRedefine/>
    <w:qFormat/>
    <w:locked/>
    <w:uiPriority w:val="99"/>
    <w:rPr>
      <w:sz w:val="18"/>
    </w:rPr>
  </w:style>
  <w:style w:type="character" w:customStyle="1" w:styleId="41">
    <w:name w:val="表格中文字 字符"/>
    <w:link w:val="36"/>
    <w:autoRedefine/>
    <w:qFormat/>
    <w:uiPriority w:val="0"/>
    <w:rPr>
      <w:szCs w:val="24"/>
      <w:lang w:val="zh-CN"/>
    </w:rPr>
  </w:style>
  <w:style w:type="character" w:customStyle="1" w:styleId="42">
    <w:name w:val="批注文字 字符1"/>
    <w:autoRedefine/>
    <w:semiHidden/>
    <w:qFormat/>
    <w:uiPriority w:val="0"/>
    <w:rPr>
      <w:rFonts w:ascii="Times New Roman" w:hAnsi="Times New Roman" w:eastAsia="宋体"/>
      <w:sz w:val="24"/>
    </w:rPr>
  </w:style>
  <w:style w:type="character" w:customStyle="1" w:styleId="43">
    <w:name w:val="页眉 Char"/>
    <w:link w:val="15"/>
    <w:autoRedefine/>
    <w:qFormat/>
    <w:locked/>
    <w:uiPriority w:val="0"/>
    <w:rPr>
      <w:sz w:val="18"/>
    </w:rPr>
  </w:style>
  <w:style w:type="character" w:customStyle="1" w:styleId="44">
    <w:name w:val="题注 Char"/>
    <w:link w:val="5"/>
    <w:autoRedefine/>
    <w:qFormat/>
    <w:uiPriority w:val="35"/>
    <w:rPr>
      <w:rFonts w:eastAsia="黑体"/>
      <w:sz w:val="24"/>
    </w:rPr>
  </w:style>
  <w:style w:type="character" w:customStyle="1" w:styleId="45">
    <w:name w:val="普通(网站) Char"/>
    <w:link w:val="16"/>
    <w:autoRedefine/>
    <w:qFormat/>
    <w:locked/>
    <w:uiPriority w:val="0"/>
    <w:rPr>
      <w:rFonts w:ascii="宋体" w:hAnsi="宋体" w:eastAsia="宋体"/>
      <w:sz w:val="24"/>
    </w:rPr>
  </w:style>
  <w:style w:type="character" w:customStyle="1" w:styleId="46">
    <w:name w:val="日期 Char"/>
    <w:link w:val="12"/>
    <w:autoRedefine/>
    <w:qFormat/>
    <w:locked/>
    <w:uiPriority w:val="0"/>
    <w:rPr>
      <w:rFonts w:ascii="Times New Roman" w:hAnsi="Times New Roman" w:eastAsia="宋体"/>
      <w:sz w:val="24"/>
    </w:rPr>
  </w:style>
  <w:style w:type="character" w:customStyle="1" w:styleId="47">
    <w:name w:val="标题 4 Char"/>
    <w:link w:val="4"/>
    <w:autoRedefine/>
    <w:semiHidden/>
    <w:qFormat/>
    <w:uiPriority w:val="0"/>
    <w:rPr>
      <w:rFonts w:ascii="Calibri Light" w:hAnsi="Calibri Light" w:eastAsia="宋体" w:cs="Times New Roman"/>
      <w:b/>
      <w:bCs/>
      <w:kern w:val="2"/>
      <w:sz w:val="28"/>
      <w:szCs w:val="28"/>
    </w:rPr>
  </w:style>
  <w:style w:type="character" w:customStyle="1" w:styleId="48">
    <w:name w:val="日期 字符"/>
    <w:autoRedefine/>
    <w:semiHidden/>
    <w:qFormat/>
    <w:uiPriority w:val="0"/>
    <w:rPr>
      <w:rFonts w:ascii="Times New Roman" w:hAnsi="Times New Roman" w:eastAsia="宋体"/>
      <w:sz w:val="24"/>
    </w:rPr>
  </w:style>
  <w:style w:type="character" w:customStyle="1" w:styleId="49">
    <w:name w:val="正文文本 Char"/>
    <w:link w:val="8"/>
    <w:autoRedefine/>
    <w:qFormat/>
    <w:locked/>
    <w:uiPriority w:val="0"/>
    <w:rPr>
      <w:sz w:val="18"/>
    </w:rPr>
  </w:style>
  <w:style w:type="character" w:customStyle="1" w:styleId="50">
    <w:name w:val="正文文本 字符1"/>
    <w:autoRedefine/>
    <w:semiHidden/>
    <w:qFormat/>
    <w:uiPriority w:val="0"/>
    <w:rPr>
      <w:rFonts w:ascii="Times New Roman" w:hAnsi="Times New Roman" w:eastAsia="宋体"/>
      <w:sz w:val="24"/>
    </w:rPr>
  </w:style>
  <w:style w:type="character" w:customStyle="1" w:styleId="51">
    <w:name w:val="批注文字 Char"/>
    <w:link w:val="6"/>
    <w:autoRedefine/>
    <w:qFormat/>
    <w:locked/>
    <w:uiPriority w:val="0"/>
    <w:rPr>
      <w:rFonts w:ascii="Times New Roman" w:hAnsi="Times New Roman" w:eastAsia="宋体"/>
      <w:sz w:val="24"/>
    </w:rPr>
  </w:style>
  <w:style w:type="character" w:customStyle="1" w:styleId="52">
    <w:name w:val="表格 Char"/>
    <w:link w:val="35"/>
    <w:autoRedefine/>
    <w:qFormat/>
    <w:locked/>
    <w:uiPriority w:val="0"/>
    <w:rPr>
      <w:rFonts w:ascii="宋体"/>
      <w:sz w:val="21"/>
    </w:rPr>
  </w:style>
  <w:style w:type="character" w:customStyle="1" w:styleId="53">
    <w:name w:val="批注主题 Char"/>
    <w:link w:val="18"/>
    <w:autoRedefine/>
    <w:semiHidden/>
    <w:qFormat/>
    <w:locked/>
    <w:uiPriority w:val="0"/>
    <w:rPr>
      <w:rFonts w:ascii="Times New Roman" w:hAnsi="Times New Roman" w:eastAsia="宋体"/>
      <w:b/>
      <w:kern w:val="2"/>
      <w:sz w:val="24"/>
    </w:rPr>
  </w:style>
  <w:style w:type="paragraph" w:customStyle="1" w:styleId="54">
    <w:name w:val="List Paragraph"/>
    <w:basedOn w:val="1"/>
    <w:autoRedefine/>
    <w:qFormat/>
    <w:uiPriority w:val="0"/>
    <w:pPr>
      <w:widowControl w:val="0"/>
      <w:autoSpaceDE w:val="0"/>
      <w:autoSpaceDN w:val="0"/>
      <w:ind w:left="231" w:right="266" w:firstLine="600"/>
      <w:jc w:val="both"/>
    </w:pPr>
    <w:rPr>
      <w:rFonts w:ascii="仿宋" w:hAnsi="仿宋" w:eastAsia="仿宋"/>
      <w:sz w:val="22"/>
      <w:szCs w:val="22"/>
    </w:rPr>
  </w:style>
  <w:style w:type="paragraph" w:customStyle="1" w:styleId="55">
    <w:name w:val="表内 定"/>
    <w:basedOn w:val="1"/>
    <w:autoRedefine/>
    <w:qFormat/>
    <w:uiPriority w:val="0"/>
    <w:rPr>
      <w:rFonts w:cs="Times New Roman"/>
      <w:color w:val="000000" w:themeColor="text1"/>
      <w14:textFill>
        <w14:solidFill>
          <w14:schemeClr w14:val="tx1"/>
        </w14:solidFill>
      </w14:textFill>
    </w:rPr>
  </w:style>
  <w:style w:type="paragraph" w:customStyle="1" w:styleId="56">
    <w:name w:val="样式1"/>
    <w:basedOn w:val="1"/>
    <w:autoRedefine/>
    <w:qFormat/>
    <w:uiPriority w:val="0"/>
    <w:rPr>
      <w:szCs w:val="20"/>
      <w:shd w:val="clear" w:color="auto" w:fill="FFFFFF"/>
    </w:rPr>
  </w:style>
  <w:style w:type="paragraph" w:customStyle="1" w:styleId="57">
    <w:name w:val="表内"/>
    <w:basedOn w:val="1"/>
    <w:autoRedefine/>
    <w:qFormat/>
    <w:uiPriority w:val="99"/>
    <w:pPr>
      <w:framePr w:hSpace="180" w:wrap="around" w:vAnchor="page" w:hAnchor="margin" w:y="1411"/>
      <w:widowControl/>
      <w:spacing w:line="320" w:lineRule="exact"/>
      <w:ind w:firstLine="0" w:firstLineChars="0"/>
      <w:jc w:val="center"/>
    </w:pPr>
    <w:rPr>
      <w:rFonts w:asciiTheme="minorAscii" w:hAnsiTheme="minorAscii"/>
      <w:sz w:val="18"/>
      <w:szCs w:val="20"/>
    </w:rPr>
  </w:style>
  <w:style w:type="paragraph" w:customStyle="1" w:styleId="58">
    <w:name w:val="报告表表格文字"/>
    <w:basedOn w:val="1"/>
    <w:autoRedefine/>
    <w:qFormat/>
    <w:uiPriority w:val="0"/>
    <w:pPr>
      <w:autoSpaceDE w:val="0"/>
      <w:autoSpaceDN w:val="0"/>
      <w:adjustRightInd w:val="0"/>
      <w:snapToGrid w:val="0"/>
      <w:spacing w:line="360" w:lineRule="exact"/>
      <w:ind w:firstLine="0" w:firstLineChars="0"/>
      <w:jc w:val="center"/>
      <w:textAlignment w:val="baseline"/>
    </w:pPr>
    <w:rPr>
      <w:color w:val="000000"/>
      <w:kern w:val="0"/>
      <w:sz w:val="21"/>
      <w:szCs w:val="21"/>
    </w:rPr>
  </w:style>
  <w:style w:type="paragraph" w:customStyle="1" w:styleId="59">
    <w:name w:val="22磅行间距"/>
    <w:basedOn w:val="1"/>
    <w:autoRedefine/>
    <w:qFormat/>
    <w:uiPriority w:val="0"/>
    <w:pPr>
      <w:adjustRightInd w:val="0"/>
      <w:snapToGrid w:val="0"/>
      <w:spacing w:line="440" w:lineRule="exact"/>
      <w:ind w:firstLine="200" w:firstLineChars="200"/>
    </w:pPr>
    <w:rPr>
      <w:sz w:val="24"/>
    </w:rPr>
  </w:style>
  <w:style w:type="paragraph" w:customStyle="1" w:styleId="60">
    <w:name w:val="样式 居中"/>
    <w:basedOn w:val="1"/>
    <w:autoRedefine/>
    <w:qFormat/>
    <w:uiPriority w:val="0"/>
    <w:pPr>
      <w:jc w:val="center"/>
    </w:pPr>
    <w:rPr>
      <w:rFonts w:cs="宋体"/>
    </w:rPr>
  </w:style>
  <w:style w:type="paragraph" w:customStyle="1" w:styleId="61">
    <w:name w:val="列出段落1"/>
    <w:basedOn w:val="1"/>
    <w:autoRedefine/>
    <w:qFormat/>
    <w:uiPriority w:val="99"/>
    <w:pPr>
      <w:autoSpaceDE w:val="0"/>
      <w:autoSpaceDN w:val="0"/>
      <w:ind w:left="231" w:right="266" w:firstLine="600"/>
    </w:pPr>
    <w:rPr>
      <w:rFonts w:ascii="仿宋" w:hAnsi="仿宋" w:eastAsia="仿宋"/>
      <w:kern w:val="0"/>
      <w:sz w:val="22"/>
      <w:szCs w:val="22"/>
    </w:rPr>
  </w:style>
  <w:style w:type="paragraph" w:customStyle="1" w:styleId="62">
    <w:name w:val="鸿达表格文字"/>
    <w:basedOn w:val="1"/>
    <w:autoRedefine/>
    <w:qFormat/>
    <w:uiPriority w:val="0"/>
    <w:pPr>
      <w:adjustRightInd/>
      <w:snapToGrid/>
      <w:spacing w:line="240" w:lineRule="auto"/>
      <w:ind w:firstLine="0" w:firstLineChars="0"/>
      <w:contextualSpacing/>
      <w:jc w:val="center"/>
    </w:pPr>
    <w:rPr>
      <w:sz w:val="21"/>
      <w:szCs w:val="21"/>
    </w:rPr>
  </w:style>
  <w:style w:type="paragraph" w:customStyle="1" w:styleId="63">
    <w:name w:val="av"/>
    <w:basedOn w:val="1"/>
    <w:autoRedefine/>
    <w:qFormat/>
    <w:uiPriority w:val="0"/>
    <w:pPr>
      <w:jc w:val="center"/>
    </w:pPr>
    <w:rPr>
      <w:sz w:val="21"/>
      <w:szCs w:val="21"/>
    </w:rPr>
  </w:style>
  <w:style w:type="paragraph" w:customStyle="1" w:styleId="64">
    <w:name w:val="xry表格文字"/>
    <w:basedOn w:val="1"/>
    <w:autoRedefine/>
    <w:qFormat/>
    <w:uiPriority w:val="0"/>
    <w:pPr>
      <w:spacing w:line="240" w:lineRule="auto"/>
      <w:ind w:firstLine="0" w:firstLineChars="0"/>
      <w:jc w:val="center"/>
    </w:pPr>
    <w:rPr>
      <w:kern w:val="0"/>
      <w:sz w:val="20"/>
      <w:szCs w:val="24"/>
      <w:lang w:val="zh-CN"/>
    </w:rPr>
  </w:style>
  <w:style w:type="paragraph" w:customStyle="1" w:styleId="65">
    <w:name w:val="正文文本 (2)2"/>
    <w:basedOn w:val="1"/>
    <w:autoRedefine/>
    <w:qFormat/>
    <w:uiPriority w:val="0"/>
    <w:pPr>
      <w:widowControl w:val="0"/>
      <w:shd w:val="clear" w:color="auto" w:fill="FFFFFF"/>
      <w:spacing w:after="6360" w:line="0" w:lineRule="atLeast"/>
      <w:jc w:val="center"/>
    </w:pPr>
    <w:rPr>
      <w:rFonts w:ascii="MingLiU" w:hAnsi="MingLiU" w:eastAsia="MingLiU"/>
      <w:kern w:val="0"/>
      <w:sz w:val="22"/>
    </w:rPr>
  </w:style>
  <w:style w:type="character" w:customStyle="1" w:styleId="66">
    <w:name w:val="正文文本 (2) + 9.5 pt"/>
    <w:autoRedefine/>
    <w:qFormat/>
    <w:uiPriority w:val="0"/>
    <w:rPr>
      <w:rFonts w:ascii="MingLiU" w:hAnsi="MingLiU" w:eastAsia="MingLiU" w:cs="MingLiU"/>
      <w:color w:val="000000"/>
      <w:spacing w:val="-20"/>
      <w:w w:val="100"/>
      <w:position w:val="0"/>
      <w:sz w:val="19"/>
      <w:szCs w:val="19"/>
      <w:u w:val="none"/>
      <w:lang w:val="zh-TW" w:eastAsia="zh-TW" w:bidi="zh-TW"/>
    </w:rPr>
  </w:style>
  <w:style w:type="paragraph" w:customStyle="1" w:styleId="67">
    <w:name w:val="Table Paragraph"/>
    <w:basedOn w:val="1"/>
    <w:autoRedefine/>
    <w:qFormat/>
    <w:uiPriority w:val="1"/>
  </w:style>
  <w:style w:type="paragraph" w:customStyle="1" w:styleId="68">
    <w:name w:val="表格文"/>
    <w:basedOn w:val="1"/>
    <w:autoRedefine/>
    <w:qFormat/>
    <w:uiPriority w:val="0"/>
    <w:pPr>
      <w:textAlignment w:val="baseline"/>
    </w:pPr>
  </w:style>
  <w:style w:type="paragraph" w:customStyle="1" w:styleId="69">
    <w:name w:val="鸿达表加粗"/>
    <w:basedOn w:val="1"/>
    <w:autoRedefine/>
    <w:qFormat/>
    <w:uiPriority w:val="0"/>
    <w:pPr>
      <w:jc w:val="center"/>
    </w:pPr>
    <w:rPr>
      <w:rFonts w:cs="宋体"/>
      <w:b/>
      <w:color w:val="000000"/>
      <w:szCs w:val="20"/>
    </w:rPr>
  </w:style>
  <w:style w:type="paragraph" w:customStyle="1" w:styleId="70">
    <w:name w:val="鸿达表格段落"/>
    <w:basedOn w:val="1"/>
    <w:autoRedefine/>
    <w:qFormat/>
    <w:uiPriority w:val="0"/>
    <w:pPr>
      <w:adjustRightInd w:val="0"/>
      <w:snapToGrid w:val="0"/>
      <w:ind w:firstLine="200" w:firstLineChars="200"/>
      <w:jc w:val="left"/>
    </w:pPr>
    <w:rPr>
      <w:snapToGrid w:val="0"/>
      <w:kern w:val="0"/>
    </w:rPr>
  </w:style>
  <w:style w:type="character" w:customStyle="1" w:styleId="71">
    <w:name w:val="font101"/>
    <w:basedOn w:val="23"/>
    <w:autoRedefine/>
    <w:qFormat/>
    <w:uiPriority w:val="0"/>
    <w:rPr>
      <w:rFonts w:hint="eastAsia" w:ascii="仿宋" w:hAnsi="仿宋" w:eastAsia="仿宋" w:cs="仿宋"/>
      <w:color w:val="000000"/>
      <w:sz w:val="21"/>
      <w:szCs w:val="21"/>
      <w:u w:val="none"/>
    </w:rPr>
  </w:style>
  <w:style w:type="character" w:customStyle="1" w:styleId="72">
    <w:name w:val="font11"/>
    <w:basedOn w:val="23"/>
    <w:autoRedefine/>
    <w:qFormat/>
    <w:uiPriority w:val="0"/>
    <w:rPr>
      <w:rFonts w:ascii="font-weight : 400" w:hAnsi="font-weight : 400" w:eastAsia="Times New Roman" w:cs="font-weight : 400"/>
      <w:color w:val="000000"/>
      <w:sz w:val="22"/>
      <w:szCs w:val="22"/>
      <w:u w:val="none"/>
      <w:vertAlign w:val="superscript"/>
    </w:rPr>
  </w:style>
  <w:style w:type="paragraph" w:customStyle="1" w:styleId="73">
    <w:name w:val="表格样式"/>
    <w:basedOn w:val="1"/>
    <w:autoRedefine/>
    <w:qFormat/>
    <w:uiPriority w:val="0"/>
    <w:pPr>
      <w:widowControl/>
      <w:spacing w:line="320" w:lineRule="exact"/>
      <w:jc w:val="center"/>
    </w:pPr>
    <w:rPr>
      <w:rFonts w:ascii="Times New Roman" w:hAnsi="Times New Roman" w:eastAsia="宋体" w:cs="Times New Roman"/>
      <w:sz w:val="18"/>
      <w:szCs w:val="18"/>
    </w:rPr>
  </w:style>
  <w:style w:type="paragraph" w:customStyle="1" w:styleId="74">
    <w:name w:val="K 正文"/>
    <w:basedOn w:val="1"/>
    <w:autoRedefine/>
    <w:qFormat/>
    <w:uiPriority w:val="0"/>
    <w:pPr>
      <w:adjustRightInd w:val="0"/>
      <w:snapToGrid w:val="0"/>
      <w:spacing w:line="360" w:lineRule="auto"/>
      <w:ind w:firstLine="200" w:firstLineChars="200"/>
    </w:pPr>
    <w:rPr>
      <w:bCs/>
      <w:sz w:val="24"/>
      <w:szCs w:val="22"/>
    </w:rPr>
  </w:style>
  <w:style w:type="paragraph" w:customStyle="1" w:styleId="75">
    <w:name w:val="K表格中文字"/>
    <w:basedOn w:val="1"/>
    <w:next w:val="11"/>
    <w:autoRedefine/>
    <w:qFormat/>
    <w:uiPriority w:val="0"/>
    <w:pPr>
      <w:spacing w:line="360" w:lineRule="exact"/>
      <w:ind w:firstLine="0" w:firstLineChars="0"/>
      <w:jc w:val="center"/>
    </w:pPr>
    <w:rPr>
      <w:szCs w:val="22"/>
      <w:lang w:val="zh-CN"/>
    </w:rPr>
  </w:style>
  <w:style w:type="paragraph" w:customStyle="1" w:styleId="76">
    <w:name w:val="Char"/>
    <w:basedOn w:val="1"/>
    <w:autoRedefine/>
    <w:qFormat/>
    <w:uiPriority w:val="0"/>
    <w:pPr>
      <w:spacing w:line="360" w:lineRule="auto"/>
      <w:ind w:firstLine="200" w:firstLineChars="200"/>
    </w:pPr>
    <w:rPr>
      <w:rFonts w:ascii="宋体" w:hAnsi="宋体" w:cs="宋体"/>
      <w:sz w:val="24"/>
    </w:rPr>
  </w:style>
  <w:style w:type="character" w:customStyle="1" w:styleId="77">
    <w:name w:val="font31"/>
    <w:basedOn w:val="23"/>
    <w:autoRedefine/>
    <w:qFormat/>
    <w:uiPriority w:val="0"/>
    <w:rPr>
      <w:rFonts w:hint="eastAsia" w:ascii="宋体" w:hAnsi="宋体" w:eastAsia="宋体" w:cs="宋体"/>
      <w:color w:val="000000"/>
      <w:sz w:val="24"/>
      <w:szCs w:val="24"/>
      <w:u w:val="none"/>
    </w:rPr>
  </w:style>
  <w:style w:type="paragraph" w:customStyle="1" w:styleId="78">
    <w:name w:val=" Char Char Char"/>
    <w:basedOn w:val="1"/>
    <w:autoRedefine/>
    <w:qFormat/>
    <w:uiPriority w:val="0"/>
  </w:style>
  <w:style w:type="paragraph" w:customStyle="1" w:styleId="79">
    <w:name w:val="1.正文"/>
    <w:basedOn w:val="1"/>
    <w:autoRedefine/>
    <w:qFormat/>
    <w:uiPriority w:val="0"/>
    <w:pPr>
      <w:spacing w:line="460" w:lineRule="exact"/>
      <w:ind w:firstLine="200" w:firstLineChars="200"/>
    </w:pPr>
    <w:rPr>
      <w:rFonts w:cs="宋体"/>
      <w:szCs w:val="20"/>
    </w:rPr>
  </w:style>
  <w:style w:type="paragraph" w:customStyle="1" w:styleId="80">
    <w:name w:val="报告表格"/>
    <w:basedOn w:val="1"/>
    <w:autoRedefine/>
    <w:qFormat/>
    <w:uiPriority w:val="0"/>
    <w:pPr>
      <w:autoSpaceDE w:val="0"/>
      <w:autoSpaceDN w:val="0"/>
      <w:adjustRightInd w:val="0"/>
      <w:spacing w:before="40" w:after="40"/>
    </w:pPr>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png"/><Relationship Id="rId23" Type="http://schemas.openxmlformats.org/officeDocument/2006/relationships/oleObject" Target="embeddings/oleObject4.bin"/><Relationship Id="rId22" Type="http://schemas.openxmlformats.org/officeDocument/2006/relationships/image" Target="media/image10.jpeg"/><Relationship Id="rId21" Type="http://schemas.openxmlformats.org/officeDocument/2006/relationships/image" Target="media/image9.png"/><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oleObject" Target="embeddings/oleObject2.bin"/><Relationship Id="rId17" Type="http://schemas.openxmlformats.org/officeDocument/2006/relationships/image" Target="media/image7.png"/><Relationship Id="rId16" Type="http://schemas.openxmlformats.org/officeDocument/2006/relationships/oleObject" Target="embeddings/oleObject1.bin"/><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71</Pages>
  <Words>51230</Words>
  <Characters>56264</Characters>
  <Lines>367</Lines>
  <Paragraphs>103</Paragraphs>
  <TotalTime>19</TotalTime>
  <ScaleCrop>false</ScaleCrop>
  <LinksUpToDate>false</LinksUpToDate>
  <CharactersWithSpaces>56391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2021-02-20T02:08:00Z</dcterms:created>
  <dc:creator>lhj</dc:creator>
  <cp:lastModifiedBy>Zz血小板zZ</cp:lastModifiedBy>
  <cp:lastPrinted>2024-02-04T08:48:00Z</cp:lastPrinted>
  <dcterms:modified xsi:type="dcterms:W3CDTF">2024-02-18T07:36:01Z</dcterms:modified>
  <dc:title>附件2</dc:title>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DDD3EA59178C49B181473E04D32E74B1</vt:lpwstr>
  </property>
</Properties>
</file>