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86912" behindDoc="0" locked="0" layoutInCell="1" allowOverlap="1">
            <wp:simplePos x="0" y="0"/>
            <wp:positionH relativeFrom="column">
              <wp:posOffset>-972185</wp:posOffset>
            </wp:positionH>
            <wp:positionV relativeFrom="paragraph">
              <wp:posOffset>-175260</wp:posOffset>
            </wp:positionV>
            <wp:extent cx="7134225" cy="9236710"/>
            <wp:effectExtent l="0" t="0" r="9525" b="2540"/>
            <wp:wrapSquare wrapText="bothSides"/>
            <wp:docPr id="33" name="图片 33" descr="建设项目环境影响报告表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建设项目环境影响报告表_页面_1"/>
                    <pic:cNvPicPr>
                      <a:picLocks noChangeAspect="1"/>
                    </pic:cNvPicPr>
                  </pic:nvPicPr>
                  <pic:blipFill>
                    <a:blip r:embed="rId10"/>
                    <a:srcRect/>
                    <a:stretch>
                      <a:fillRect/>
                    </a:stretch>
                  </pic:blipFill>
                  <pic:spPr>
                    <a:xfrm>
                      <a:off x="0" y="0"/>
                      <a:ext cx="7134225" cy="923671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87936" behindDoc="0" locked="0" layoutInCell="1" allowOverlap="1">
            <wp:simplePos x="0" y="0"/>
            <wp:positionH relativeFrom="column">
              <wp:posOffset>-1071245</wp:posOffset>
            </wp:positionH>
            <wp:positionV relativeFrom="paragraph">
              <wp:posOffset>-784225</wp:posOffset>
            </wp:positionV>
            <wp:extent cx="7368540" cy="9536430"/>
            <wp:effectExtent l="0" t="0" r="3810" b="7620"/>
            <wp:wrapSquare wrapText="bothSides"/>
            <wp:docPr id="34" name="图片 34" descr="建设项目环境影响报告表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建设项目环境影响报告表_页面_2"/>
                    <pic:cNvPicPr>
                      <a:picLocks noChangeAspect="1"/>
                    </pic:cNvPicPr>
                  </pic:nvPicPr>
                  <pic:blipFill>
                    <a:blip r:embed="rId11"/>
                    <a:srcRect/>
                    <a:stretch>
                      <a:fillRect/>
                    </a:stretch>
                  </pic:blipFill>
                  <pic:spPr>
                    <a:xfrm>
                      <a:off x="0" y="0"/>
                      <a:ext cx="7368540" cy="9536430"/>
                    </a:xfrm>
                    <a:prstGeom prst="rect">
                      <a:avLst/>
                    </a:prstGeom>
                  </pic:spPr>
                </pic:pic>
              </a:graphicData>
            </a:graphic>
          </wp:anchor>
        </w:drawing>
      </w:r>
    </w:p>
    <w:p>
      <w:pPr>
        <w:rPr>
          <w:rFonts w:hint="eastAsia" w:eastAsiaTheme="minorEastAsia"/>
          <w:lang w:eastAsia="zh-CN"/>
        </w:r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8960" behindDoc="0" locked="0" layoutInCell="1" allowOverlap="1">
            <wp:simplePos x="0" y="0"/>
            <wp:positionH relativeFrom="column">
              <wp:posOffset>-770890</wp:posOffset>
            </wp:positionH>
            <wp:positionV relativeFrom="paragraph">
              <wp:posOffset>-591820</wp:posOffset>
            </wp:positionV>
            <wp:extent cx="7336155" cy="9521825"/>
            <wp:effectExtent l="0" t="0" r="17145" b="3175"/>
            <wp:wrapSquare wrapText="bothSides"/>
            <wp:docPr id="40" name="图片 40" descr="建设项目环境影响报告表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建设项目环境影响报告表_页面_3"/>
                    <pic:cNvPicPr>
                      <a:picLocks noChangeAspect="1"/>
                    </pic:cNvPicPr>
                  </pic:nvPicPr>
                  <pic:blipFill>
                    <a:blip r:embed="rId12"/>
                    <a:srcRect/>
                    <a:stretch>
                      <a:fillRect/>
                    </a:stretch>
                  </pic:blipFill>
                  <pic:spPr>
                    <a:xfrm>
                      <a:off x="0" y="0"/>
                      <a:ext cx="7336155" cy="9521825"/>
                    </a:xfrm>
                    <a:prstGeom prst="rect">
                      <a:avLst/>
                    </a:prstGeom>
                  </pic:spPr>
                </pic:pic>
              </a:graphicData>
            </a:graphic>
          </wp:anchor>
        </w:drawing>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headerReference r:id="rId5" w:type="default"/>
          <w:footerReference r:id="rId6" w:type="default"/>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3840" behindDoc="0" locked="0" layoutInCell="1" allowOverlap="1">
            <wp:simplePos x="0" y="0"/>
            <wp:positionH relativeFrom="column">
              <wp:posOffset>-914400</wp:posOffset>
            </wp:positionH>
            <wp:positionV relativeFrom="paragraph">
              <wp:posOffset>-1138555</wp:posOffset>
            </wp:positionV>
            <wp:extent cx="7521575" cy="10330180"/>
            <wp:effectExtent l="0" t="0" r="3175" b="13970"/>
            <wp:wrapSquare wrapText="bothSides"/>
            <wp:docPr id="35" name="图片 35" descr="盛宏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盛宏0003"/>
                    <pic:cNvPicPr>
                      <a:picLocks noChangeAspect="1"/>
                    </pic:cNvPicPr>
                  </pic:nvPicPr>
                  <pic:blipFill>
                    <a:blip r:embed="rId13"/>
                    <a:stretch>
                      <a:fillRect/>
                    </a:stretch>
                  </pic:blipFill>
                  <pic:spPr>
                    <a:xfrm>
                      <a:off x="0" y="0"/>
                      <a:ext cx="7521575" cy="10330180"/>
                    </a:xfrm>
                    <a:prstGeom prst="rect">
                      <a:avLst/>
                    </a:prstGeom>
                  </pic:spPr>
                </pic:pic>
              </a:graphicData>
            </a:graphic>
          </wp:anchor>
        </w:drawing>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4864" behindDoc="0" locked="0" layoutInCell="1" allowOverlap="1">
            <wp:simplePos x="0" y="0"/>
            <wp:positionH relativeFrom="column">
              <wp:posOffset>-887730</wp:posOffset>
            </wp:positionH>
            <wp:positionV relativeFrom="paragraph">
              <wp:posOffset>-1138555</wp:posOffset>
            </wp:positionV>
            <wp:extent cx="7521575" cy="10330180"/>
            <wp:effectExtent l="0" t="0" r="3175" b="13970"/>
            <wp:wrapSquare wrapText="bothSides"/>
            <wp:docPr id="36" name="图片 36" descr="盛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盛宏0004"/>
                    <pic:cNvPicPr>
                      <a:picLocks noChangeAspect="1"/>
                    </pic:cNvPicPr>
                  </pic:nvPicPr>
                  <pic:blipFill>
                    <a:blip r:embed="rId14"/>
                    <a:stretch>
                      <a:fillRect/>
                    </a:stretch>
                  </pic:blipFill>
                  <pic:spPr>
                    <a:xfrm>
                      <a:off x="0" y="0"/>
                      <a:ext cx="7521575" cy="10330180"/>
                    </a:xfrm>
                    <a:prstGeom prst="rect">
                      <a:avLst/>
                    </a:prstGeom>
                  </pic:spPr>
                </pic:pic>
              </a:graphicData>
            </a:graphic>
          </wp:anchor>
        </w:drawing>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eastAsia" w:ascii="Times New Roman" w:hAnsi="Times New Roman" w:eastAsia="黑体" w:cs="Times New Roman"/>
          <w:snapToGrid w:val="0"/>
          <w:color w:val="auto"/>
          <w:sz w:val="30"/>
          <w:szCs w:val="30"/>
          <w:highlight w:val="none"/>
          <w:lang w:eastAsia="zh-CN"/>
        </w:rPr>
        <w:sectPr>
          <w:pgSz w:w="11906" w:h="16838"/>
          <w:pgMar w:top="1803" w:right="1440" w:bottom="1803" w:left="1440"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5888" behindDoc="0" locked="0" layoutInCell="1" allowOverlap="1">
            <wp:simplePos x="0" y="0"/>
            <wp:positionH relativeFrom="column">
              <wp:posOffset>-905510</wp:posOffset>
            </wp:positionH>
            <wp:positionV relativeFrom="paragraph">
              <wp:posOffset>-1143000</wp:posOffset>
            </wp:positionV>
            <wp:extent cx="7496175" cy="10328275"/>
            <wp:effectExtent l="0" t="0" r="9525" b="15875"/>
            <wp:wrapSquare wrapText="bothSides"/>
            <wp:docPr id="37" name="图片 37" descr="盛宏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盛宏0005"/>
                    <pic:cNvPicPr>
                      <a:picLocks noChangeAspect="1"/>
                    </pic:cNvPicPr>
                  </pic:nvPicPr>
                  <pic:blipFill>
                    <a:blip r:embed="rId15"/>
                    <a:stretch>
                      <a:fillRect/>
                    </a:stretch>
                  </pic:blipFill>
                  <pic:spPr>
                    <a:xfrm>
                      <a:off x="0" y="0"/>
                      <a:ext cx="7496175" cy="10328275"/>
                    </a:xfrm>
                    <a:prstGeom prst="rect">
                      <a:avLst/>
                    </a:prstGeom>
                  </pic:spPr>
                </pic:pic>
              </a:graphicData>
            </a:graphic>
          </wp:anchor>
        </w:drawing>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2"/>
        <w:tblW w:w="49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29"/>
        <w:gridCol w:w="2118"/>
        <w:gridCol w:w="2185"/>
        <w:gridCol w:w="26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387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年产100吨塑料制品及其他塑料零件项目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项目代码</w:t>
            </w:r>
          </w:p>
        </w:tc>
        <w:tc>
          <w:tcPr>
            <w:tcW w:w="387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建设单位联系人</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xxx</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联系方式</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xxx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387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新乡市凤泉区陈堡工业区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387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u w:val="single"/>
              </w:rPr>
              <w:t>113</w:t>
            </w:r>
            <w:r>
              <w:rPr>
                <w:rFonts w:hint="default" w:ascii="Times New Roman" w:hAnsi="Times New Roman" w:cs="Times New Roman"/>
                <w:color w:val="auto"/>
                <w:sz w:val="21"/>
                <w:szCs w:val="21"/>
                <w:highlight w:val="none"/>
                <w:lang w:eastAsia="zh-CN"/>
              </w:rPr>
              <w:t>度</w:t>
            </w:r>
            <w:r>
              <w:rPr>
                <w:rFonts w:hint="default" w:ascii="Times New Roman" w:hAnsi="Times New Roman" w:cs="Times New Roman"/>
                <w:color w:val="auto"/>
                <w:sz w:val="21"/>
                <w:szCs w:val="21"/>
                <w:highlight w:val="none"/>
                <w:u w:val="single"/>
                <w:lang w:val="en-US" w:eastAsia="zh-CN"/>
              </w:rPr>
              <w:t>51</w:t>
            </w:r>
            <w:r>
              <w:rPr>
                <w:rFonts w:hint="default" w:ascii="Times New Roman" w:hAnsi="Times New Roman" w:cs="Times New Roman"/>
                <w:color w:val="auto"/>
                <w:sz w:val="21"/>
                <w:szCs w:val="21"/>
                <w:highlight w:val="none"/>
                <w:lang w:eastAsia="zh-CN"/>
              </w:rPr>
              <w:t>分</w:t>
            </w:r>
            <w:r>
              <w:rPr>
                <w:rFonts w:hint="default" w:ascii="Times New Roman" w:hAnsi="Times New Roman" w:cs="Times New Roman"/>
                <w:color w:val="auto"/>
                <w:sz w:val="21"/>
                <w:szCs w:val="21"/>
                <w:highlight w:val="none"/>
                <w:u w:val="single"/>
                <w:lang w:val="en-US" w:eastAsia="zh-CN"/>
              </w:rPr>
              <w:t>17.497</w:t>
            </w:r>
            <w:r>
              <w:rPr>
                <w:rFonts w:hint="default" w:ascii="Times New Roman" w:hAnsi="Times New Roman" w:cs="Times New Roman"/>
                <w:color w:val="auto"/>
                <w:sz w:val="21"/>
                <w:szCs w:val="21"/>
                <w:highlight w:val="none"/>
                <w:lang w:eastAsia="zh-CN"/>
              </w:rPr>
              <w:t>秒，</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color w:val="auto"/>
                <w:sz w:val="21"/>
                <w:szCs w:val="21"/>
                <w:highlight w:val="none"/>
                <w:u w:val="single"/>
              </w:rPr>
              <w:t>35</w:t>
            </w:r>
            <w:r>
              <w:rPr>
                <w:rFonts w:hint="default" w:ascii="Times New Roman" w:hAnsi="Times New Roman" w:cs="Times New Roman"/>
                <w:color w:val="auto"/>
                <w:sz w:val="21"/>
                <w:szCs w:val="21"/>
                <w:highlight w:val="none"/>
                <w:lang w:eastAsia="zh-CN"/>
              </w:rPr>
              <w:t>度</w:t>
            </w:r>
            <w:r>
              <w:rPr>
                <w:rFonts w:hint="default" w:ascii="Times New Roman" w:hAnsi="Times New Roman" w:cs="Times New Roman"/>
                <w:color w:val="auto"/>
                <w:sz w:val="21"/>
                <w:szCs w:val="21"/>
                <w:highlight w:val="none"/>
                <w:u w:val="single"/>
                <w:lang w:val="en-US" w:eastAsia="zh-CN"/>
              </w:rPr>
              <w:t>22</w:t>
            </w:r>
            <w:r>
              <w:rPr>
                <w:rFonts w:hint="default" w:ascii="Times New Roman" w:hAnsi="Times New Roman" w:cs="Times New Roman"/>
                <w:color w:val="auto"/>
                <w:sz w:val="21"/>
                <w:szCs w:val="21"/>
                <w:highlight w:val="none"/>
                <w:lang w:eastAsia="zh-CN"/>
              </w:rPr>
              <w:t>分</w:t>
            </w:r>
            <w:r>
              <w:rPr>
                <w:rFonts w:hint="default" w:ascii="Times New Roman" w:hAnsi="Times New Roman" w:cs="Times New Roman"/>
                <w:color w:val="auto"/>
                <w:sz w:val="21"/>
                <w:szCs w:val="21"/>
                <w:highlight w:val="none"/>
                <w:u w:val="single"/>
                <w:lang w:val="en-US" w:eastAsia="zh-CN"/>
              </w:rPr>
              <w:t>7.251</w:t>
            </w:r>
            <w:r>
              <w:rPr>
                <w:rFonts w:hint="default" w:ascii="Times New Roman" w:hAnsi="Times New Roman" w:cs="Times New Roman"/>
                <w:color w:val="auto"/>
                <w:sz w:val="21"/>
                <w:szCs w:val="21"/>
                <w:highlight w:val="none"/>
                <w:lang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国民经济</w:t>
            </w:r>
          </w:p>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C2929塑料零件及其他塑料制品制造、</w:t>
            </w:r>
            <w:r>
              <w:rPr>
                <w:rFonts w:hint="default" w:ascii="Times New Roman" w:hAnsi="Times New Roman" w:eastAsia="宋体" w:cs="Times New Roman"/>
                <w:color w:val="auto"/>
                <w:sz w:val="21"/>
                <w:szCs w:val="21"/>
                <w:highlight w:val="none"/>
                <w:lang w:val="en-US" w:eastAsia="zh-CN"/>
              </w:rPr>
              <w:t>C2927日用塑料制品制造</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bookmarkStart w:id="0" w:name="_Hlk49843745"/>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bookmarkEnd w:id="0"/>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二十六、橡胶和塑料制品业29-53塑料制品业292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建设性质</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新建（迁建）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改建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sym w:font="Wingdings 2" w:char="00A3"/>
            </w:r>
            <w:r>
              <w:rPr>
                <w:rFonts w:hint="default" w:ascii="Times New Roman" w:hAnsi="Times New Roman" w:cs="Times New Roman"/>
                <w:color w:val="auto"/>
                <w:sz w:val="21"/>
                <w:szCs w:val="21"/>
                <w:highlight w:val="none"/>
              </w:rPr>
              <w:t>扩建</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技术改造</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申报情形</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首次申报项目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不予批准后再次申报项目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超五年重新审核项目</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项目备案部门</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新乡市凤泉区发展和改革委员会</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项目备案文号</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2308-410704-04-01-264460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总投资（万元）</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c>
          <w:tcPr>
            <w:tcW w:w="1211"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环保投资（万元）</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环保投资占比（%）</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211"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施工工期</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12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是否开工建设</w:t>
            </w:r>
          </w:p>
        </w:tc>
        <w:tc>
          <w:tcPr>
            <w:tcW w:w="1174"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否</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是：</w:t>
            </w:r>
          </w:p>
        </w:tc>
        <w:tc>
          <w:tcPr>
            <w:tcW w:w="1211"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用地（用海）</w:t>
            </w:r>
          </w:p>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面积（m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rPr>
              <w:t>）</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专项评价设置情况</w:t>
            </w:r>
          </w:p>
        </w:tc>
        <w:tc>
          <w:tcPr>
            <w:tcW w:w="3875"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400" w:lineRule="exact"/>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规划情况</w:t>
            </w:r>
          </w:p>
        </w:tc>
        <w:tc>
          <w:tcPr>
            <w:tcW w:w="3875"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i w:val="0"/>
                <w:iCs w:val="0"/>
                <w:caps w:val="0"/>
                <w:color w:val="auto"/>
                <w:spacing w:val="0"/>
                <w:sz w:val="21"/>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lang w:eastAsia="zh-CN"/>
              </w:rPr>
              <w:t>1、规划名称：《新乡市新能源电池专业园区发展规划（2022-2035年）</w:t>
            </w:r>
            <w:r>
              <w:rPr>
                <w:rFonts w:hint="default" w:ascii="Times New Roman" w:hAnsi="Times New Roman" w:cs="Times New Roman"/>
                <w:i w:val="0"/>
                <w:iCs w:val="0"/>
                <w:caps w:val="0"/>
                <w:color w:val="auto"/>
                <w:spacing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i w:val="0"/>
                <w:iCs w:val="0"/>
                <w:caps w:val="0"/>
                <w:color w:val="auto"/>
                <w:spacing w:val="0"/>
                <w:sz w:val="21"/>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lang w:eastAsia="zh-CN"/>
              </w:rPr>
              <w:t>2、审批机关：新乡市</w:t>
            </w:r>
            <w:r>
              <w:rPr>
                <w:rFonts w:hint="default" w:ascii="Times New Roman" w:hAnsi="Times New Roman" w:cs="Times New Roman"/>
                <w:i w:val="0"/>
                <w:iCs w:val="0"/>
                <w:caps w:val="0"/>
                <w:color w:val="auto"/>
                <w:spacing w:val="0"/>
                <w:sz w:val="21"/>
                <w:szCs w:val="21"/>
                <w:highlight w:val="none"/>
                <w:lang w:eastAsia="zh-CN"/>
              </w:rPr>
              <w:t>凤泉区</w:t>
            </w:r>
            <w:r>
              <w:rPr>
                <w:rFonts w:hint="default" w:ascii="Times New Roman" w:hAnsi="Times New Roman" w:eastAsia="宋体" w:cs="Times New Roman"/>
                <w:i w:val="0"/>
                <w:iCs w:val="0"/>
                <w:caps w:val="0"/>
                <w:color w:val="auto"/>
                <w:spacing w:val="0"/>
                <w:sz w:val="21"/>
                <w:szCs w:val="21"/>
                <w:highlight w:val="none"/>
                <w:lang w:eastAsia="zh-CN"/>
              </w:rPr>
              <w:t>人民政府</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i w:val="0"/>
                <w:iCs w:val="0"/>
                <w:caps w:val="0"/>
                <w:color w:val="auto"/>
                <w:spacing w:val="0"/>
                <w:sz w:val="21"/>
                <w:szCs w:val="21"/>
                <w:highlight w:val="none"/>
                <w:lang w:eastAsia="zh-CN"/>
              </w:rPr>
              <w:t>3、审批文件及文号：</w:t>
            </w:r>
            <w:r>
              <w:rPr>
                <w:rFonts w:hint="default" w:ascii="Times New Roman" w:hAnsi="Times New Roman" w:cs="Times New Roman"/>
                <w:i w:val="0"/>
                <w:iCs w:val="0"/>
                <w:caps w:val="0"/>
                <w:color w:val="auto"/>
                <w:spacing w:val="0"/>
                <w:sz w:val="21"/>
                <w:szCs w:val="21"/>
                <w:highlight w:val="none"/>
                <w:lang w:eastAsia="zh-CN"/>
              </w:rPr>
              <w:t>《新乡市新能源电池专业园区发展规划（2022-2035年的通知》，新规环审查[2022]77号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6" w:hRule="atLeast"/>
          <w:jc w:val="center"/>
        </w:trPr>
        <w:tc>
          <w:tcPr>
            <w:tcW w:w="1124" w:type="pct"/>
            <w:noWrap w:val="0"/>
            <w:vAlign w:val="center"/>
          </w:tcPr>
          <w:p>
            <w:pPr>
              <w:keepNext w:val="0"/>
              <w:keepLines w:val="0"/>
              <w:pageBreakBefore w:val="0"/>
              <w:widowControl w:val="0"/>
              <w:kinsoku/>
              <w:wordWrap/>
              <w:overflowPunct/>
              <w:topLinePunct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规划环境影响</w:t>
            </w:r>
          </w:p>
          <w:p>
            <w:pPr>
              <w:keepNext w:val="0"/>
              <w:keepLines w:val="0"/>
              <w:pageBreakBefore w:val="0"/>
              <w:widowControl w:val="0"/>
              <w:kinsoku/>
              <w:wordWrap/>
              <w:overflowPunct/>
              <w:topLinePunct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评价情况</w:t>
            </w:r>
          </w:p>
        </w:tc>
        <w:tc>
          <w:tcPr>
            <w:tcW w:w="3875" w:type="pct"/>
            <w:gridSpan w:val="3"/>
            <w:noWrap w:val="0"/>
            <w:vAlign w:val="center"/>
          </w:tcPr>
          <w:p>
            <w:pPr>
              <w:keepNext w:val="0"/>
              <w:keepLines w:val="0"/>
              <w:pageBreakBefore w:val="0"/>
              <w:widowControl w:val="0"/>
              <w:kinsoku/>
              <w:wordWrap w:val="0"/>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1、规划环境影响评价文件：《新乡市新能源电池专业园区发展规划（2022-2035年）环境影响报告书》</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2、召集审查机关：新乡市</w:t>
            </w:r>
            <w:r>
              <w:rPr>
                <w:rFonts w:hint="default" w:ascii="Times New Roman" w:hAnsi="Times New Roman" w:cs="Times New Roman"/>
                <w:color w:val="auto"/>
                <w:kern w:val="0"/>
                <w:sz w:val="21"/>
                <w:szCs w:val="21"/>
                <w:highlight w:val="none"/>
                <w:lang w:eastAsia="zh-CN"/>
              </w:rPr>
              <w:t>环境保护</w:t>
            </w:r>
            <w:r>
              <w:rPr>
                <w:rFonts w:hint="default" w:ascii="Times New Roman" w:hAnsi="Times New Roman" w:eastAsia="宋体" w:cs="Times New Roman"/>
                <w:color w:val="auto"/>
                <w:kern w:val="0"/>
                <w:sz w:val="21"/>
                <w:szCs w:val="21"/>
                <w:highlight w:val="none"/>
                <w:lang w:eastAsia="zh-CN"/>
              </w:rPr>
              <w:t>局</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eastAsia="zh-CN"/>
              </w:rPr>
              <w:t>审查文件名称及文号：《新乡市</w:t>
            </w:r>
            <w:r>
              <w:rPr>
                <w:rFonts w:hint="default" w:ascii="Times New Roman" w:hAnsi="Times New Roman" w:cs="Times New Roman"/>
                <w:color w:val="auto"/>
                <w:kern w:val="0"/>
                <w:sz w:val="21"/>
                <w:szCs w:val="21"/>
                <w:highlight w:val="none"/>
                <w:lang w:eastAsia="zh-CN"/>
              </w:rPr>
              <w:t>生态</w:t>
            </w:r>
            <w:r>
              <w:rPr>
                <w:rFonts w:hint="default" w:ascii="Times New Roman" w:hAnsi="Times New Roman" w:eastAsia="宋体" w:cs="Times New Roman"/>
                <w:color w:val="auto"/>
                <w:kern w:val="0"/>
                <w:sz w:val="21"/>
                <w:szCs w:val="21"/>
                <w:highlight w:val="none"/>
                <w:lang w:eastAsia="zh-CN"/>
              </w:rPr>
              <w:t>环境局关于</w:t>
            </w:r>
            <w:r>
              <w:rPr>
                <w:rFonts w:hint="default" w:ascii="Times New Roman" w:hAnsi="Times New Roman" w:cs="Times New Roman"/>
                <w:color w:val="auto"/>
                <w:kern w:val="0"/>
                <w:sz w:val="21"/>
                <w:szCs w:val="21"/>
                <w:highlight w:val="none"/>
                <w:lang w:eastAsia="zh-CN"/>
              </w:rPr>
              <w:t>新乡市新能源电池专业园区</w:t>
            </w:r>
            <w:r>
              <w:rPr>
                <w:rFonts w:hint="default" w:ascii="Times New Roman" w:hAnsi="Times New Roman" w:eastAsia="宋体" w:cs="Times New Roman"/>
                <w:color w:val="auto"/>
                <w:kern w:val="0"/>
                <w:sz w:val="21"/>
                <w:szCs w:val="21"/>
                <w:highlight w:val="none"/>
                <w:lang w:eastAsia="zh-CN"/>
              </w:rPr>
              <w:t>发展规划（20</w:t>
            </w:r>
            <w:r>
              <w:rPr>
                <w:rFonts w:hint="default" w:ascii="Times New Roman" w:hAnsi="Times New Roman" w:cs="Times New Roman"/>
                <w:color w:val="auto"/>
                <w:kern w:val="0"/>
                <w:sz w:val="21"/>
                <w:szCs w:val="21"/>
                <w:highlight w:val="none"/>
                <w:lang w:val="en-US" w:eastAsia="zh-CN"/>
              </w:rPr>
              <w:t>22</w:t>
            </w:r>
            <w:r>
              <w:rPr>
                <w:rFonts w:hint="default" w:ascii="Times New Roman" w:hAnsi="Times New Roman" w:eastAsia="宋体" w:cs="Times New Roman"/>
                <w:color w:val="auto"/>
                <w:kern w:val="0"/>
                <w:sz w:val="21"/>
                <w:szCs w:val="21"/>
                <w:highlight w:val="none"/>
                <w:lang w:eastAsia="zh-CN"/>
              </w:rPr>
              <w:t>-20</w:t>
            </w:r>
            <w:r>
              <w:rPr>
                <w:rFonts w:hint="default" w:ascii="Times New Roman" w:hAnsi="Times New Roman" w:cs="Times New Roman"/>
                <w:color w:val="auto"/>
                <w:kern w:val="0"/>
                <w:sz w:val="21"/>
                <w:szCs w:val="21"/>
                <w:highlight w:val="none"/>
                <w:lang w:val="en-US" w:eastAsia="zh-CN"/>
              </w:rPr>
              <w:t>35</w:t>
            </w:r>
            <w:r>
              <w:rPr>
                <w:rFonts w:hint="default" w:ascii="Times New Roman" w:hAnsi="Times New Roman" w:eastAsia="宋体" w:cs="Times New Roman"/>
                <w:color w:val="auto"/>
                <w:kern w:val="0"/>
                <w:sz w:val="21"/>
                <w:szCs w:val="21"/>
                <w:highlight w:val="none"/>
                <w:lang w:eastAsia="zh-CN"/>
              </w:rPr>
              <w:t>）环境影响报告书的审查意见》，新</w:t>
            </w:r>
            <w:r>
              <w:rPr>
                <w:rFonts w:hint="default" w:ascii="Times New Roman" w:hAnsi="Times New Roman" w:cs="Times New Roman"/>
                <w:color w:val="auto"/>
                <w:kern w:val="0"/>
                <w:sz w:val="21"/>
                <w:szCs w:val="21"/>
                <w:highlight w:val="none"/>
                <w:lang w:eastAsia="zh-CN"/>
              </w:rPr>
              <w:t>规环审查</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2023</w:t>
            </w:r>
            <w:r>
              <w:rPr>
                <w:rFonts w:hint="default" w:ascii="Times New Roman" w:hAnsi="Times New Roman" w:eastAsia="宋体" w:cs="Times New Roman"/>
                <w:color w:val="auto"/>
                <w:kern w:val="0"/>
                <w:sz w:val="21"/>
                <w:szCs w:val="21"/>
                <w:highlight w:val="none"/>
                <w:lang w:eastAsia="zh-CN"/>
              </w:rPr>
              <w:t>]1号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387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color w:val="auto"/>
                <w:spacing w:val="9"/>
                <w:sz w:val="21"/>
                <w:szCs w:val="21"/>
                <w:highlight w:val="none"/>
              </w:rPr>
            </w:pP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新乡市新能源电池专业园区简况</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2022年8月，</w:t>
            </w:r>
            <w:r>
              <w:rPr>
                <w:rFonts w:hint="default" w:ascii="Times New Roman" w:hAnsi="Times New Roman" w:cs="Times New Roman"/>
                <w:color w:val="auto"/>
                <w:kern w:val="0"/>
                <w:sz w:val="21"/>
                <w:szCs w:val="21"/>
                <w:highlight w:val="none"/>
                <w:lang w:eastAsia="zh-CN"/>
              </w:rPr>
              <w:t>新乡市新能源电池专业园区</w:t>
            </w:r>
            <w:r>
              <w:rPr>
                <w:rFonts w:hint="default" w:ascii="Times New Roman" w:hAnsi="Times New Roman" w:cs="Times New Roman"/>
                <w:color w:val="auto"/>
                <w:kern w:val="0"/>
                <w:sz w:val="21"/>
                <w:szCs w:val="21"/>
                <w:highlight w:val="none"/>
              </w:rPr>
              <w:t>经新乡市批准更名为新乡市新能源电池专业园区，是经新乡市人民政府批准的先进制造业专业园区，也是全市唯一一家新能源电池专业园区。新乡市凤泉区人民政府下发了《关于编制新乡市新能源电池专业园区发展规划（2022-2035年）的通知》（凤政[2022]77号），通知决定将凤泉区内现有的新乡市新能源电池专业园区和凤泉区产业集聚区统一调整为新乡市新能源电池专业园区，即将动力电池园区的东、西片区与凤泉产业集聚区的卫北片区共同组成新乡市新能源电池专业园区。</w:t>
            </w:r>
            <w:r>
              <w:rPr>
                <w:rFonts w:hint="eastAsia" w:cs="Times New Roman"/>
                <w:color w:val="auto"/>
                <w:kern w:val="0"/>
                <w:sz w:val="21"/>
                <w:szCs w:val="21"/>
                <w:highlight w:val="none"/>
                <w:lang w:eastAsia="zh-CN"/>
              </w:rPr>
              <w:t>园区《新乡市新能源电池专业园区发展规划（2022-2035年）环境影响报告书》由新乡市生态环境局于</w:t>
            </w:r>
            <w:r>
              <w:rPr>
                <w:rFonts w:hint="eastAsia" w:cs="Times New Roman"/>
                <w:color w:val="auto"/>
                <w:kern w:val="0"/>
                <w:sz w:val="21"/>
                <w:szCs w:val="21"/>
                <w:highlight w:val="none"/>
                <w:lang w:val="en-US" w:eastAsia="zh-CN"/>
              </w:rPr>
              <w:t>2022年11月16日组织召开了审查会</w:t>
            </w:r>
            <w:r>
              <w:rPr>
                <w:rFonts w:hint="eastAsia" w:cs="Times New Roman"/>
                <w:color w:val="auto"/>
                <w:kern w:val="0"/>
                <w:sz w:val="21"/>
                <w:szCs w:val="21"/>
                <w:highlight w:val="none"/>
                <w:lang w:eastAsia="zh-CN"/>
              </w:rPr>
              <w:t>，并于</w:t>
            </w:r>
            <w:r>
              <w:rPr>
                <w:rFonts w:hint="eastAsia" w:cs="Times New Roman"/>
                <w:color w:val="auto"/>
                <w:kern w:val="0"/>
                <w:sz w:val="21"/>
                <w:szCs w:val="21"/>
                <w:highlight w:val="none"/>
                <w:lang w:val="en-US" w:eastAsia="zh-CN"/>
              </w:rPr>
              <w:t>2023年2月10日通过新乡市生态环境局审批，审批文号为：新规环审查[2023]1号</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结合规划及规划环评对规划内容介绍如下：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1.1</w:t>
            </w:r>
            <w:r>
              <w:rPr>
                <w:rFonts w:hint="default" w:ascii="Times New Roman" w:hAnsi="Times New Roman" w:cs="Times New Roman"/>
                <w:b/>
                <w:bCs/>
                <w:color w:val="auto"/>
                <w:kern w:val="0"/>
                <w:sz w:val="21"/>
                <w:szCs w:val="21"/>
                <w:highlight w:val="none"/>
              </w:rPr>
              <w:t>规划范围</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新乡市新能源电池专业园区分东、西、北三个片区，规划面积为806.68 公顷。</w:t>
            </w:r>
            <w:r>
              <w:rPr>
                <w:rFonts w:hint="default" w:ascii="Times New Roman" w:hAnsi="Times New Roman" w:cs="Times New Roman"/>
                <w:color w:val="auto"/>
                <w:kern w:val="0"/>
                <w:sz w:val="21"/>
                <w:szCs w:val="21"/>
                <w:highlight w:val="none"/>
                <w:lang w:eastAsia="zh-CN"/>
              </w:rPr>
              <w:t>本项目</w:t>
            </w:r>
            <w:r>
              <w:rPr>
                <w:rFonts w:hint="default" w:ascii="Times New Roman" w:hAnsi="Times New Roman" w:cs="Times New Roman"/>
                <w:color w:val="auto"/>
                <w:kern w:val="0"/>
                <w:sz w:val="21"/>
                <w:szCs w:val="21"/>
                <w:highlight w:val="none"/>
              </w:rPr>
              <w:t>选址位于新乡市新能源电池专业园区西片区</w:t>
            </w:r>
            <w:r>
              <w:rPr>
                <w:rFonts w:hint="default" w:ascii="Times New Roman" w:hAnsi="Times New Roman" w:cs="Times New Roman"/>
                <w:color w:val="auto"/>
                <w:kern w:val="0"/>
                <w:sz w:val="21"/>
                <w:szCs w:val="21"/>
                <w:highlight w:val="none"/>
                <w:lang w:eastAsia="zh-CN"/>
              </w:rPr>
              <w:t>，西片区规划范围如下：</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西片区位于凤泉区大块镇，规划面积318.24公顷，规划范围：北至块陈路南200米高压走廊南侧、中心路，西至经一路西220米，南至凤泉区界，东至经三路和经六路防护绿地西侧。</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both"/>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1.2</w:t>
            </w:r>
            <w:r>
              <w:rPr>
                <w:rFonts w:hint="default" w:ascii="Times New Roman" w:hAnsi="Times New Roman" w:cs="Times New Roman"/>
                <w:b/>
                <w:bCs/>
                <w:color w:val="auto"/>
                <w:kern w:val="0"/>
                <w:sz w:val="21"/>
                <w:szCs w:val="21"/>
                <w:highlight w:val="none"/>
                <w:lang w:eastAsia="zh-CN"/>
              </w:rPr>
              <w:t>主导产业</w:t>
            </w:r>
          </w:p>
          <w:p>
            <w:pP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主导产业：新能源电池。</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1.3</w:t>
            </w:r>
            <w:r>
              <w:rPr>
                <w:rFonts w:hint="default" w:ascii="Times New Roman" w:hAnsi="Times New Roman" w:cs="Times New Roman"/>
                <w:b/>
                <w:bCs/>
                <w:color w:val="auto"/>
                <w:kern w:val="0"/>
                <w:sz w:val="21"/>
                <w:szCs w:val="21"/>
                <w:highlight w:val="none"/>
              </w:rPr>
              <w:t>发展定位</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发挥新乡市和凤泉区的区位交通和产业基础优势，加强与新乡国家经开区、新乡国家高新区、以及其他专业园区的协作，围绕专业园区新能源电池主导产业，通过完善上下游产业链、创新链和供应链，着力打造中西部新能源电池研发生产基地、河南省重要的新能源装备制造基地。</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西部新能源电池研发生产基地。抢抓我国新能源汽车发展重大机遇，发挥专业园区作为全市唯一的新能源电池专业园区优势，坚持创新驱动、项目和平台带动，完善产业链条，重点推进平煤神马集团同本土优质企业深度合作，充分发挥其在产业集聚中的带动辐射作用，吸引上下游企业集聚发展，强化科研支撑，打造百亿级新能源电池产业集群，建成中西部新能源电池研发生产基地。</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河南省重要的新能源装备制造基地。突出发展壮大电动工具、新能源专用车辆、电动车、智能装备等新能源装备制造产业，进一步延伸产业链条，集聚铜箔、铜板带、汽车配件等新能源装备配套加工和服务链条，加快形成新能源装备产业集群，建设成为河南省重要的新能源装备制造基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jc w:val="both"/>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1.4</w:t>
            </w:r>
            <w:r>
              <w:rPr>
                <w:rFonts w:hint="default" w:ascii="Times New Roman" w:hAnsi="Times New Roman" w:cs="Times New Roman"/>
                <w:b/>
                <w:bCs/>
                <w:color w:val="auto"/>
                <w:kern w:val="0"/>
                <w:sz w:val="21"/>
                <w:szCs w:val="21"/>
                <w:highlight w:val="none"/>
                <w:lang w:eastAsia="zh-CN"/>
              </w:rPr>
              <w:t>功能分区</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根据园区发展现状、产业布局以及构建完善产业链和配套服务需要，从功能分区上规划为“一心一园四区”，即科创服务中心、表面处理产业园、新能源电池产业区、新能源电池及配套产业区、高端装备制造产业区、生活配套服务区。</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项目选址位于新乡市新能源电池专业园区西片区，</w:t>
            </w:r>
            <w:r>
              <w:rPr>
                <w:rFonts w:hint="default" w:ascii="Times New Roman" w:hAnsi="Times New Roman" w:cs="Times New Roman"/>
                <w:color w:val="auto"/>
                <w:kern w:val="0"/>
                <w:sz w:val="21"/>
                <w:szCs w:val="21"/>
                <w:highlight w:val="none"/>
                <w:lang w:eastAsia="zh-CN"/>
              </w:rPr>
              <w:t>选址位于</w:t>
            </w:r>
            <w:r>
              <w:rPr>
                <w:rFonts w:hint="default" w:ascii="Times New Roman" w:hAnsi="Times New Roman" w:cs="Times New Roman"/>
                <w:color w:val="auto"/>
                <w:kern w:val="0"/>
                <w:sz w:val="21"/>
                <w:szCs w:val="21"/>
                <w:highlight w:val="none"/>
              </w:rPr>
              <w:t>新能源电池及配套产业片区</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详见附图</w:t>
            </w:r>
            <w:r>
              <w:rPr>
                <w:rFonts w:hint="default" w:ascii="Times New Roman" w:hAnsi="Times New Roman" w:cs="Times New Roman"/>
                <w:color w:val="auto"/>
                <w:kern w:val="0"/>
                <w:sz w:val="21"/>
                <w:szCs w:val="21"/>
                <w:highlight w:val="none"/>
                <w:lang w:eastAsia="zh-CN"/>
              </w:rPr>
              <w:t>四）</w:t>
            </w:r>
            <w:r>
              <w:rPr>
                <w:rFonts w:hint="default" w:ascii="Times New Roman" w:hAnsi="Times New Roman" w:cs="Times New Roman"/>
                <w:color w:val="auto"/>
                <w:kern w:val="0"/>
                <w:sz w:val="21"/>
                <w:szCs w:val="21"/>
                <w:highlight w:val="none"/>
              </w:rPr>
              <w:t>，项目属于</w:t>
            </w:r>
            <w:r>
              <w:rPr>
                <w:rFonts w:hint="default" w:ascii="Times New Roman" w:hAnsi="Times New Roman" w:cs="Times New Roman"/>
                <w:color w:val="auto"/>
                <w:kern w:val="0"/>
                <w:sz w:val="21"/>
                <w:szCs w:val="21"/>
                <w:highlight w:val="none"/>
                <w:lang w:eastAsia="zh-CN"/>
              </w:rPr>
              <w:t>塑料制品业</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根据新乡市凤泉区产业集聚区管理委员会出具的证明，项目选址符合集聚区总体规划、产业发展规划和土地利用规划要求</w:t>
            </w:r>
            <w:r>
              <w:rPr>
                <w:rFonts w:hint="default" w:ascii="Times New Roman" w:hAnsi="Times New Roman" w:cs="Times New Roman"/>
                <w:color w:val="auto"/>
                <w:kern w:val="0"/>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1.5</w:t>
            </w:r>
            <w:r>
              <w:rPr>
                <w:rFonts w:hint="default" w:ascii="Times New Roman" w:hAnsi="Times New Roman" w:cs="Times New Roman"/>
                <w:b/>
                <w:bCs/>
                <w:color w:val="auto"/>
                <w:kern w:val="0"/>
                <w:sz w:val="21"/>
                <w:szCs w:val="21"/>
                <w:highlight w:val="none"/>
              </w:rPr>
              <w:t>基础设施规划</w:t>
            </w:r>
          </w:p>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rPr>
              <w:t>本项目选址位于新乡市新能源电池专业园区西片区，</w:t>
            </w:r>
            <w:r>
              <w:rPr>
                <w:rFonts w:hint="default" w:ascii="Times New Roman" w:hAnsi="Times New Roman" w:cs="Times New Roman"/>
                <w:color w:val="auto"/>
                <w:lang w:eastAsia="zh-CN"/>
              </w:rPr>
              <w:t>西片区给排水规</w:t>
            </w:r>
            <w:r>
              <w:rPr>
                <w:rFonts w:hint="default" w:ascii="Times New Roman" w:hAnsi="Times New Roman" w:cs="Times New Roman"/>
                <w:color w:val="auto"/>
                <w:highlight w:val="none"/>
                <w:lang w:eastAsia="zh-CN"/>
              </w:rPr>
              <w:t>划情况如下：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1.5.1</w:t>
            </w:r>
            <w:r>
              <w:rPr>
                <w:rFonts w:hint="default" w:ascii="Times New Roman" w:hAnsi="Times New Roman" w:cs="Times New Roman"/>
                <w:b/>
                <w:bCs/>
                <w:color w:val="auto"/>
                <w:kern w:val="0"/>
                <w:sz w:val="21"/>
                <w:szCs w:val="21"/>
                <w:highlight w:val="none"/>
              </w:rPr>
              <w:t>给水工程规划</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给水现状：</w:t>
            </w:r>
            <w:r>
              <w:rPr>
                <w:rFonts w:hint="default" w:ascii="Times New Roman" w:hAnsi="Times New Roman" w:cs="Times New Roman"/>
                <w:color w:val="auto"/>
                <w:kern w:val="0"/>
                <w:sz w:val="21"/>
                <w:szCs w:val="21"/>
                <w:highlight w:val="none"/>
              </w:rPr>
              <w:t>目前，西片区无集中供水设施，区内企业仍采用自备井。</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规划供水水源及水厂规划</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规划西片区由拟扩建的大块镇区现有水厂供水，水源近期采用地下水，中远期采用南水北调水。</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西片区供水分区：长济高速以南的西部片区，由位于北庄路与镇东路交叉口西北角的大块镇区现状拟扩建水厂供水，沿北庄路敷设DN400供水管至西部片区后，沿经一路、中心路和纬四路敷设DN400的“U”形供水管网，其余道路敷设DN200～DN300的枝状管网。</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经调查，目前厂址区域暂未实现集中供水，企业</w:t>
            </w:r>
            <w:r>
              <w:rPr>
                <w:rFonts w:hint="eastAsia" w:cs="Times New Roman"/>
                <w:color w:val="auto"/>
                <w:kern w:val="0"/>
                <w:sz w:val="21"/>
                <w:szCs w:val="21"/>
                <w:highlight w:val="none"/>
                <w:lang w:eastAsia="zh-CN"/>
              </w:rPr>
              <w:t>用水目前由位于项目西南侧的新乡市新华造纸厂厂区内自备井提供</w:t>
            </w:r>
            <w:r>
              <w:rPr>
                <w:rFonts w:hint="default" w:ascii="Times New Roman" w:hAnsi="Times New Roman" w:cs="Times New Roman"/>
                <w:color w:val="auto"/>
                <w:kern w:val="0"/>
                <w:sz w:val="21"/>
                <w:szCs w:val="21"/>
                <w:highlight w:val="none"/>
              </w:rPr>
              <w:t>，评价要求待厂址区域实现</w:t>
            </w:r>
            <w:r>
              <w:rPr>
                <w:rFonts w:hint="default" w:ascii="Times New Roman" w:hAnsi="Times New Roman" w:cs="Times New Roman"/>
                <w:color w:val="auto"/>
                <w:kern w:val="0"/>
                <w:sz w:val="21"/>
                <w:szCs w:val="21"/>
                <w:highlight w:val="none"/>
                <w:lang w:eastAsia="zh-CN"/>
              </w:rPr>
              <w:t>规划的</w:t>
            </w:r>
            <w:r>
              <w:rPr>
                <w:rFonts w:hint="default" w:ascii="Times New Roman" w:hAnsi="Times New Roman" w:cs="Times New Roman"/>
                <w:color w:val="auto"/>
                <w:kern w:val="0"/>
                <w:sz w:val="21"/>
                <w:szCs w:val="21"/>
                <w:highlight w:val="none"/>
              </w:rPr>
              <w:t>集中供水后企业采用集中供水作为水源。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1.5.2</w:t>
            </w:r>
            <w:r>
              <w:rPr>
                <w:rFonts w:hint="default" w:ascii="Times New Roman" w:hAnsi="Times New Roman" w:cs="Times New Roman"/>
                <w:b/>
                <w:bCs/>
                <w:color w:val="auto"/>
                <w:kern w:val="0"/>
                <w:sz w:val="21"/>
                <w:szCs w:val="21"/>
                <w:highlight w:val="none"/>
              </w:rPr>
              <w:t>排水工程规划</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西片区污水分区：新辉公路以西的西片区污水，由大块镇污水处理厂进行收纳，服务面积约为2.77平方公里。</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西片区污水厂规划：</w:t>
            </w:r>
            <w:r>
              <w:rPr>
                <w:rFonts w:hint="default" w:ascii="Times New Roman" w:hAnsi="Times New Roman" w:cs="Times New Roman"/>
                <w:color w:val="auto"/>
                <w:kern w:val="0"/>
                <w:sz w:val="21"/>
                <w:szCs w:val="21"/>
                <w:highlight w:val="none"/>
              </w:rPr>
              <w:t>规划新辉公路以东的西片区污水由拟建的凤泉污水处理厂进行处理，新辉公路以西的西片区污水，由大块镇污水处理厂进行处理。</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项目选址位于新乡市凤泉区陈堡工业区</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西片区</w:t>
            </w:r>
            <w:r>
              <w:rPr>
                <w:rFonts w:hint="default" w:ascii="Times New Roman" w:hAnsi="Times New Roman" w:cs="Times New Roman"/>
                <w:color w:val="auto"/>
                <w:kern w:val="0"/>
                <w:sz w:val="21"/>
                <w:szCs w:val="21"/>
                <w:highlight w:val="none"/>
                <w:lang w:eastAsia="zh-CN"/>
              </w:rPr>
              <w:t>新辉公路以东）</w:t>
            </w:r>
            <w:r>
              <w:rPr>
                <w:rFonts w:hint="default" w:ascii="Times New Roman" w:hAnsi="Times New Roman" w:cs="Times New Roman"/>
                <w:color w:val="auto"/>
                <w:kern w:val="0"/>
                <w:sz w:val="21"/>
                <w:szCs w:val="21"/>
                <w:highlight w:val="none"/>
              </w:rPr>
              <w:t>，目前规划的</w:t>
            </w:r>
            <w:r>
              <w:rPr>
                <w:rFonts w:hint="default" w:ascii="Times New Roman" w:hAnsi="Times New Roman" w:cs="Times New Roman"/>
                <w:color w:val="auto"/>
                <w:kern w:val="0"/>
                <w:sz w:val="21"/>
                <w:szCs w:val="21"/>
                <w:highlight w:val="none"/>
                <w:lang w:eastAsia="zh-CN"/>
              </w:rPr>
              <w:t>凤泉</w:t>
            </w:r>
            <w:r>
              <w:rPr>
                <w:rFonts w:hint="default" w:ascii="Times New Roman" w:hAnsi="Times New Roman" w:cs="Times New Roman"/>
                <w:color w:val="auto"/>
                <w:kern w:val="0"/>
                <w:sz w:val="21"/>
                <w:szCs w:val="21"/>
                <w:highlight w:val="none"/>
              </w:rPr>
              <w:t>污水处理厂</w:t>
            </w:r>
            <w:r>
              <w:rPr>
                <w:rFonts w:hint="default" w:ascii="Times New Roman" w:hAnsi="Times New Roman" w:cs="Times New Roman"/>
                <w:color w:val="auto"/>
                <w:kern w:val="0"/>
                <w:sz w:val="21"/>
                <w:szCs w:val="21"/>
                <w:highlight w:val="none"/>
                <w:lang w:eastAsia="zh-CN"/>
              </w:rPr>
              <w:t>尚未建设完成</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且项目</w:t>
            </w:r>
            <w:r>
              <w:rPr>
                <w:rFonts w:hint="default" w:ascii="Times New Roman" w:hAnsi="Times New Roman" w:cs="Times New Roman"/>
                <w:color w:val="auto"/>
                <w:kern w:val="0"/>
                <w:sz w:val="21"/>
                <w:szCs w:val="21"/>
                <w:highlight w:val="none"/>
              </w:rPr>
              <w:t>厂址</w:t>
            </w:r>
            <w:r>
              <w:rPr>
                <w:rFonts w:hint="default" w:ascii="Times New Roman" w:hAnsi="Times New Roman" w:cs="Times New Roman"/>
                <w:color w:val="auto"/>
                <w:kern w:val="0"/>
                <w:sz w:val="21"/>
                <w:szCs w:val="21"/>
                <w:highlight w:val="none"/>
                <w:lang w:eastAsia="zh-CN"/>
              </w:rPr>
              <w:t>所在</w:t>
            </w:r>
            <w:r>
              <w:rPr>
                <w:rFonts w:hint="default" w:ascii="Times New Roman" w:hAnsi="Times New Roman" w:cs="Times New Roman"/>
                <w:color w:val="auto"/>
                <w:kern w:val="0"/>
                <w:sz w:val="21"/>
                <w:szCs w:val="21"/>
                <w:highlight w:val="none"/>
              </w:rPr>
              <w:t>区域污水管网</w:t>
            </w:r>
            <w:r>
              <w:rPr>
                <w:rFonts w:hint="default" w:ascii="Times New Roman" w:hAnsi="Times New Roman" w:cs="Times New Roman"/>
                <w:color w:val="auto"/>
                <w:kern w:val="0"/>
                <w:sz w:val="21"/>
                <w:szCs w:val="21"/>
                <w:highlight w:val="none"/>
                <w:lang w:eastAsia="zh-CN"/>
              </w:rPr>
              <w:t>尚</w:t>
            </w:r>
            <w:r>
              <w:rPr>
                <w:rFonts w:hint="default" w:ascii="Times New Roman" w:hAnsi="Times New Roman" w:cs="Times New Roman"/>
                <w:color w:val="auto"/>
                <w:kern w:val="0"/>
                <w:sz w:val="21"/>
                <w:szCs w:val="21"/>
                <w:highlight w:val="none"/>
              </w:rPr>
              <w:t>未铺设。评价要求项目生活污水近期经</w:t>
            </w:r>
            <w:r>
              <w:rPr>
                <w:rFonts w:hint="default" w:ascii="Times New Roman" w:hAnsi="Times New Roman" w:cs="Times New Roman"/>
                <w:color w:val="auto"/>
                <w:kern w:val="0"/>
                <w:sz w:val="21"/>
                <w:szCs w:val="21"/>
                <w:highlight w:val="none"/>
                <w:lang w:eastAsia="zh-CN"/>
              </w:rPr>
              <w:t>自建化粪池</w:t>
            </w:r>
            <w:r>
              <w:rPr>
                <w:rFonts w:hint="default" w:ascii="Times New Roman" w:hAnsi="Times New Roman" w:cs="Times New Roman"/>
                <w:color w:val="auto"/>
                <w:kern w:val="0"/>
                <w:sz w:val="21"/>
                <w:szCs w:val="21"/>
                <w:highlight w:val="none"/>
              </w:rPr>
              <w:t>处理后定期清运，远期待</w:t>
            </w:r>
            <w:r>
              <w:rPr>
                <w:rFonts w:hint="default" w:ascii="Times New Roman" w:hAnsi="Times New Roman" w:cs="Times New Roman"/>
                <w:color w:val="auto"/>
                <w:kern w:val="0"/>
                <w:sz w:val="21"/>
                <w:szCs w:val="21"/>
                <w:highlight w:val="none"/>
                <w:lang w:eastAsia="zh-CN"/>
              </w:rPr>
              <w:t>项目</w:t>
            </w:r>
            <w:r>
              <w:rPr>
                <w:rFonts w:hint="default" w:ascii="Times New Roman" w:hAnsi="Times New Roman" w:cs="Times New Roman"/>
                <w:color w:val="auto"/>
                <w:kern w:val="0"/>
                <w:sz w:val="21"/>
                <w:szCs w:val="21"/>
                <w:highlight w:val="none"/>
              </w:rPr>
              <w:t>区域</w:t>
            </w:r>
            <w:r>
              <w:rPr>
                <w:rFonts w:hint="default" w:ascii="Times New Roman" w:hAnsi="Times New Roman" w:cs="Times New Roman"/>
                <w:color w:val="auto"/>
                <w:kern w:val="0"/>
                <w:sz w:val="21"/>
                <w:szCs w:val="21"/>
                <w:highlight w:val="none"/>
                <w:lang w:eastAsia="zh-CN"/>
              </w:rPr>
              <w:t>规划的新乡市凤泉区污水处理厂建成，且项目区域</w:t>
            </w:r>
            <w:r>
              <w:rPr>
                <w:rFonts w:hint="default" w:ascii="Times New Roman" w:hAnsi="Times New Roman" w:cs="Times New Roman"/>
                <w:color w:val="auto"/>
                <w:kern w:val="0"/>
                <w:sz w:val="21"/>
                <w:szCs w:val="21"/>
                <w:highlight w:val="none"/>
              </w:rPr>
              <w:t>铺设污水管网</w:t>
            </w:r>
            <w:r>
              <w:rPr>
                <w:rFonts w:hint="default" w:ascii="Times New Roman" w:hAnsi="Times New Roman" w:cs="Times New Roman"/>
                <w:color w:val="auto"/>
                <w:kern w:val="0"/>
                <w:sz w:val="21"/>
                <w:szCs w:val="21"/>
                <w:highlight w:val="none"/>
                <w:lang w:eastAsia="zh-CN"/>
              </w:rPr>
              <w:t>并</w:t>
            </w:r>
            <w:r>
              <w:rPr>
                <w:rFonts w:hint="default" w:ascii="Times New Roman" w:hAnsi="Times New Roman" w:cs="Times New Roman"/>
                <w:color w:val="auto"/>
                <w:kern w:val="0"/>
                <w:sz w:val="21"/>
                <w:szCs w:val="21"/>
                <w:highlight w:val="none"/>
              </w:rPr>
              <w:t>接管至</w:t>
            </w:r>
            <w:r>
              <w:rPr>
                <w:rFonts w:hint="default" w:ascii="Times New Roman" w:hAnsi="Times New Roman" w:cs="Times New Roman"/>
                <w:color w:val="auto"/>
                <w:kern w:val="0"/>
                <w:sz w:val="21"/>
                <w:szCs w:val="21"/>
                <w:highlight w:val="none"/>
                <w:lang w:eastAsia="zh-CN"/>
              </w:rPr>
              <w:t>该</w:t>
            </w:r>
            <w:r>
              <w:rPr>
                <w:rFonts w:hint="default" w:ascii="Times New Roman" w:hAnsi="Times New Roman" w:cs="Times New Roman"/>
                <w:color w:val="auto"/>
                <w:kern w:val="0"/>
                <w:sz w:val="21"/>
                <w:szCs w:val="21"/>
                <w:highlight w:val="none"/>
              </w:rPr>
              <w:t>污水处理厂</w:t>
            </w:r>
            <w:r>
              <w:rPr>
                <w:rFonts w:hint="default" w:ascii="Times New Roman" w:hAnsi="Times New Roman" w:cs="Times New Roman"/>
                <w:color w:val="auto"/>
                <w:kern w:val="0"/>
                <w:sz w:val="21"/>
                <w:szCs w:val="21"/>
                <w:highlight w:val="none"/>
                <w:lang w:eastAsia="zh-CN"/>
              </w:rPr>
              <w:t>时</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项目废水均</w:t>
            </w:r>
            <w:r>
              <w:rPr>
                <w:rFonts w:hint="default" w:ascii="Times New Roman" w:hAnsi="Times New Roman" w:cs="Times New Roman"/>
                <w:color w:val="auto"/>
                <w:kern w:val="0"/>
                <w:sz w:val="21"/>
                <w:szCs w:val="21"/>
                <w:highlight w:val="none"/>
              </w:rPr>
              <w:t>排入</w:t>
            </w:r>
            <w:r>
              <w:rPr>
                <w:rFonts w:hint="default" w:ascii="Times New Roman" w:hAnsi="Times New Roman" w:cs="Times New Roman"/>
                <w:color w:val="auto"/>
                <w:kern w:val="0"/>
                <w:sz w:val="21"/>
                <w:szCs w:val="21"/>
                <w:highlight w:val="none"/>
                <w:lang w:eastAsia="zh-CN"/>
              </w:rPr>
              <w:t>新乡市凤泉区</w:t>
            </w:r>
            <w:r>
              <w:rPr>
                <w:rFonts w:hint="default" w:ascii="Times New Roman" w:hAnsi="Times New Roman" w:cs="Times New Roman"/>
                <w:color w:val="auto"/>
                <w:kern w:val="0"/>
                <w:sz w:val="21"/>
                <w:szCs w:val="21"/>
                <w:highlight w:val="none"/>
              </w:rPr>
              <w:t>污水处理厂进行进一步处理。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1.6</w:t>
            </w:r>
            <w:r>
              <w:rPr>
                <w:rFonts w:hint="default" w:ascii="Times New Roman" w:hAnsi="Times New Roman" w:cs="Times New Roman"/>
                <w:b/>
                <w:bCs/>
                <w:color w:val="auto"/>
                <w:kern w:val="0"/>
                <w:sz w:val="21"/>
                <w:szCs w:val="21"/>
                <w:highlight w:val="none"/>
              </w:rPr>
              <w:t>环境</w:t>
            </w:r>
            <w:r>
              <w:rPr>
                <w:rFonts w:hint="default" w:ascii="Times New Roman" w:hAnsi="Times New Roman" w:cs="Times New Roman"/>
                <w:b/>
                <w:bCs/>
                <w:color w:val="auto"/>
                <w:kern w:val="0"/>
                <w:sz w:val="21"/>
                <w:szCs w:val="21"/>
                <w:highlight w:val="none"/>
                <w:lang w:eastAsia="zh-CN"/>
              </w:rPr>
              <w:t>保护</w:t>
            </w:r>
            <w:r>
              <w:rPr>
                <w:rFonts w:hint="default" w:ascii="Times New Roman" w:hAnsi="Times New Roman" w:cs="Times New Roman"/>
                <w:b/>
                <w:bCs/>
                <w:color w:val="auto"/>
                <w:kern w:val="0"/>
                <w:sz w:val="21"/>
                <w:szCs w:val="21"/>
                <w:highlight w:val="none"/>
              </w:rPr>
              <w:t>准入条件</w:t>
            </w:r>
          </w:p>
          <w:p>
            <w:pPr>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项目选址位于新乡市新能源电池专业园区</w:t>
            </w:r>
            <w:r>
              <w:rPr>
                <w:rFonts w:hint="default" w:ascii="Times New Roman" w:hAnsi="Times New Roman" w:cs="Times New Roman"/>
                <w:color w:val="auto"/>
                <w:kern w:val="0"/>
                <w:sz w:val="21"/>
                <w:szCs w:val="21"/>
                <w:highlight w:val="none"/>
                <w:lang w:eastAsia="zh-CN"/>
              </w:rPr>
              <w:t>西片区</w:t>
            </w:r>
            <w:r>
              <w:rPr>
                <w:rFonts w:hint="default" w:ascii="Times New Roman" w:hAnsi="Times New Roman" w:cs="Times New Roman"/>
                <w:color w:val="auto"/>
                <w:kern w:val="0"/>
                <w:sz w:val="21"/>
                <w:szCs w:val="21"/>
                <w:highlight w:val="none"/>
              </w:rPr>
              <w:t>，根据《</w:t>
            </w:r>
            <w:r>
              <w:rPr>
                <w:rFonts w:hint="default" w:ascii="Times New Roman" w:hAnsi="Times New Roman" w:eastAsia="宋体" w:cs="Times New Roman"/>
                <w:color w:val="auto"/>
                <w:kern w:val="0"/>
                <w:sz w:val="21"/>
                <w:szCs w:val="21"/>
                <w:highlight w:val="none"/>
                <w:lang w:eastAsia="zh-CN"/>
              </w:rPr>
              <w:t>新乡市新能源电池专业园区发展规划（2022-2035年）环境影响报告书</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本项目与</w:t>
            </w:r>
            <w:r>
              <w:rPr>
                <w:rFonts w:hint="default" w:ascii="Times New Roman" w:hAnsi="Times New Roman" w:cs="Times New Roman"/>
                <w:color w:val="auto"/>
                <w:kern w:val="0"/>
                <w:sz w:val="21"/>
                <w:szCs w:val="21"/>
                <w:highlight w:val="none"/>
              </w:rPr>
              <w:t>新乡市新能源电池专业园区准入条件对照分析如下：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pt-BR"/>
              </w:rPr>
            </w:pPr>
            <w:r>
              <w:rPr>
                <w:rFonts w:hint="default" w:ascii="Times New Roman" w:hAnsi="Times New Roman" w:eastAsia="黑体" w:cs="Times New Roman"/>
                <w:b w:val="0"/>
                <w:bCs w:val="0"/>
                <w:color w:val="auto"/>
                <w:sz w:val="21"/>
                <w:szCs w:val="21"/>
                <w:highlight w:val="none"/>
                <w:lang w:val="pt-BR"/>
              </w:rPr>
              <w:t>与新乡市新能源电池专业园区准入条件相符性分析一览表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8"/>
              <w:gridCol w:w="2802"/>
              <w:gridCol w:w="2532"/>
              <w:gridCol w:w="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06" w:type="dxa"/>
                  <w:gridSpan w:val="2"/>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准入条件</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本项目情况</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green"/>
                      <w:lang w:eastAsia="zh-CN"/>
                    </w:rPr>
                  </w:pPr>
                  <w:r>
                    <w:rPr>
                      <w:rFonts w:hint="default" w:ascii="Times New Roman" w:hAnsi="Times New Roman" w:cs="Times New Roman"/>
                      <w:b w:val="0"/>
                      <w:bCs/>
                      <w:color w:val="auto"/>
                      <w:sz w:val="18"/>
                      <w:szCs w:val="18"/>
                      <w:highlight w:val="none"/>
                      <w:lang w:eastAsia="zh-CN"/>
                    </w:rPr>
                    <w:t>空间布局约束</w:t>
                  </w: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1.鼓励依托龙头企业发展上下游关联度强、技术水平高、绿色安全环保的企业和项目，进一步补链、延链、强链。</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eastAsia="zh-CN"/>
                    </w:rPr>
                    <w:t>项目</w:t>
                  </w:r>
                  <w:r>
                    <w:rPr>
                      <w:rFonts w:hint="eastAsia" w:cs="Times New Roman"/>
                      <w:b w:val="0"/>
                      <w:bCs/>
                      <w:color w:val="auto"/>
                      <w:sz w:val="18"/>
                      <w:szCs w:val="18"/>
                      <w:highlight w:val="none"/>
                      <w:lang w:eastAsia="zh-CN"/>
                    </w:rPr>
                    <w:t>产品包括</w:t>
                  </w:r>
                  <w:r>
                    <w:rPr>
                      <w:rFonts w:hint="default" w:ascii="Times New Roman" w:hAnsi="Times New Roman" w:cs="Times New Roman"/>
                      <w:b w:val="0"/>
                      <w:bCs/>
                      <w:color w:val="auto"/>
                      <w:sz w:val="18"/>
                      <w:szCs w:val="18"/>
                      <w:highlight w:val="none"/>
                      <w:lang w:eastAsia="zh-CN"/>
                    </w:rPr>
                    <w:t>锂电池密封圈</w:t>
                  </w:r>
                  <w:r>
                    <w:rPr>
                      <w:rFonts w:hint="eastAsia" w:cs="Times New Roman"/>
                      <w:b w:val="0"/>
                      <w:bCs/>
                      <w:color w:val="auto"/>
                      <w:sz w:val="18"/>
                      <w:szCs w:val="18"/>
                      <w:highlight w:val="none"/>
                      <w:lang w:eastAsia="zh-CN"/>
                    </w:rPr>
                    <w:t>和牙线棒</w:t>
                  </w:r>
                  <w:r>
                    <w:rPr>
                      <w:rFonts w:hint="default" w:ascii="Times New Roman" w:hAnsi="Times New Roman" w:cs="Times New Roman"/>
                      <w:b w:val="0"/>
                      <w:bCs/>
                      <w:color w:val="auto"/>
                      <w:sz w:val="18"/>
                      <w:szCs w:val="18"/>
                      <w:highlight w:val="none"/>
                      <w:lang w:eastAsia="zh-CN"/>
                    </w:rPr>
                    <w:t>，</w:t>
                  </w:r>
                  <w:r>
                    <w:rPr>
                      <w:rFonts w:hint="eastAsia" w:cs="Times New Roman"/>
                      <w:b w:val="0"/>
                      <w:bCs/>
                      <w:color w:val="auto"/>
                      <w:sz w:val="18"/>
                      <w:szCs w:val="18"/>
                      <w:highlight w:val="none"/>
                      <w:lang w:eastAsia="zh-CN"/>
                    </w:rPr>
                    <w:t>其中锂电池密封圈</w:t>
                  </w:r>
                  <w:r>
                    <w:rPr>
                      <w:rFonts w:hint="default" w:ascii="Times New Roman" w:hAnsi="Times New Roman" w:cs="Times New Roman"/>
                      <w:b w:val="0"/>
                      <w:bCs/>
                      <w:color w:val="auto"/>
                      <w:sz w:val="18"/>
                      <w:szCs w:val="18"/>
                      <w:highlight w:val="none"/>
                      <w:lang w:eastAsia="zh-CN"/>
                    </w:rPr>
                    <w:t>可与下游锂电池组形成互补链</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2.园区引入项目应符合园区产业定位、产业发展规划、《产业结构调整指导目录》（以最新版为准）及相关环保政策、行业审批原则、行业准入条件等要求。</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属于塑料制品业，根据新乡市凤泉区产业集聚区管理委员会出具的证明，项目选址符合集聚区总体规划、产业发展规划和土地利用规划要求，同时项目不属于《产业结构调整指导目录（2019年本）》中鼓励类、淘汰类和限制类，为允许类项目</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3.表面处理产业园内可入驻电池及其他产业相关的电镀项目，园区内表面处理产业园外仅入驻主导产业相关的电镀项目，禁止在凤泉区其他区域引入电镀项目。</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本项目不涉及表面处理工序</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4.鼓励引入与电池相关的研发项目，允许科创中心依托现有医药、新材料等产业进行研发、试验。</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本项目属于塑料制品业，日常生产过程不涉及产品研发</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5.园区内现有化工企业在不扩大用地规模、“增产减污”或“增产不增污”的条件下，可在产业链上适当发展。</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本项目不属于化工企业</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6.禁止建设生产和使用高VOCs含量的溶剂型涂料、油墨、胶粘剂等项目。</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项目不涉及使用</w:t>
                  </w:r>
                  <w:r>
                    <w:rPr>
                      <w:rFonts w:hint="default" w:ascii="Times New Roman" w:hAnsi="Times New Roman" w:cs="Times New Roman"/>
                      <w:b w:val="0"/>
                      <w:bCs/>
                      <w:color w:val="auto"/>
                      <w:sz w:val="18"/>
                      <w:szCs w:val="18"/>
                      <w:highlight w:val="none"/>
                    </w:rPr>
                    <w:t>涂料、油墨、胶粘剂</w:t>
                  </w:r>
                  <w:r>
                    <w:rPr>
                      <w:rFonts w:hint="default" w:ascii="Times New Roman" w:hAnsi="Times New Roman" w:cs="Times New Roman"/>
                      <w:b w:val="0"/>
                      <w:bCs/>
                      <w:color w:val="auto"/>
                      <w:sz w:val="18"/>
                      <w:szCs w:val="18"/>
                      <w:highlight w:val="none"/>
                      <w:lang w:eastAsia="zh-CN"/>
                    </w:rPr>
                    <w:t>等</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7.新建非铅酸电池回收项目应入驻西片区。</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项目属于塑料制品业，选址位于西片区，不属于</w:t>
                  </w:r>
                  <w:r>
                    <w:rPr>
                      <w:rFonts w:hint="default" w:ascii="Times New Roman" w:hAnsi="Times New Roman" w:cs="Times New Roman"/>
                      <w:b w:val="0"/>
                      <w:bCs/>
                      <w:color w:val="auto"/>
                      <w:sz w:val="18"/>
                      <w:szCs w:val="18"/>
                      <w:highlight w:val="none"/>
                    </w:rPr>
                    <w:t>新建非铅酸电池回收项目</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8.禁止新、改、扩建“两高”项目，与主导产业相关的项目除外。</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color w:val="auto"/>
                      <w:spacing w:val="-4"/>
                      <w:sz w:val="18"/>
                      <w:szCs w:val="18"/>
                      <w:highlight w:val="none"/>
                      <w:lang w:val="en-US" w:eastAsia="zh-CN"/>
                    </w:rPr>
                    <w:t>经对照《关于印发河南省“两高”项目管理名录（2023年修订）的通知》（豫发改环资（2023）38号），本项目不属于“两高”类项目。</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9、新建、改建、扩建项目须符合生态环境保护法律法规和相关法定规划，满足重点污染物排放总量控制、碳排放达峰目标、生态环境准入清单、相关规划环评和相应行业建设项目环境准入条件、环评文件审批原则要求。</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本项目属于新建项目，符合</w:t>
                  </w:r>
                  <w:r>
                    <w:rPr>
                      <w:rFonts w:hint="default" w:ascii="Times New Roman" w:hAnsi="Times New Roman" w:cs="Times New Roman"/>
                      <w:b w:val="0"/>
                      <w:bCs/>
                      <w:color w:val="auto"/>
                      <w:sz w:val="18"/>
                      <w:szCs w:val="18"/>
                      <w:highlight w:val="none"/>
                    </w:rPr>
                    <w:t>生态环境保护法律法规和相关法定规划</w:t>
                  </w:r>
                  <w:r>
                    <w:rPr>
                      <w:rFonts w:hint="default" w:ascii="Times New Roman" w:hAnsi="Times New Roman" w:cs="Times New Roman"/>
                      <w:b w:val="0"/>
                      <w:bCs/>
                      <w:color w:val="auto"/>
                      <w:sz w:val="18"/>
                      <w:szCs w:val="18"/>
                      <w:highlight w:val="none"/>
                      <w:lang w:eastAsia="zh-CN"/>
                    </w:rPr>
                    <w:t>，能够满足</w:t>
                  </w:r>
                  <w:r>
                    <w:rPr>
                      <w:rFonts w:hint="default" w:ascii="Times New Roman" w:hAnsi="Times New Roman" w:cs="Times New Roman"/>
                      <w:b w:val="0"/>
                      <w:bCs/>
                      <w:color w:val="auto"/>
                      <w:sz w:val="18"/>
                      <w:szCs w:val="18"/>
                      <w:highlight w:val="none"/>
                    </w:rPr>
                    <w:t>重点污染物排放总量控制</w:t>
                  </w:r>
                  <w:r>
                    <w:rPr>
                      <w:rFonts w:hint="default" w:ascii="Times New Roman" w:hAnsi="Times New Roman" w:cs="Times New Roman"/>
                      <w:b w:val="0"/>
                      <w:bCs/>
                      <w:color w:val="auto"/>
                      <w:sz w:val="18"/>
                      <w:szCs w:val="18"/>
                      <w:highlight w:val="none"/>
                      <w:lang w:eastAsia="zh-CN"/>
                    </w:rPr>
                    <w:t>、新乡市</w:t>
                  </w:r>
                  <w:r>
                    <w:rPr>
                      <w:rFonts w:hint="default" w:ascii="Times New Roman" w:hAnsi="Times New Roman" w:cs="Times New Roman"/>
                      <w:b w:val="0"/>
                      <w:bCs/>
                      <w:color w:val="auto"/>
                      <w:sz w:val="18"/>
                      <w:szCs w:val="18"/>
                      <w:highlight w:val="none"/>
                    </w:rPr>
                    <w:t>生态环境准入清单</w:t>
                  </w:r>
                  <w:r>
                    <w:rPr>
                      <w:rFonts w:hint="default" w:ascii="Times New Roman" w:hAnsi="Times New Roman" w:cs="Times New Roman"/>
                      <w:b w:val="0"/>
                      <w:bCs/>
                      <w:color w:val="auto"/>
                      <w:sz w:val="18"/>
                      <w:szCs w:val="18"/>
                      <w:highlight w:val="none"/>
                      <w:lang w:eastAsia="zh-CN"/>
                    </w:rPr>
                    <w:t>要求、新乡市新能源电池专业园区产业布局规划和土地利用规划等要求</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green"/>
                      <w:lang w:eastAsia="zh-CN"/>
                    </w:rPr>
                  </w:pPr>
                  <w:r>
                    <w:rPr>
                      <w:rFonts w:hint="default" w:ascii="Times New Roman" w:hAnsi="Times New Roman" w:cs="Times New Roman"/>
                      <w:b w:val="0"/>
                      <w:bCs/>
                      <w:color w:val="auto"/>
                      <w:sz w:val="18"/>
                      <w:szCs w:val="18"/>
                      <w:highlight w:val="none"/>
                      <w:lang w:eastAsia="zh-CN"/>
                    </w:rPr>
                    <w:t>污染物排放管控</w:t>
                  </w: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1.引进项目的生产工艺、设备、污染治理技术，以及单位产品水耗、能耗、物耗、污染物排放和资源利用率等均需达到同行业国内先进水平或国际领先水平。</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eastAsia="zh-CN"/>
                    </w:rPr>
                    <w:t>本项目不属于引进项目，项目生产工艺、设备均采用全自动化生产设备，能够达到</w:t>
                  </w:r>
                  <w:r>
                    <w:rPr>
                      <w:rFonts w:hint="default" w:ascii="Times New Roman" w:hAnsi="Times New Roman" w:cs="Times New Roman"/>
                      <w:b w:val="0"/>
                      <w:bCs/>
                      <w:color w:val="auto"/>
                      <w:sz w:val="18"/>
                      <w:szCs w:val="18"/>
                      <w:highlight w:val="none"/>
                    </w:rPr>
                    <w:t>同行业国内先进水平</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2.鼓励现有电池制造企业采用先进生产及污染治理工艺，提高清洁生产水平。</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本项目属于新建塑料制品项目，不属于电池制造企业</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3.规范表面处理产业园电镀项目建设，电镀生产线离地架空建设；配套的废气、废水处理设施必须采用可靠、成熟的处理工艺，确保正常运行，做到达标排放。</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eastAsia="zh-CN"/>
                    </w:rPr>
                    <w:t>本项目不涉及表面处理工序，项目有机废气废气拟采用“</w:t>
                  </w:r>
                  <w:r>
                    <w:rPr>
                      <w:rFonts w:hint="default" w:ascii="Times New Roman" w:hAnsi="Times New Roman" w:cs="Times New Roman"/>
                      <w:b w:val="0"/>
                      <w:bCs/>
                      <w:color w:val="auto"/>
                      <w:sz w:val="18"/>
                      <w:szCs w:val="18"/>
                      <w:highlight w:val="none"/>
                      <w:lang w:val="en-US" w:eastAsia="zh-CN"/>
                    </w:rPr>
                    <w:t>UV光催化氧化+活性炭吸附</w:t>
                  </w:r>
                  <w:r>
                    <w:rPr>
                      <w:rFonts w:hint="default" w:ascii="Times New Roman" w:hAnsi="Times New Roman" w:cs="Times New Roman"/>
                      <w:b w:val="0"/>
                      <w:bCs/>
                      <w:color w:val="auto"/>
                      <w:sz w:val="18"/>
                      <w:szCs w:val="18"/>
                      <w:highlight w:val="none"/>
                      <w:lang w:eastAsia="zh-CN"/>
                    </w:rPr>
                    <w:t>”</w:t>
                  </w:r>
                  <w:r>
                    <w:rPr>
                      <w:rFonts w:hint="default" w:ascii="Times New Roman" w:hAnsi="Times New Roman" w:cs="Times New Roman"/>
                      <w:b w:val="0"/>
                      <w:bCs/>
                      <w:color w:val="auto"/>
                      <w:sz w:val="18"/>
                      <w:szCs w:val="18"/>
                      <w:highlight w:val="none"/>
                      <w:lang w:val="en-US" w:eastAsia="zh-CN"/>
                    </w:rPr>
                    <w:t>装置处理，颗粒物废气采用脉冲袋式除尘器处理，生活污水拟化粪池处理，均属于《排污许可证申请与核发技术规范 橡胶和塑料制品工业》（HJ1122—2020）中可行技术，能够做到达标排放</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4.园区内镀铬、镍、铅、镉的电镀工段废水（包括含铬钝化、镍封、退镍工序等）及相应清洗废水应全部回用，其他废水经厂内污水处理设施处理后尽可能回用。</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项目不涉及电镀工序</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5.电池回收项目应采用较为先进的电池回收工艺。</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项目不涉及电池回收</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6.新、改、扩建排放VOCs的项目，应从源头加强控制，使用低（无）VOCs含量的原辅材料，配套安装高效收集、治理设施。</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项目属于新建排放</w:t>
                  </w:r>
                  <w:r>
                    <w:rPr>
                      <w:rFonts w:hint="default" w:ascii="Times New Roman" w:hAnsi="Times New Roman" w:cs="Times New Roman"/>
                      <w:b w:val="0"/>
                      <w:bCs/>
                      <w:color w:val="auto"/>
                      <w:sz w:val="18"/>
                      <w:szCs w:val="18"/>
                      <w:highlight w:val="none"/>
                    </w:rPr>
                    <w:t>VOCs的项目</w:t>
                  </w:r>
                  <w:r>
                    <w:rPr>
                      <w:rFonts w:hint="default" w:ascii="Times New Roman" w:hAnsi="Times New Roman" w:cs="Times New Roman"/>
                      <w:b w:val="0"/>
                      <w:bCs/>
                      <w:color w:val="auto"/>
                      <w:sz w:val="18"/>
                      <w:szCs w:val="18"/>
                      <w:highlight w:val="none"/>
                      <w:lang w:eastAsia="zh-CN"/>
                    </w:rPr>
                    <w:t>，废气主要为挤出工序废气，工程通过在挤出机出口设置覆盖挤出机出口集气罩进行收集，可确保废气高效收集</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7.新建项目的污染物排放指标需满足区域用水、排水及水污染物总量控制指标要求。</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项目新增废气、废水污染物排放能够满足</w:t>
                  </w:r>
                  <w:r>
                    <w:rPr>
                      <w:rFonts w:hint="default" w:ascii="Times New Roman" w:hAnsi="Times New Roman" w:cs="Times New Roman"/>
                      <w:b w:val="0"/>
                      <w:bCs/>
                      <w:color w:val="auto"/>
                      <w:sz w:val="18"/>
                      <w:szCs w:val="18"/>
                      <w:highlight w:val="none"/>
                    </w:rPr>
                    <w:t>区域用水、排水及水污染物总量控制</w:t>
                  </w:r>
                  <w:r>
                    <w:rPr>
                      <w:rFonts w:hint="default" w:ascii="Times New Roman" w:hAnsi="Times New Roman" w:cs="Times New Roman"/>
                      <w:b w:val="0"/>
                      <w:bCs/>
                      <w:color w:val="auto"/>
                      <w:sz w:val="18"/>
                      <w:szCs w:val="18"/>
                      <w:highlight w:val="none"/>
                      <w:lang w:eastAsia="zh-CN"/>
                    </w:rPr>
                    <w:t>指标要求。</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green"/>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8.强化项目环评及“三同时”管理，国家、省绩效分级重点行业企业新建、扩建项目达到A级绩效水平，改建项目达到B级以上绩效水平。</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项目建设建设过程将严格执行</w:t>
                  </w:r>
                  <w:r>
                    <w:rPr>
                      <w:rFonts w:hint="default" w:ascii="Times New Roman" w:hAnsi="Times New Roman" w:cs="Times New Roman"/>
                      <w:b w:val="0"/>
                      <w:bCs/>
                      <w:color w:val="auto"/>
                      <w:sz w:val="18"/>
                      <w:szCs w:val="18"/>
                      <w:highlight w:val="none"/>
                    </w:rPr>
                    <w:t>环评及“三同时”管理</w:t>
                  </w:r>
                  <w:r>
                    <w:rPr>
                      <w:rFonts w:hint="default" w:ascii="Times New Roman" w:hAnsi="Times New Roman" w:cs="Times New Roman"/>
                      <w:b w:val="0"/>
                      <w:bCs/>
                      <w:color w:val="auto"/>
                      <w:sz w:val="18"/>
                      <w:szCs w:val="18"/>
                      <w:highlight w:val="none"/>
                      <w:lang w:eastAsia="zh-CN"/>
                    </w:rPr>
                    <w:t>要求，</w:t>
                  </w:r>
                  <w:r>
                    <w:rPr>
                      <w:rFonts w:hint="default" w:ascii="Times New Roman" w:hAnsi="Times New Roman" w:cs="Times New Roman"/>
                      <w:color w:val="auto"/>
                      <w:sz w:val="18"/>
                      <w:szCs w:val="18"/>
                      <w:highlight w:val="none"/>
                      <w:lang w:eastAsia="zh-CN"/>
                    </w:rPr>
                    <w:t>建成后达到《河南省重污染天气通用行业应急减排措施制定技术指南》（2020年修订版）中第“六、塑料制品”类项目</w:t>
                  </w:r>
                  <w:r>
                    <w:rPr>
                      <w:rFonts w:hint="default" w:ascii="Times New Roman" w:hAnsi="Times New Roman" w:cs="Times New Roman"/>
                      <w:color w:val="auto"/>
                      <w:sz w:val="18"/>
                      <w:szCs w:val="18"/>
                      <w:highlight w:val="none"/>
                      <w:lang w:val="en-US" w:eastAsia="zh-CN"/>
                    </w:rPr>
                    <w:t>A级</w:t>
                  </w:r>
                  <w:r>
                    <w:rPr>
                      <w:rFonts w:hint="default" w:ascii="Times New Roman" w:hAnsi="Times New Roman" w:cs="Times New Roman"/>
                      <w:color w:val="auto"/>
                      <w:sz w:val="18"/>
                      <w:szCs w:val="18"/>
                      <w:highlight w:val="none"/>
                      <w:lang w:eastAsia="zh-CN"/>
                    </w:rPr>
                    <w:t>要求</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环境风险防控</w:t>
                  </w: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1.规范园区建设，对涉重行业及化工企业加强管理，建立土壤和地下水污染隐患排查治理制度、风险防控体系和长效监管机制。</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本项目属于塑料制品业，不属于化工企业，不涉及重金属排放</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2.有色金属冶炼、铅酸蓄电池、石油加工、化工、电镀、制革和危险化学品生产、储存、使用等企业在拆除生产设施设备、污染治理设施时，要事先制定残留污染物清理和安全处置方案。</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项目属于塑料制品业，不属于</w:t>
                  </w:r>
                  <w:r>
                    <w:rPr>
                      <w:rFonts w:hint="default" w:ascii="Times New Roman" w:hAnsi="Times New Roman" w:cs="Times New Roman"/>
                      <w:b w:val="0"/>
                      <w:bCs/>
                      <w:color w:val="auto"/>
                      <w:sz w:val="18"/>
                      <w:szCs w:val="18"/>
                      <w:highlight w:val="none"/>
                    </w:rPr>
                    <w:t>有色金属冶炼、铅酸蓄电池、石油加工、化工、电镀、制革和危险化学品生产、储存、使用</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9"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p>
              </w:tc>
              <w:tc>
                <w:tcPr>
                  <w:tcW w:w="280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3.高关注地块划分污染风险等级，纳入优先管控名录。</w:t>
                  </w:r>
                </w:p>
              </w:tc>
              <w:tc>
                <w:tcPr>
                  <w:tcW w:w="2536"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both"/>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项目用地不属于</w:t>
                  </w:r>
                  <w:r>
                    <w:rPr>
                      <w:rFonts w:hint="default" w:ascii="Times New Roman" w:hAnsi="Times New Roman" w:cs="Times New Roman"/>
                      <w:b w:val="0"/>
                      <w:bCs/>
                      <w:color w:val="auto"/>
                      <w:sz w:val="18"/>
                      <w:szCs w:val="18"/>
                      <w:highlight w:val="none"/>
                    </w:rPr>
                    <w:t>高关注地块</w:t>
                  </w:r>
                </w:p>
              </w:tc>
              <w:tc>
                <w:tcPr>
                  <w:tcW w:w="845"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不涉及</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 w:val="0"/>
                <w:bCs/>
                <w:color w:val="auto"/>
                <w:sz w:val="21"/>
                <w:szCs w:val="21"/>
                <w:highlight w:val="none"/>
                <w:u w:val="none"/>
                <w:lang w:eastAsia="zh-CN"/>
              </w:rPr>
            </w:pPr>
            <w:r>
              <w:rPr>
                <w:rFonts w:hint="default" w:ascii="Times New Roman" w:hAnsi="Times New Roman" w:cs="Times New Roman"/>
                <w:b w:val="0"/>
                <w:bCs/>
                <w:color w:val="auto"/>
                <w:sz w:val="21"/>
                <w:szCs w:val="21"/>
                <w:highlight w:val="none"/>
                <w:u w:val="none"/>
                <w:lang w:eastAsia="zh-CN"/>
              </w:rPr>
              <w:t>由上表可知，本项目符合新乡市新能源电池专业园区准入条件要求。项目与环境准入负面清单（包括通用要求和西片区要求）对比分析如下：</w:t>
            </w:r>
          </w:p>
          <w:p>
            <w:pPr>
              <w:pStyle w:val="2"/>
              <w:rPr>
                <w:rFonts w:hint="default" w:ascii="Times New Roman" w:hAnsi="Times New Roman" w:cs="Times New Roman"/>
                <w:b w:val="0"/>
                <w:bCs/>
                <w:color w:val="auto"/>
                <w:sz w:val="21"/>
                <w:szCs w:val="21"/>
                <w:highlight w:val="none"/>
                <w:u w:val="none"/>
                <w:lang w:eastAsia="zh-CN"/>
              </w:rPr>
            </w:pPr>
          </w:p>
          <w:p>
            <w:pPr>
              <w:rPr>
                <w:rFonts w:hint="default" w:ascii="Times New Roman" w:hAnsi="Times New Roman" w:cs="Times New Roman"/>
                <w:b w:val="0"/>
                <w:bCs/>
                <w:color w:val="auto"/>
                <w:sz w:val="21"/>
                <w:szCs w:val="21"/>
                <w:highlight w:val="none"/>
                <w:u w:val="none"/>
                <w:lang w:eastAsia="zh-CN"/>
              </w:rPr>
            </w:pPr>
          </w:p>
          <w:p>
            <w:pPr>
              <w:pStyle w:val="2"/>
              <w:rPr>
                <w:rFonts w:hint="default" w:ascii="Times New Roman" w:hAnsi="Times New Roman" w:cs="Times New Roman"/>
                <w:b w:val="0"/>
                <w:bCs/>
                <w:color w:val="auto"/>
                <w:sz w:val="21"/>
                <w:szCs w:val="21"/>
                <w:highlight w:val="none"/>
                <w:u w:val="none"/>
                <w:lang w:eastAsia="zh-CN"/>
              </w:rPr>
            </w:pPr>
          </w:p>
          <w:p>
            <w:pPr>
              <w:rPr>
                <w:rFonts w:hint="default" w:ascii="Times New Roman" w:hAnsi="Times New Roman" w:cs="Times New Roman"/>
                <w:b w:val="0"/>
                <w:bCs/>
                <w:color w:val="auto"/>
                <w:sz w:val="21"/>
                <w:szCs w:val="21"/>
                <w:highlight w:val="none"/>
                <w:u w:val="none"/>
                <w:lang w:eastAsia="zh-CN"/>
              </w:rPr>
            </w:pPr>
          </w:p>
          <w:p>
            <w:pPr>
              <w:pStyle w:val="2"/>
              <w:rPr>
                <w:rFonts w:hint="default" w:ascii="Times New Roman" w:hAnsi="Times New Roman" w:cs="Times New Roman"/>
                <w:b w:val="0"/>
                <w:bCs/>
                <w:color w:val="auto"/>
                <w:sz w:val="21"/>
                <w:szCs w:val="21"/>
                <w:highlight w:val="none"/>
                <w:u w:val="none"/>
                <w:lang w:eastAsia="zh-CN"/>
              </w:rPr>
            </w:pPr>
          </w:p>
          <w:p>
            <w:pPr>
              <w:rPr>
                <w:rFonts w:hint="default" w:ascii="Times New Roman" w:hAnsi="Times New Roman" w:cs="Times New Roman"/>
                <w:b w:val="0"/>
                <w:bCs/>
                <w:color w:val="auto"/>
                <w:sz w:val="21"/>
                <w:szCs w:val="21"/>
                <w:highlight w:val="none"/>
                <w:u w:val="none"/>
                <w:lang w:eastAsia="zh-CN"/>
              </w:rPr>
            </w:pP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pt-BR"/>
              </w:rPr>
            </w:pPr>
            <w:r>
              <w:rPr>
                <w:rFonts w:hint="default" w:ascii="Times New Roman" w:hAnsi="Times New Roman" w:eastAsia="黑体" w:cs="Times New Roman"/>
                <w:b w:val="0"/>
                <w:bCs w:val="0"/>
                <w:color w:val="auto"/>
                <w:sz w:val="21"/>
                <w:szCs w:val="21"/>
                <w:highlight w:val="none"/>
                <w:lang w:val="pt-BR"/>
              </w:rPr>
              <w:t>本项目与环境准入负面清单对比分析一览表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4"/>
              <w:gridCol w:w="364"/>
              <w:gridCol w:w="3220"/>
              <w:gridCol w:w="25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项目</w:t>
                  </w:r>
                </w:p>
              </w:tc>
              <w:tc>
                <w:tcPr>
                  <w:tcW w:w="3584" w:type="dxa"/>
                  <w:gridSpan w:val="2"/>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环境准入负面清单</w:t>
                  </w:r>
                </w:p>
              </w:tc>
              <w:tc>
                <w:tcPr>
                  <w:tcW w:w="256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dxa"/>
                  <w:vMerge w:val="restart"/>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空间布局及土地规划</w:t>
                  </w:r>
                </w:p>
              </w:tc>
              <w:tc>
                <w:tcPr>
                  <w:tcW w:w="364"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left"/>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通用要求</w:t>
                  </w:r>
                </w:p>
              </w:tc>
              <w:tc>
                <w:tcPr>
                  <w:tcW w:w="3220"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1.禁止不符合新乡市、河南省、国家等重金属污染防控政策要求的项目入驻。</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2.禁止不符合《废电池污染防治技术政策》、《废锂离子动力蓄电池处理污染控制技术规范》的电池回收项目入驻。</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3.禁止铅酸电池回收项目入驻。</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4.禁止新建铅酸电池项目入驻。</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5.禁止与主导产业无关的“两高”项目入驻。</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6.禁止引入钢铁、水泥、平板玻璃、铅蓄电池、皮革鞣制加工等不符合园区产业定位且污染较重的项目。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left"/>
                    <w:textAlignment w:val="auto"/>
                    <w:rPr>
                      <w:rFonts w:hint="default" w:ascii="Times New Roman" w:hAnsi="Times New Roman" w:cs="Times New Roman"/>
                      <w:b w:val="0"/>
                      <w:bCs/>
                      <w:color w:val="auto"/>
                      <w:sz w:val="18"/>
                      <w:szCs w:val="18"/>
                      <w:highlight w:val="none"/>
                      <w:lang w:eastAsia="zh-CN"/>
                    </w:rPr>
                  </w:pPr>
                  <w:r>
                    <w:rPr>
                      <w:rFonts w:hint="eastAsia" w:cs="Times New Roman"/>
                      <w:b w:val="0"/>
                      <w:bCs/>
                      <w:color w:val="auto"/>
                      <w:sz w:val="18"/>
                      <w:szCs w:val="18"/>
                      <w:highlight w:val="none"/>
                      <w:lang w:val="en-US" w:eastAsia="zh-CN"/>
                    </w:rPr>
                    <w:t>7.</w:t>
                  </w:r>
                  <w:r>
                    <w:rPr>
                      <w:rFonts w:hint="default" w:ascii="Times New Roman" w:hAnsi="Times New Roman" w:cs="Times New Roman"/>
                      <w:b w:val="0"/>
                      <w:bCs/>
                      <w:color w:val="auto"/>
                      <w:sz w:val="18"/>
                      <w:szCs w:val="18"/>
                      <w:highlight w:val="none"/>
                    </w:rPr>
                    <w:t>禁止入驻达不到《电镀行业清洁生产评价指标体系》、《电池行业清洁生产评价指标体系》清洁生产先进水平要求的项目</w:t>
                  </w:r>
                  <w:r>
                    <w:rPr>
                      <w:rFonts w:hint="default" w:ascii="Times New Roman" w:hAnsi="Times New Roman" w:cs="Times New Roman"/>
                      <w:b w:val="0"/>
                      <w:bCs/>
                      <w:color w:val="auto"/>
                      <w:sz w:val="18"/>
                      <w:szCs w:val="18"/>
                      <w:highlight w:val="none"/>
                      <w:lang w:eastAsia="zh-CN"/>
                    </w:rPr>
                    <w:t>。</w:t>
                  </w:r>
                </w:p>
              </w:tc>
              <w:tc>
                <w:tcPr>
                  <w:tcW w:w="2567" w:type="dxa"/>
                  <w:vAlign w:val="center"/>
                </w:tcPr>
                <w:p>
                  <w:pPr>
                    <w:pStyle w:val="11"/>
                    <w:keepNext w:val="0"/>
                    <w:keepLines w:val="0"/>
                    <w:pageBreakBefore w:val="0"/>
                    <w:widowControl w:val="0"/>
                    <w:numPr>
                      <w:ilvl w:val="0"/>
                      <w:numId w:val="2"/>
                    </w:numPr>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本项目不涉及重金属污染物排放；</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本项目不涉及电池回收；</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3~4、项目不涉及铅酸电池回收和生产，属于塑料制品业；</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color w:val="auto"/>
                      <w:spacing w:val="-4"/>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5、根据</w:t>
                  </w:r>
                  <w:r>
                    <w:rPr>
                      <w:rFonts w:hint="default" w:ascii="Times New Roman" w:hAnsi="Times New Roman" w:cs="Times New Roman"/>
                      <w:color w:val="auto"/>
                      <w:spacing w:val="-4"/>
                      <w:sz w:val="18"/>
                      <w:szCs w:val="18"/>
                      <w:highlight w:val="none"/>
                      <w:lang w:val="en-US" w:eastAsia="zh-CN"/>
                    </w:rPr>
                    <w:t>《关于印发河南省“两高”项目管理名录（2023年修订）的通知》（豫发改环资（2023）38号），本项目不属于“两高”类项目；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color w:val="auto"/>
                      <w:spacing w:val="-4"/>
                      <w:sz w:val="18"/>
                      <w:szCs w:val="18"/>
                      <w:highlight w:val="none"/>
                      <w:lang w:val="en-US" w:eastAsia="zh-CN"/>
                    </w:rPr>
                    <w:t>6、项目不属于</w:t>
                  </w:r>
                  <w:r>
                    <w:rPr>
                      <w:rFonts w:hint="default" w:ascii="Times New Roman" w:hAnsi="Times New Roman" w:cs="Times New Roman"/>
                      <w:b w:val="0"/>
                      <w:bCs/>
                      <w:color w:val="auto"/>
                      <w:sz w:val="18"/>
                      <w:szCs w:val="18"/>
                      <w:highlight w:val="none"/>
                    </w:rPr>
                    <w:t>钢铁、水泥、平板玻璃、铅蓄电池、皮革鞣制加工</w:t>
                  </w:r>
                  <w:r>
                    <w:rPr>
                      <w:rFonts w:hint="default" w:ascii="Times New Roman" w:hAnsi="Times New Roman" w:cs="Times New Roman"/>
                      <w:b w:val="0"/>
                      <w:bCs/>
                      <w:color w:val="auto"/>
                      <w:sz w:val="18"/>
                      <w:szCs w:val="18"/>
                      <w:highlight w:val="none"/>
                      <w:lang w:eastAsia="zh-CN"/>
                    </w:rPr>
                    <w:t>项目；</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7、项目生产过程不涉及电镀工序；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dxa"/>
                  <w:vMerge w:val="continue"/>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rPr>
                  </w:pPr>
                </w:p>
              </w:tc>
              <w:tc>
                <w:tcPr>
                  <w:tcW w:w="364"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lang w:eastAsia="zh-CN"/>
                    </w:rPr>
                    <w:t>西片区</w:t>
                  </w:r>
                </w:p>
              </w:tc>
              <w:tc>
                <w:tcPr>
                  <w:tcW w:w="3220"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jc w:val="left"/>
                    <w:textAlignment w:val="auto"/>
                    <w:rPr>
                      <w:rFonts w:hint="default" w:ascii="Times New Roman" w:hAnsi="Times New Roman"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8.</w:t>
                  </w:r>
                  <w:r>
                    <w:rPr>
                      <w:rFonts w:hint="default" w:ascii="Times New Roman" w:hAnsi="Times New Roman" w:cs="Times New Roman"/>
                      <w:b w:val="0"/>
                      <w:bCs/>
                      <w:color w:val="auto"/>
                      <w:sz w:val="18"/>
                      <w:szCs w:val="18"/>
                      <w:highlight w:val="none"/>
                      <w:lang w:eastAsia="zh-CN"/>
                    </w:rPr>
                    <w:t>表面处理产业园区外禁止入驻与主导产业不符的独立电镀项目。</w:t>
                  </w:r>
                </w:p>
              </w:tc>
              <w:tc>
                <w:tcPr>
                  <w:tcW w:w="2567" w:type="dxa"/>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right="0" w:rightChars="0"/>
                    <w:textAlignment w:val="auto"/>
                    <w:rPr>
                      <w:rFonts w:hint="default" w:ascii="Times New Roman" w:hAnsi="Times New Roman"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8</w:t>
                  </w:r>
                  <w:r>
                    <w:rPr>
                      <w:rFonts w:hint="default" w:ascii="Times New Roman" w:hAnsi="Times New Roman" w:cs="Times New Roman"/>
                      <w:b w:val="0"/>
                      <w:bCs/>
                      <w:color w:val="auto"/>
                      <w:sz w:val="18"/>
                      <w:szCs w:val="18"/>
                      <w:highlight w:val="none"/>
                      <w:lang w:val="en-US" w:eastAsia="zh-CN"/>
                    </w:rPr>
                    <w:t>、项目</w:t>
                  </w:r>
                  <w:r>
                    <w:rPr>
                      <w:rFonts w:hint="eastAsia" w:cs="Times New Roman"/>
                      <w:b w:val="0"/>
                      <w:bCs/>
                      <w:color w:val="auto"/>
                      <w:sz w:val="18"/>
                      <w:szCs w:val="18"/>
                      <w:highlight w:val="none"/>
                      <w:lang w:val="en-US" w:eastAsia="zh-CN"/>
                    </w:rPr>
                    <w:t>位于新能源电池及配件产业区，且项目不涉及电镀工序。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rPr>
                    <w:t>污染物排放</w:t>
                  </w:r>
                  <w:r>
                    <w:rPr>
                      <w:rFonts w:hint="default" w:ascii="Times New Roman" w:hAnsi="Times New Roman" w:cs="Times New Roman"/>
                      <w:b w:val="0"/>
                      <w:bCs/>
                      <w:color w:val="auto"/>
                      <w:sz w:val="18"/>
                      <w:szCs w:val="18"/>
                      <w:highlight w:val="none"/>
                      <w:lang w:eastAsia="zh-CN"/>
                    </w:rPr>
                    <w:t>管控</w:t>
                  </w:r>
                </w:p>
              </w:tc>
              <w:tc>
                <w:tcPr>
                  <w:tcW w:w="3584" w:type="dxa"/>
                  <w:gridSpan w:val="2"/>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1.禁止新建燃煤锅炉项目。</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2.入驻企业使用溶剂型涂料时，调漆、喷漆、流平、烘干、清洗等涉 VOCs工序禁止采用低效治理技术。</w:t>
                  </w:r>
                </w:p>
                <w:p>
                  <w:pPr>
                    <w:pStyle w:val="11"/>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rPr>
                    <w:t>3.禁止建设生产和使用高 VOCs 含量的溶剂型涂料、油墨、胶粘剂项目，限制喷漆工序使用含苯漆料。</w:t>
                  </w:r>
                </w:p>
              </w:tc>
              <w:tc>
                <w:tcPr>
                  <w:tcW w:w="256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1、项目无新建锅炉；</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2、项目不涉及使用涂料，无表面涂装工序；</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3、项目不涉及生产使用</w:t>
                  </w:r>
                  <w:r>
                    <w:rPr>
                      <w:rFonts w:hint="default" w:ascii="Times New Roman" w:hAnsi="Times New Roman" w:cs="Times New Roman"/>
                      <w:b w:val="0"/>
                      <w:bCs/>
                      <w:color w:val="auto"/>
                      <w:sz w:val="18"/>
                      <w:szCs w:val="18"/>
                      <w:highlight w:val="none"/>
                    </w:rPr>
                    <w:t>高 VOCs 含量的溶剂型涂料、油墨、胶粘剂项目</w:t>
                  </w:r>
                  <w:r>
                    <w:rPr>
                      <w:rFonts w:hint="default" w:ascii="Times New Roman" w:hAnsi="Times New Roman" w:cs="Times New Roman"/>
                      <w:b w:val="0"/>
                      <w:bCs/>
                      <w:color w:val="auto"/>
                      <w:sz w:val="18"/>
                      <w:szCs w:val="18"/>
                      <w:highlight w:val="none"/>
                      <w:lang w:eastAsia="zh-CN"/>
                    </w:rPr>
                    <w:t>，不含喷漆工序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资源开发</w:t>
                  </w:r>
                </w:p>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利用要求</w:t>
                  </w:r>
                </w:p>
              </w:tc>
              <w:tc>
                <w:tcPr>
                  <w:tcW w:w="3584" w:type="dxa"/>
                  <w:gridSpan w:val="2"/>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rPr>
                    <w:t>禁止入驻重金属利用率和单位产品每次清洗取水量低于国内清洁生产先进水平的项目。</w:t>
                  </w:r>
                </w:p>
              </w:tc>
              <w:tc>
                <w:tcPr>
                  <w:tcW w:w="2567" w:type="dxa"/>
                  <w:vAlign w:val="center"/>
                </w:tcPr>
                <w:p>
                  <w:pPr>
                    <w:pStyle w:val="11"/>
                    <w:keepNext w:val="0"/>
                    <w:keepLines w:val="0"/>
                    <w:pageBreakBefore w:val="0"/>
                    <w:widowControl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本项目不属于</w:t>
                  </w:r>
                  <w:r>
                    <w:rPr>
                      <w:rFonts w:hint="default" w:ascii="Times New Roman" w:hAnsi="Times New Roman" w:cs="Times New Roman"/>
                      <w:b w:val="0"/>
                      <w:bCs/>
                      <w:color w:val="auto"/>
                      <w:sz w:val="18"/>
                      <w:szCs w:val="18"/>
                      <w:highlight w:val="none"/>
                    </w:rPr>
                    <w:t>重金属利用率低于国内清洁生产先进水平的项目</w:t>
                  </w:r>
                  <w:r>
                    <w:rPr>
                      <w:rFonts w:hint="default" w:ascii="Times New Roman" w:hAnsi="Times New Roman" w:cs="Times New Roman"/>
                      <w:b w:val="0"/>
                      <w:bCs/>
                      <w:color w:val="auto"/>
                      <w:sz w:val="18"/>
                      <w:szCs w:val="18"/>
                      <w:highlight w:val="none"/>
                      <w:lang w:eastAsia="zh-CN"/>
                    </w:rPr>
                    <w:t>，项目生产过程不涉及清洗工序</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kern w:val="0"/>
                <w:szCs w:val="21"/>
                <w:highlight w:val="green"/>
                <w:lang w:val="en-US" w:eastAsia="zh-CN"/>
              </w:rPr>
            </w:pPr>
            <w:r>
              <w:rPr>
                <w:rFonts w:hint="default" w:ascii="Times New Roman" w:hAnsi="Times New Roman" w:cs="Times New Roman"/>
                <w:color w:val="auto"/>
                <w:kern w:val="0"/>
                <w:szCs w:val="21"/>
                <w:highlight w:val="none"/>
                <w:lang w:val="en-US" w:eastAsia="zh-CN"/>
              </w:rPr>
              <w:t>由上表可知，本项目不属于新乡市新能源电池专业园区环境准入负面清单中所列禁止类项目。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auto"/>
                <w:kern w:val="0"/>
                <w:szCs w:val="21"/>
                <w:highlight w:val="green"/>
                <w:lang w:val="en-US" w:eastAsia="zh-CN"/>
              </w:rPr>
            </w:pPr>
            <w:r>
              <w:rPr>
                <w:rFonts w:hint="default" w:ascii="Times New Roman" w:hAnsi="Times New Roman" w:cs="Times New Roman"/>
                <w:color w:val="auto"/>
                <w:kern w:val="0"/>
                <w:szCs w:val="21"/>
                <w:highlight w:val="none"/>
                <w:lang w:val="en-US" w:eastAsia="zh-CN"/>
              </w:rPr>
              <w:t>综上所述，同时对照《新乡市新能源电池专业园发展规划（2022-2035年）——用地规划图（2035年）》（详见附图六），项目占地属于二类工业用地，对照《新乡市新能源电池专业园发展规划（2022-2035年）——功能分区规划图》（详见附图五），项目占地位于新能源电池及配件产业区，另根据新乡市凤泉区产业集聚区管理委员会（新乡市新能源电池专业园是将凤泉区内现有的新乡市新能源电池专业园区和凤泉区产业集聚区统一调整为新乡市新能源电池专业园区，其管理部门为原新乡市凤泉区产业集聚区管理委员会）出具的证明，项目选址符合集聚区总体规划、产业发展规划和土地利用规划要求。项目不属于新乡市新能源电池专业园区建设项目环境保护准入条件中的限制类和禁止类项目，不属于环境准入负面清单禁止类项目，本项目符合园区准入条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其他符合性分析</w:t>
            </w:r>
          </w:p>
        </w:tc>
        <w:tc>
          <w:tcPr>
            <w:tcW w:w="3875" w:type="pct"/>
            <w:gridSpan w:val="3"/>
            <w:noWrap w:val="0"/>
            <w:vAlign w:val="center"/>
          </w:tcPr>
          <w:p>
            <w:pPr>
              <w:pStyle w:val="2"/>
              <w:keepNext/>
              <w:keepLines w:val="0"/>
              <w:pageBreakBefore w:val="0"/>
              <w:widowControl w:val="0"/>
              <w:kinsoku/>
              <w:wordWrap/>
              <w:overflowPunct w:val="0"/>
              <w:topLinePunct w:val="0"/>
              <w:autoSpaceDE/>
              <w:autoSpaceDN/>
              <w:bidi w:val="0"/>
              <w:adjustRightInd/>
              <w:snapToGrid w:val="0"/>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项目与备案的相符性分析</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本项目由</w:t>
            </w:r>
            <w:r>
              <w:rPr>
                <w:rFonts w:hint="default" w:ascii="Times New Roman" w:hAnsi="Times New Roman" w:cs="Times New Roman"/>
                <w:color w:val="auto"/>
                <w:highlight w:val="none"/>
                <w:lang w:eastAsia="zh-CN"/>
              </w:rPr>
              <w:t>新乡市凤泉区发展和改革委员会</w:t>
            </w:r>
            <w:r>
              <w:rPr>
                <w:rFonts w:hint="default" w:ascii="Times New Roman" w:hAnsi="Times New Roman" w:cs="Times New Roman"/>
                <w:color w:val="auto"/>
                <w:highlight w:val="none"/>
              </w:rPr>
              <w:t>备案，项目代码为</w:t>
            </w:r>
            <w:r>
              <w:rPr>
                <w:rFonts w:hint="eastAsia" w:cs="Times New Roman"/>
                <w:color w:val="auto"/>
                <w:sz w:val="21"/>
                <w:szCs w:val="21"/>
                <w:highlight w:val="none"/>
                <w:lang w:val="en-US" w:eastAsia="zh-CN"/>
              </w:rPr>
              <w:t>xxxx</w:t>
            </w:r>
            <w:r>
              <w:rPr>
                <w:rFonts w:hint="default" w:ascii="Times New Roman" w:hAnsi="Times New Roman" w:cs="Times New Roman"/>
                <w:color w:val="auto"/>
                <w:highlight w:val="none"/>
              </w:rPr>
              <w:t>，项目与备案的详细对比如下：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项目备案相符性分析一览表</w:t>
            </w:r>
          </w:p>
          <w:tbl>
            <w:tblPr>
              <w:tblStyle w:val="22"/>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8"/>
              <w:gridCol w:w="615"/>
              <w:gridCol w:w="2199"/>
              <w:gridCol w:w="2200"/>
              <w:gridCol w:w="135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623"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备案</w:t>
                  </w:r>
                  <w:r>
                    <w:rPr>
                      <w:rFonts w:hint="default" w:ascii="Times New Roman" w:hAnsi="Times New Roman" w:cs="Times New Roman"/>
                      <w:color w:val="auto"/>
                      <w:highlight w:val="none"/>
                      <w:lang w:eastAsia="zh-CN"/>
                    </w:rPr>
                    <w:t>情况</w:t>
                  </w:r>
                </w:p>
              </w:tc>
              <w:tc>
                <w:tcPr>
                  <w:tcW w:w="1624"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w:t>
                  </w:r>
                  <w:r>
                    <w:rPr>
                      <w:rFonts w:hint="default" w:ascii="Times New Roman" w:hAnsi="Times New Roman" w:cs="Times New Roman"/>
                      <w:color w:val="auto"/>
                      <w:highlight w:val="none"/>
                    </w:rPr>
                    <w:t>项目情况</w:t>
                  </w:r>
                </w:p>
              </w:tc>
              <w:tc>
                <w:tcPr>
                  <w:tcW w:w="100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p>
              </w:tc>
              <w:tc>
                <w:tcPr>
                  <w:tcW w:w="1623"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新乡市盛宏合成材料有限公司</w:t>
                  </w:r>
                </w:p>
              </w:tc>
              <w:tc>
                <w:tcPr>
                  <w:tcW w:w="1624"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新乡市盛宏合成材料有限公司</w:t>
                  </w:r>
                </w:p>
              </w:tc>
              <w:tc>
                <w:tcPr>
                  <w:tcW w:w="100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9"/>
                    <w:bidi w:val="0"/>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建设项目</w:t>
                  </w:r>
                </w:p>
              </w:tc>
              <w:tc>
                <w:tcPr>
                  <w:tcW w:w="1623" w:type="pct"/>
                  <w:noWrap w:val="0"/>
                  <w:vAlign w:val="center"/>
                </w:tcPr>
                <w:p>
                  <w:pPr>
                    <w:pStyle w:val="59"/>
                    <w:bidi w:val="0"/>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年产100吨塑料制品及其他塑料零件项目</w:t>
                  </w:r>
                </w:p>
              </w:tc>
              <w:tc>
                <w:tcPr>
                  <w:tcW w:w="1624" w:type="pct"/>
                  <w:noWrap w:val="0"/>
                  <w:vAlign w:val="center"/>
                </w:tcPr>
                <w:p>
                  <w:pPr>
                    <w:pStyle w:val="59"/>
                    <w:bidi w:val="0"/>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年产100吨塑料制品及其他塑料零件项目</w:t>
                  </w:r>
                </w:p>
              </w:tc>
              <w:tc>
                <w:tcPr>
                  <w:tcW w:w="1003" w:type="pct"/>
                  <w:noWrap w:val="0"/>
                  <w:vAlign w:val="center"/>
                </w:tcPr>
                <w:p>
                  <w:pPr>
                    <w:pStyle w:val="59"/>
                    <w:bidi w:val="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1623"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新乡市凤泉区陈堡工业区</w:t>
                  </w:r>
                </w:p>
              </w:tc>
              <w:tc>
                <w:tcPr>
                  <w:tcW w:w="1624"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新乡市凤泉区陈堡工业区</w:t>
                  </w:r>
                </w:p>
              </w:tc>
              <w:tc>
                <w:tcPr>
                  <w:tcW w:w="100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4" w:type="pct"/>
                  <w:vMerge w:val="restart"/>
                  <w:tcBorders>
                    <w:right w:val="single" w:color="auto" w:sz="4" w:space="0"/>
                  </w:tcBorders>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w:t>
                  </w:r>
                </w:p>
              </w:tc>
              <w:tc>
                <w:tcPr>
                  <w:tcW w:w="454" w:type="pct"/>
                  <w:tcBorders>
                    <w:left w:val="single" w:color="auto" w:sz="4" w:space="0"/>
                  </w:tcBorders>
                  <w:noWrap w:val="0"/>
                  <w:vAlign w:val="center"/>
                </w:tcPr>
                <w:p>
                  <w:pPr>
                    <w:pStyle w:val="5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主要生产工艺</w:t>
                  </w:r>
                </w:p>
              </w:tc>
              <w:tc>
                <w:tcPr>
                  <w:tcW w:w="1623" w:type="pct"/>
                  <w:noWrap w:val="0"/>
                  <w:vAlign w:val="center"/>
                </w:tcPr>
                <w:p>
                  <w:pPr>
                    <w:pStyle w:val="59"/>
                    <w:numPr>
                      <w:ilvl w:val="0"/>
                      <w:numId w:val="0"/>
                    </w:numPr>
                    <w:bidi w:val="0"/>
                    <w:ind w:left="0" w:leftChars="0"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上料、熔融、注塑成型、冷却脱模、破碎、包装</w:t>
                  </w:r>
                </w:p>
              </w:tc>
              <w:tc>
                <w:tcPr>
                  <w:tcW w:w="1624"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上料、加热熔融、注塑成型、冷却脱模、破碎、检验包装</w:t>
                  </w:r>
                </w:p>
              </w:tc>
              <w:tc>
                <w:tcPr>
                  <w:tcW w:w="1003"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基本</w:t>
                  </w:r>
                  <w:r>
                    <w:rPr>
                      <w:rFonts w:hint="default" w:ascii="Times New Roman" w:hAnsi="Times New Roman" w:cs="Times New Roman"/>
                      <w:color w:val="auto"/>
                      <w:highlight w:val="none"/>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4" w:type="pct"/>
                  <w:vMerge w:val="continue"/>
                  <w:tcBorders>
                    <w:right w:val="single" w:color="auto" w:sz="4" w:space="0"/>
                  </w:tcBorders>
                  <w:noWrap w:val="0"/>
                  <w:vAlign w:val="center"/>
                </w:tcPr>
                <w:p>
                  <w:pPr>
                    <w:pStyle w:val="59"/>
                    <w:bidi w:val="0"/>
                    <w:rPr>
                      <w:rFonts w:hint="default" w:ascii="Times New Roman" w:hAnsi="Times New Roman" w:cs="Times New Roman"/>
                      <w:color w:val="auto"/>
                      <w:highlight w:val="none"/>
                    </w:rPr>
                  </w:pPr>
                </w:p>
              </w:tc>
              <w:tc>
                <w:tcPr>
                  <w:tcW w:w="454" w:type="pct"/>
                  <w:tcBorders>
                    <w:left w:val="single" w:color="auto" w:sz="4" w:space="0"/>
                  </w:tcBorders>
                  <w:noWrap w:val="0"/>
                  <w:vAlign w:val="center"/>
                </w:tcPr>
                <w:p>
                  <w:pPr>
                    <w:pStyle w:val="59"/>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主要生产设备</w:t>
                  </w:r>
                </w:p>
              </w:tc>
              <w:tc>
                <w:tcPr>
                  <w:tcW w:w="1623"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注塑机、破碎机机辅助设施等</w:t>
                  </w:r>
                </w:p>
              </w:tc>
              <w:tc>
                <w:tcPr>
                  <w:tcW w:w="1624"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注塑机、破碎机、空压机等辅助设施</w:t>
                  </w:r>
                </w:p>
              </w:tc>
              <w:tc>
                <w:tcPr>
                  <w:tcW w:w="1003"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48" w:type="pct"/>
                  <w:gridSpan w:val="2"/>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投资</w:t>
                  </w:r>
                </w:p>
              </w:tc>
              <w:tc>
                <w:tcPr>
                  <w:tcW w:w="1623"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500万元</w:t>
                  </w:r>
                </w:p>
              </w:tc>
              <w:tc>
                <w:tcPr>
                  <w:tcW w:w="1624" w:type="pct"/>
                  <w:noWrap w:val="0"/>
                  <w:vAlign w:val="center"/>
                </w:tcPr>
                <w:p>
                  <w:pPr>
                    <w:pStyle w:val="59"/>
                    <w:bidi w:val="0"/>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500万元</w:t>
                  </w:r>
                </w:p>
              </w:tc>
              <w:tc>
                <w:tcPr>
                  <w:tcW w:w="100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相符</w:t>
                  </w:r>
                </w:p>
              </w:tc>
            </w:tr>
          </w:tbl>
          <w:p>
            <w:pPr>
              <w:keepNext w:val="0"/>
              <w:keepLines w:val="0"/>
              <w:pageBreakBefore w:val="0"/>
              <w:widowControl w:val="0"/>
              <w:kinsoku/>
              <w:wordWrap/>
              <w:overflowPunct/>
              <w:topLinePunct w:val="0"/>
              <w:bidi w:val="0"/>
              <w:adjustRightInd/>
              <w:snapToGrid/>
              <w:spacing w:line="360" w:lineRule="auto"/>
              <w:ind w:right="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w:t>
            </w:r>
            <w:r>
              <w:rPr>
                <w:rFonts w:hint="default" w:ascii="Times New Roman" w:hAnsi="Times New Roman" w:cs="Times New Roman"/>
                <w:color w:val="auto"/>
                <w:highlight w:val="none"/>
                <w:lang w:eastAsia="zh-CN"/>
              </w:rPr>
              <w:t>建设单位、建设项目、建设地点</w:t>
            </w:r>
            <w:r>
              <w:rPr>
                <w:rFonts w:hint="default" w:ascii="Times New Roman" w:hAnsi="Times New Roman" w:cs="Times New Roman"/>
                <w:color w:val="auto"/>
                <w:highlight w:val="none"/>
              </w:rPr>
              <w:t>及主要</w:t>
            </w:r>
            <w:r>
              <w:rPr>
                <w:rFonts w:hint="default" w:ascii="Times New Roman" w:hAnsi="Times New Roman" w:cs="Times New Roman"/>
                <w:color w:val="auto"/>
                <w:highlight w:val="none"/>
                <w:lang w:eastAsia="zh-CN"/>
              </w:rPr>
              <w:t>建设内容</w:t>
            </w:r>
            <w:r>
              <w:rPr>
                <w:rFonts w:hint="default" w:ascii="Times New Roman" w:hAnsi="Times New Roman" w:cs="Times New Roman"/>
                <w:color w:val="auto"/>
                <w:highlight w:val="none"/>
              </w:rPr>
              <w:t>等均与发改委备案基本一致。</w:t>
            </w:r>
          </w:p>
          <w:p>
            <w:pPr>
              <w:pStyle w:val="2"/>
              <w:keepNext/>
              <w:keepLines w:val="0"/>
              <w:pageBreakBefore w:val="0"/>
              <w:widowControl w:val="0"/>
              <w:kinsoku/>
              <w:wordWrap/>
              <w:overflowPunct w:val="0"/>
              <w:topLinePunct w:val="0"/>
              <w:autoSpaceDE/>
              <w:autoSpaceDN/>
              <w:bidi w:val="0"/>
              <w:adjustRightInd/>
              <w:snapToGrid w:val="0"/>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与《产业结构调整指导目录（201</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年本）》相符性分析</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420" w:firstLineChars="200"/>
              <w:textAlignment w:val="auto"/>
              <w:outlineLvl w:val="9"/>
              <w:rPr>
                <w:rFonts w:hint="default" w:ascii="Times New Roman" w:hAnsi="Times New Roman" w:cs="Times New Roman"/>
                <w:b w:val="0"/>
                <w:bCs w:val="0"/>
                <w:color w:val="auto"/>
                <w:sz w:val="21"/>
                <w:szCs w:val="21"/>
                <w:highlight w:val="green"/>
                <w:u w:val="none"/>
                <w:lang w:eastAsia="zh-CN"/>
              </w:rPr>
            </w:pPr>
            <w:r>
              <w:rPr>
                <w:rFonts w:hint="default" w:ascii="Times New Roman" w:hAnsi="Times New Roman" w:cs="Times New Roman"/>
                <w:b w:val="0"/>
                <w:bCs w:val="0"/>
                <w:color w:val="auto"/>
                <w:sz w:val="21"/>
                <w:szCs w:val="21"/>
                <w:highlight w:val="none"/>
                <w:u w:val="none"/>
                <w:lang w:eastAsia="zh-CN"/>
              </w:rPr>
              <w:t>本项目属塑料制品业，产品主要为锂电池密封圈和牙线棒，对照《市场准入负面清单2022年版》（发改体改规〔2022〕397号），项目产品不在市场准入负面清单中禁止准入范围内，其产品、技术、工艺、设备等也不属于《产业结构调整指导目录（2019年本）》中鼓励类、淘汰类和限制类，为允许类项目，且目前已通过新乡市凤泉区发展和改革委员会备案，符合国家有关产业政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Cs w:val="24"/>
                <w:highlight w:val="none"/>
                <w:u w:val="none"/>
                <w:lang w:val="en-US" w:eastAsia="zh-CN"/>
              </w:rPr>
            </w:pPr>
            <w:r>
              <w:rPr>
                <w:rFonts w:hint="default" w:ascii="Times New Roman" w:hAnsi="Times New Roman" w:cs="Times New Roman"/>
                <w:b/>
                <w:bCs/>
                <w:color w:val="auto"/>
                <w:szCs w:val="24"/>
                <w:highlight w:val="none"/>
                <w:u w:val="none"/>
                <w:lang w:val="en-US" w:eastAsia="zh-CN"/>
              </w:rPr>
              <w:t>3、与《新乡市深入打好秋冬季重污染天气消除、夏季臭氧污染防治和柴油货车污染治理攻坚战行动方案》（新环攻坚办〔2023〕73号）对比分析</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与《新环攻坚办〔2023〕73号》对比分析一览表</w:t>
            </w:r>
          </w:p>
          <w:tbl>
            <w:tblPr>
              <w:tblStyle w:val="22"/>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496"/>
              <w:gridCol w:w="1978"/>
              <w:gridCol w:w="6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46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对照情况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秋冬季重污染天气消除攻坚战</w:t>
                  </w:r>
                  <w:r>
                    <w:rPr>
                      <w:rFonts w:hint="default" w:ascii="Times New Roman" w:hAnsi="Times New Roman" w:cs="Times New Roman"/>
                      <w:color w:val="auto"/>
                      <w:sz w:val="18"/>
                      <w:szCs w:val="18"/>
                      <w:highlight w:val="none"/>
                      <w:lang w:eastAsia="zh-CN"/>
                    </w:rPr>
                    <w:t>实施</w:t>
                  </w:r>
                  <w:r>
                    <w:rPr>
                      <w:rFonts w:hint="default" w:ascii="Times New Roman" w:hAnsi="Times New Roman" w:cs="Times New Roman"/>
                      <w:color w:val="auto"/>
                      <w:sz w:val="18"/>
                      <w:szCs w:val="18"/>
                      <w:highlight w:val="none"/>
                    </w:rPr>
                    <w:t>方案</w:t>
                  </w:r>
                </w:p>
              </w:tc>
              <w:tc>
                <w:tcPr>
                  <w:tcW w:w="25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二、大气减污降碳协同增效行动</w:t>
                  </w:r>
                </w:p>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eastAsia="zh-CN"/>
                    </w:rPr>
                    <w:t>）加快产业结构优化调整</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遏制“两高”项目盲目发展。严格落实国家</w:t>
                  </w:r>
                  <w:r>
                    <w:rPr>
                      <w:rFonts w:hint="default" w:ascii="Times New Roman" w:hAnsi="Times New Roman" w:cs="Times New Roman"/>
                      <w:color w:val="auto"/>
                      <w:sz w:val="18"/>
                      <w:szCs w:val="18"/>
                      <w:highlight w:val="none"/>
                      <w:lang w:eastAsia="zh-CN"/>
                    </w:rPr>
                    <w:t>、省</w:t>
                  </w:r>
                  <w:r>
                    <w:rPr>
                      <w:rFonts w:hint="default" w:ascii="Times New Roman" w:hAnsi="Times New Roman" w:eastAsia="宋体" w:cs="Times New Roman"/>
                      <w:color w:val="auto"/>
                      <w:sz w:val="18"/>
                      <w:szCs w:val="18"/>
                      <w:highlight w:val="none"/>
                      <w:lang w:eastAsia="zh-CN"/>
                    </w:rPr>
                    <w:t>产业规划、产业政策、“三线一单”、规划环评，以及产能置换、煤炭消费减量替代、区域污染物削减等要求，严把高耗能、高排放、低水平项目准入关口。</w:t>
                  </w:r>
                  <w:r>
                    <w:rPr>
                      <w:rFonts w:hint="default" w:ascii="Times New Roman" w:hAnsi="Times New Roman" w:cs="Times New Roman"/>
                      <w:color w:val="auto"/>
                      <w:sz w:val="18"/>
                      <w:szCs w:val="18"/>
                      <w:highlight w:val="none"/>
                      <w:lang w:eastAsia="zh-CN"/>
                    </w:rPr>
                    <w:t>全市</w:t>
                  </w:r>
                  <w:r>
                    <w:rPr>
                      <w:rFonts w:hint="default" w:ascii="Times New Roman" w:hAnsi="Times New Roman" w:eastAsia="宋体" w:cs="Times New Roman"/>
                      <w:color w:val="auto"/>
                      <w:sz w:val="18"/>
                      <w:szCs w:val="18"/>
                      <w:highlight w:val="none"/>
                      <w:lang w:eastAsia="zh-CN"/>
                    </w:rPr>
                    <w:t>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新建、改建、扩建项目大宗货物年货运量150万吨及以上的，原则上要接入铁路专用线或管道；具有铁路专用线的，大宗货物铁路运输比例应达到80%以上。</w:t>
                  </w:r>
                </w:p>
              </w:tc>
              <w:tc>
                <w:tcPr>
                  <w:tcW w:w="146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cs="Times New Roman"/>
                      <w:color w:val="auto"/>
                      <w:spacing w:val="-4"/>
                      <w:sz w:val="18"/>
                      <w:szCs w:val="18"/>
                      <w:highlight w:val="none"/>
                      <w:lang w:val="en-US" w:eastAsia="zh-CN"/>
                    </w:rPr>
                    <w:t>经对照</w:t>
                  </w:r>
                  <w:r>
                    <w:rPr>
                      <w:rFonts w:hint="default" w:ascii="Times New Roman" w:hAnsi="Times New Roman" w:cs="Times New Roman"/>
                      <w:b w:val="0"/>
                      <w:bCs w:val="0"/>
                      <w:i w:val="0"/>
                      <w:iCs w:val="0"/>
                      <w:color w:val="auto"/>
                      <w:sz w:val="18"/>
                      <w:szCs w:val="18"/>
                      <w:highlight w:val="none"/>
                      <w:u w:val="none"/>
                      <w:lang w:val="en-US" w:eastAsia="zh-CN"/>
                    </w:rPr>
                    <w:t>《河南省“两高”项目管理目录（2023年修订）》</w:t>
                  </w:r>
                  <w:r>
                    <w:rPr>
                      <w:rFonts w:hint="default" w:ascii="Times New Roman" w:hAnsi="Times New Roman" w:cs="Times New Roman"/>
                      <w:color w:val="auto"/>
                      <w:spacing w:val="-4"/>
                      <w:sz w:val="18"/>
                      <w:szCs w:val="18"/>
                      <w:highlight w:val="none"/>
                      <w:lang w:val="en-US" w:eastAsia="zh-CN"/>
                    </w:rPr>
                    <w:t>，本项目不属于“两高”类项目。本项目不属于</w:t>
                  </w:r>
                  <w:r>
                    <w:rPr>
                      <w:rFonts w:hint="default" w:ascii="Times New Roman" w:hAnsi="Times New Roman" w:eastAsia="宋体" w:cs="Times New Roman"/>
                      <w:color w:val="auto"/>
                      <w:sz w:val="18"/>
                      <w:szCs w:val="18"/>
                      <w:highlight w:val="none"/>
                      <w:lang w:eastAsia="zh-CN"/>
                    </w:rPr>
                    <w:t>禁止新增</w:t>
                  </w:r>
                  <w:r>
                    <w:rPr>
                      <w:rFonts w:hint="default" w:ascii="Times New Roman" w:hAnsi="Times New Roman" w:cs="Times New Roman"/>
                      <w:color w:val="auto"/>
                      <w:sz w:val="18"/>
                      <w:szCs w:val="18"/>
                      <w:highlight w:val="none"/>
                      <w:lang w:eastAsia="zh-CN"/>
                    </w:rPr>
                    <w:t>行业产能项目。本项目属于新建塑料制品业，建成后达到《河南省重污染天气重点行业应急减排措施制定技术指南（2021年修订版）》中“六、塑料制品”类</w:t>
                  </w:r>
                  <w:r>
                    <w:rPr>
                      <w:rFonts w:hint="default" w:ascii="Times New Roman" w:hAnsi="Times New Roman" w:cs="Times New Roman"/>
                      <w:color w:val="auto"/>
                      <w:sz w:val="18"/>
                      <w:szCs w:val="18"/>
                      <w:highlight w:val="none"/>
                      <w:lang w:val="en-US" w:eastAsia="zh-CN"/>
                    </w:rPr>
                    <w:t>A级要求。本项目不涉及</w:t>
                  </w:r>
                  <w:r>
                    <w:rPr>
                      <w:rFonts w:hint="default" w:ascii="Times New Roman" w:hAnsi="Times New Roman" w:eastAsia="宋体" w:cs="Times New Roman"/>
                      <w:color w:val="auto"/>
                      <w:sz w:val="18"/>
                      <w:szCs w:val="18"/>
                      <w:highlight w:val="none"/>
                      <w:lang w:eastAsia="zh-CN"/>
                    </w:rPr>
                    <w:t>大宗货物运输。</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p>
              </w:tc>
              <w:tc>
                <w:tcPr>
                  <w:tcW w:w="2581" w:type="pct"/>
                  <w:noWrap w:val="0"/>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重污染天气联合应对行动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提升污染源监测监控能力。全面落实排污许可发证单位自行监测及信息公开制度，持续推进污染源自动监控设施建设</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大气环境重点排污单位、排污许可证载明实施自动监测的排污单位，应依法安装自动监控设施，并与生态环境部门联网和规范稳定运行。根据空气质量改善需要，</w:t>
                  </w:r>
                  <w:r>
                    <w:rPr>
                      <w:rFonts w:hint="default" w:ascii="Times New Roman" w:hAnsi="Times New Roman" w:cs="Times New Roman"/>
                      <w:color w:val="auto"/>
                      <w:sz w:val="18"/>
                      <w:szCs w:val="18"/>
                      <w:highlight w:val="none"/>
                      <w:lang w:eastAsia="zh-CN"/>
                    </w:rPr>
                    <w:t>必要时</w:t>
                  </w:r>
                  <w:r>
                    <w:rPr>
                      <w:rFonts w:hint="default" w:ascii="Times New Roman" w:hAnsi="Times New Roman" w:cs="Times New Roman"/>
                      <w:color w:val="auto"/>
                      <w:sz w:val="18"/>
                      <w:szCs w:val="18"/>
                      <w:highlight w:val="none"/>
                    </w:rPr>
                    <w:t>可</w:t>
                  </w:r>
                  <w:r>
                    <w:rPr>
                      <w:rFonts w:hint="default" w:ascii="Times New Roman" w:hAnsi="Times New Roman" w:cs="Times New Roman"/>
                      <w:color w:val="auto"/>
                      <w:sz w:val="18"/>
                      <w:szCs w:val="18"/>
                      <w:highlight w:val="none"/>
                      <w:lang w:eastAsia="zh-CN"/>
                    </w:rPr>
                    <w:t>酌情</w:t>
                  </w:r>
                  <w:r>
                    <w:rPr>
                      <w:rFonts w:hint="default" w:ascii="Times New Roman" w:hAnsi="Times New Roman" w:cs="Times New Roman"/>
                      <w:color w:val="auto"/>
                      <w:sz w:val="18"/>
                      <w:szCs w:val="18"/>
                      <w:highlight w:val="none"/>
                    </w:rPr>
                    <w:t>扩大自动监控设施安装联网范围和增加监测因子，并将自动监测要求载入排污许可证。大力推进涉气排污单位自动监控设施数据采集传输系统升级改造，确保监控数据传输稳定性和准确性。持续推进用电量监控、视频监控能力提升，强化生产状况、污染治理设施运行情况和污染排放联合监控。加强电力、水泥等重点行业氨逃逸监测监管。</w:t>
                  </w:r>
                </w:p>
              </w:tc>
              <w:tc>
                <w:tcPr>
                  <w:tcW w:w="146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cs="Times New Roman"/>
                      <w:color w:val="auto"/>
                      <w:spacing w:val="-4"/>
                      <w:sz w:val="18"/>
                      <w:szCs w:val="18"/>
                      <w:highlight w:val="none"/>
                      <w:lang w:val="en-US" w:eastAsia="zh-CN"/>
                    </w:rPr>
                    <w:t>本项目建成后将按照《排污单位自行监测技术指南 橡胶和塑料制品》（HJ 1207—2021）要求开展自行监测，并按照要求安装用电监控、视频监控等设施。</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夏季臭氧污染防治攻坚战行动方案</w:t>
                  </w:r>
                </w:p>
              </w:tc>
              <w:tc>
                <w:tcPr>
                  <w:tcW w:w="2581" w:type="pct"/>
                  <w:noWrap w:val="0"/>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含VOCs原辅材料源头替代行动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推进</w:t>
                  </w:r>
                  <w:r>
                    <w:rPr>
                      <w:rFonts w:hint="default" w:ascii="Times New Roman" w:hAnsi="Times New Roman" w:cs="Times New Roman"/>
                      <w:color w:val="auto"/>
                      <w:sz w:val="18"/>
                      <w:szCs w:val="18"/>
                      <w:highlight w:val="none"/>
                    </w:rPr>
                    <w:t>实施低VOCs含量原辅材料替代。全面排查使用涂料、油墨、胶粘剂、清洗剂等原辅材料的企业，摸清涉 VOCs 产品类型、原辅材料使用量，建立清单台账，每年指导企业制定低 VOCs原辅材料替代计划。工程机械制造、家具制造、钢结构、包装印刷、制鞋、人造板及其他含涂装工序行业，按照“可替尽替、应代尽代”的原则，全面推进使用低VOCs原辅材料；房屋建筑和市政工程全面推广使用低VOCs含量涂料和胶粘剂，除特殊功能要求外，室内地坪施工、室外构筑物防护和城市道路交通标志基本使用低VOCs含量涂料。城市建成区严格控制生产和使用溶剂型涂料、油墨、胶粘剂、清洗剂等建设项目。原辅材料VOCs含量应满足低VOCs原辅材料含量限值（附表1）</w:t>
                  </w:r>
                </w:p>
              </w:tc>
              <w:tc>
                <w:tcPr>
                  <w:tcW w:w="1461" w:type="pct"/>
                  <w:noWrap w:val="0"/>
                  <w:vAlign w:val="center"/>
                </w:tcPr>
                <w:p>
                  <w:pPr>
                    <w:keepNext w:val="0"/>
                    <w:keepLines w:val="0"/>
                    <w:pageBreakBefore w:val="0"/>
                    <w:widowControl w:val="0"/>
                    <w:kinsoku/>
                    <w:wordWrap w:val="0"/>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eastAsia="宋体" w:cs="Times New Roman"/>
                      <w:color w:val="auto"/>
                      <w:spacing w:val="-4"/>
                      <w:sz w:val="18"/>
                      <w:szCs w:val="18"/>
                      <w:highlight w:val="none"/>
                      <w:lang w:val="en-US" w:eastAsia="zh-CN"/>
                    </w:rPr>
                    <w:t>本项目涉及的</w:t>
                  </w:r>
                  <w:r>
                    <w:rPr>
                      <w:rFonts w:hint="default" w:ascii="Times New Roman" w:hAnsi="Times New Roman" w:cs="Times New Roman"/>
                      <w:color w:val="auto"/>
                      <w:sz w:val="18"/>
                      <w:szCs w:val="18"/>
                      <w:highlight w:val="none"/>
                    </w:rPr>
                    <w:t>含VOCs原辅材料</w:t>
                  </w:r>
                  <w:r>
                    <w:rPr>
                      <w:rFonts w:hint="default" w:ascii="Times New Roman" w:hAnsi="Times New Roman" w:cs="Times New Roman"/>
                      <w:color w:val="auto"/>
                      <w:sz w:val="18"/>
                      <w:szCs w:val="18"/>
                      <w:highlight w:val="none"/>
                      <w:lang w:eastAsia="zh-CN"/>
                    </w:rPr>
                    <w:t>主要为</w:t>
                  </w:r>
                  <w:r>
                    <w:rPr>
                      <w:rFonts w:hint="default" w:ascii="Times New Roman" w:hAnsi="Times New Roman" w:cs="Times New Roman"/>
                      <w:color w:val="auto"/>
                      <w:sz w:val="18"/>
                      <w:szCs w:val="18"/>
                      <w:highlight w:val="none"/>
                      <w:lang w:val="en-US" w:eastAsia="zh-CN"/>
                    </w:rPr>
                    <w:t>PA66尼龙</w:t>
                  </w:r>
                  <w:r>
                    <w:rPr>
                      <w:rFonts w:hint="default" w:ascii="Times New Roman" w:hAnsi="Times New Roman" w:cs="Times New Roman" w:eastAsiaTheme="minorEastAsia"/>
                      <w:color w:val="auto"/>
                      <w:sz w:val="18"/>
                      <w:szCs w:val="18"/>
                      <w:highlight w:val="none"/>
                      <w:lang w:val="en-US" w:eastAsia="zh-CN"/>
                    </w:rPr>
                    <w:t>等塑料颗粒，均属于固体颗粒，不易挥发，项目生产过程不涉及使用</w:t>
                  </w:r>
                  <w:r>
                    <w:rPr>
                      <w:rFonts w:hint="default" w:ascii="Times New Roman" w:hAnsi="Times New Roman" w:cs="Times New Roman"/>
                      <w:color w:val="auto"/>
                      <w:sz w:val="18"/>
                      <w:szCs w:val="18"/>
                      <w:highlight w:val="none"/>
                    </w:rPr>
                    <w:t>涂料、油墨、胶粘剂、清洗剂等原辅材料</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2581" w:type="pct"/>
                  <w:noWrap w:val="0"/>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VOCs污染治理达标行动</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持续开展</w:t>
                  </w:r>
                  <w:r>
                    <w:rPr>
                      <w:rFonts w:hint="default" w:ascii="Times New Roman" w:hAnsi="Times New Roman" w:cs="Times New Roman"/>
                      <w:color w:val="auto"/>
                      <w:sz w:val="18"/>
                      <w:szCs w:val="18"/>
                      <w:highlight w:val="none"/>
                      <w:lang w:val="en-US" w:eastAsia="zh-CN"/>
                    </w:rPr>
                    <w:t>VOCs治理设施提级增效</w:t>
                  </w:r>
                  <w:r>
                    <w:rPr>
                      <w:rFonts w:hint="default" w:ascii="Times New Roman" w:hAnsi="Times New Roman" w:cs="Times New Roman"/>
                      <w:color w:val="auto"/>
                      <w:sz w:val="18"/>
                      <w:szCs w:val="18"/>
                      <w:highlight w:val="none"/>
                      <w:lang w:eastAsia="zh-CN"/>
                    </w:rPr>
                    <w:t>。全面排查VOCs治理设施，动态更新治理设施清单台账，分析治理技术与VOCs废气排放特征、组分等匹配性。低浓度、大风量有机废气，采用沸石转轮吸附、活性炭吸附、减风增浓等浓缩技术，提高VOCs浓度后采用高温焚烧、催化燃烧等技术；高浓度废气，优先进行溶剂回收预处理，难以回收的，采用高温焚烧、催化燃烧等技术。采用催化燃烧工艺的企业使用合格的催化剂并足额添加，高温焚烧温度不低于760摄氏度，催化燃烧装置燃烧温度不低于300摄氏度，相关温度参数自动记录存储，储存时间不少于1年。采用活性炭吸附工艺的，原则上VOCs产生浓度不超过300毫克/立方米，废气中涉及颗粒物、油烟（油雾）、水分等影响吸附过程物质的，应采取相应的预处理措施，颗粒状、柱状活性炭碘值不低于800毫克/克，蜂窝状活性炭碘值不低于650毫克/克，活性炭填充量、更换频次满足环评要求，活性炭购买发票、更换记录、碘值报告等支撑材料保存3年以上；每年开展活性炭监督抽查，每年夏季对活性炭质量进行抽检，对活性炭质量不合格的企业依法追究责任。</w:t>
                  </w:r>
                </w:p>
              </w:tc>
              <w:tc>
                <w:tcPr>
                  <w:tcW w:w="146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eastAsia="宋体" w:cs="Times New Roman"/>
                      <w:color w:val="auto"/>
                      <w:spacing w:val="-4"/>
                      <w:sz w:val="18"/>
                      <w:szCs w:val="18"/>
                      <w:highlight w:val="none"/>
                      <w:lang w:val="en-US" w:eastAsia="zh-CN"/>
                    </w:rPr>
                    <w:t>工程产VOCs工段主要为挤塑工序</w:t>
                  </w:r>
                  <w:r>
                    <w:rPr>
                      <w:rFonts w:hint="default" w:ascii="Times New Roman" w:hAnsi="Times New Roman" w:cs="Times New Roman"/>
                      <w:color w:val="auto"/>
                      <w:spacing w:val="-4"/>
                      <w:sz w:val="18"/>
                      <w:szCs w:val="18"/>
                      <w:highlight w:val="none"/>
                      <w:lang w:val="en-US" w:eastAsia="zh-CN"/>
                    </w:rPr>
                    <w:t>，</w:t>
                  </w:r>
                  <w:r>
                    <w:rPr>
                      <w:rFonts w:hint="default" w:ascii="Times New Roman" w:hAnsi="Times New Roman" w:cs="Times New Roman" w:eastAsiaTheme="minorEastAsia"/>
                      <w:color w:val="auto"/>
                      <w:sz w:val="18"/>
                      <w:szCs w:val="18"/>
                      <w:highlight w:val="none"/>
                      <w:lang w:eastAsia="zh-CN"/>
                    </w:rPr>
                    <w:t>通过在挤塑机挤出口等产污点上方设置集气罩进行收集后</w:t>
                  </w:r>
                  <w:r>
                    <w:rPr>
                      <w:rFonts w:hint="default" w:ascii="Times New Roman" w:hAnsi="Times New Roman" w:cs="Times New Roman"/>
                      <w:color w:val="auto"/>
                      <w:spacing w:val="-4"/>
                      <w:sz w:val="18"/>
                      <w:szCs w:val="18"/>
                      <w:highlight w:val="none"/>
                      <w:lang w:val="en-US" w:eastAsia="zh-CN"/>
                    </w:rPr>
                    <w:t>，废气引入1套“UV光催化氧化+活性炭吸附”装置进行处理，工程非甲烷总烃废气产生浓度为低于</w:t>
                  </w:r>
                  <w:r>
                    <w:rPr>
                      <w:rFonts w:hint="default" w:ascii="Times New Roman" w:hAnsi="Times New Roman" w:cs="Times New Roman"/>
                      <w:color w:val="auto"/>
                      <w:sz w:val="18"/>
                      <w:szCs w:val="18"/>
                      <w:highlight w:val="none"/>
                      <w:lang w:eastAsia="zh-CN"/>
                    </w:rPr>
                    <w:t>300毫克/立方米</w:t>
                  </w:r>
                  <w:r>
                    <w:rPr>
                      <w:rFonts w:hint="default" w:ascii="Times New Roman" w:hAnsi="Times New Roman" w:cs="Times New Roman"/>
                      <w:color w:val="auto"/>
                      <w:spacing w:val="-4"/>
                      <w:sz w:val="18"/>
                      <w:szCs w:val="18"/>
                      <w:highlight w:val="none"/>
                      <w:lang w:val="en-US" w:eastAsia="zh-CN"/>
                    </w:rPr>
                    <w:t>，将按照要求采用碘值不低于800</w:t>
                  </w:r>
                  <w:r>
                    <w:rPr>
                      <w:rFonts w:hint="default" w:ascii="Times New Roman" w:hAnsi="Times New Roman" w:cs="Times New Roman"/>
                      <w:color w:val="auto"/>
                      <w:sz w:val="18"/>
                      <w:szCs w:val="18"/>
                      <w:highlight w:val="none"/>
                      <w:lang w:eastAsia="zh-CN"/>
                    </w:rPr>
                    <w:t>毫克/克</w:t>
                  </w:r>
                  <w:r>
                    <w:rPr>
                      <w:rFonts w:hint="default" w:ascii="Times New Roman" w:hAnsi="Times New Roman" w:cs="Times New Roman"/>
                      <w:color w:val="auto"/>
                      <w:spacing w:val="-4"/>
                      <w:sz w:val="18"/>
                      <w:szCs w:val="18"/>
                      <w:highlight w:val="none"/>
                      <w:lang w:val="en-US" w:eastAsia="zh-CN"/>
                    </w:rPr>
                    <w:t>的柱状活性炭，并按照要求进行台账记录和质量抽检。</w:t>
                  </w:r>
                </w:p>
              </w:tc>
              <w:tc>
                <w:tcPr>
                  <w:tcW w:w="5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szCs w:val="24"/>
                <w:highlight w:val="none"/>
                <w:u w:val="none"/>
                <w:lang w:val="en-US" w:eastAsia="zh-CN"/>
              </w:rPr>
            </w:pPr>
            <w:r>
              <w:rPr>
                <w:rFonts w:hint="default" w:ascii="Times New Roman" w:hAnsi="Times New Roman" w:cs="Times New Roman"/>
                <w:b w:val="0"/>
                <w:bCs w:val="0"/>
                <w:color w:val="auto"/>
                <w:szCs w:val="24"/>
                <w:highlight w:val="none"/>
                <w:u w:val="none"/>
                <w:lang w:val="en-US" w:eastAsia="zh-CN"/>
              </w:rPr>
              <w:t>由上表可知，本项目符合《新乡市深入打好秋冬季重污染天气消除、夏季臭氧污染防治和柴油货车污染治理攻坚战行动方案》（新环攻坚办〔2023〕73号）相关要求。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Cs w:val="24"/>
                <w:highlight w:val="none"/>
                <w:u w:val="none"/>
                <w:lang w:val="en-US" w:eastAsia="zh-CN"/>
              </w:rPr>
            </w:pPr>
            <w:r>
              <w:rPr>
                <w:rFonts w:hint="default" w:ascii="Times New Roman" w:hAnsi="Times New Roman" w:cs="Times New Roman"/>
                <w:b/>
                <w:bCs/>
                <w:color w:val="auto"/>
                <w:szCs w:val="24"/>
                <w:highlight w:val="none"/>
                <w:u w:val="none"/>
                <w:lang w:val="en-US" w:eastAsia="zh-CN"/>
              </w:rPr>
              <w:t>4</w:t>
            </w:r>
            <w:r>
              <w:rPr>
                <w:rFonts w:hint="default" w:ascii="Times New Roman" w:hAnsi="Times New Roman" w:eastAsia="宋体" w:cs="Times New Roman"/>
                <w:b/>
                <w:bCs/>
                <w:color w:val="auto"/>
                <w:szCs w:val="24"/>
                <w:highlight w:val="none"/>
                <w:u w:val="none"/>
                <w:lang w:val="en-US" w:eastAsia="zh-CN"/>
              </w:rPr>
              <w:t>、与《</w:t>
            </w:r>
            <w:r>
              <w:rPr>
                <w:rFonts w:hint="default" w:ascii="Times New Roman" w:hAnsi="Times New Roman" w:cs="Times New Roman"/>
                <w:b/>
                <w:bCs/>
                <w:color w:val="auto"/>
                <w:szCs w:val="24"/>
                <w:highlight w:val="none"/>
                <w:u w:val="none"/>
                <w:lang w:val="en-US" w:eastAsia="zh-CN"/>
              </w:rPr>
              <w:t>新乡市</w:t>
            </w:r>
            <w:r>
              <w:rPr>
                <w:rFonts w:hint="default" w:ascii="Times New Roman" w:hAnsi="Times New Roman" w:eastAsia="宋体" w:cs="Times New Roman"/>
                <w:b/>
                <w:bCs/>
                <w:color w:val="auto"/>
                <w:szCs w:val="24"/>
                <w:highlight w:val="none"/>
                <w:u w:val="none"/>
                <w:lang w:val="en-US" w:eastAsia="zh-CN"/>
              </w:rPr>
              <w:t>2023年蓝天保卫战实施方案》的通知》（新环攻坚办（202</w:t>
            </w:r>
            <w:r>
              <w:rPr>
                <w:rFonts w:hint="default" w:ascii="Times New Roman" w:hAnsi="Times New Roman" w:cs="Times New Roman"/>
                <w:b/>
                <w:bCs/>
                <w:color w:val="auto"/>
                <w:szCs w:val="24"/>
                <w:highlight w:val="none"/>
                <w:u w:val="none"/>
                <w:lang w:val="en-US" w:eastAsia="zh-CN"/>
              </w:rPr>
              <w:t>3</w:t>
            </w:r>
            <w:r>
              <w:rPr>
                <w:rFonts w:hint="default" w:ascii="Times New Roman" w:hAnsi="Times New Roman" w:eastAsia="宋体" w:cs="Times New Roman"/>
                <w:b/>
                <w:bCs/>
                <w:color w:val="auto"/>
                <w:szCs w:val="24"/>
                <w:highlight w:val="none"/>
                <w:u w:val="none"/>
                <w:lang w:val="en-US" w:eastAsia="zh-CN"/>
              </w:rPr>
              <w:t>）</w:t>
            </w:r>
            <w:r>
              <w:rPr>
                <w:rFonts w:hint="default" w:ascii="Times New Roman" w:hAnsi="Times New Roman" w:cs="Times New Roman"/>
                <w:b/>
                <w:bCs/>
                <w:color w:val="auto"/>
                <w:szCs w:val="24"/>
                <w:highlight w:val="none"/>
                <w:u w:val="none"/>
                <w:lang w:val="en-US" w:eastAsia="zh-CN"/>
              </w:rPr>
              <w:t>77</w:t>
            </w:r>
            <w:r>
              <w:rPr>
                <w:rFonts w:hint="default" w:ascii="Times New Roman" w:hAnsi="Times New Roman" w:eastAsia="宋体" w:cs="Times New Roman"/>
                <w:b/>
                <w:bCs/>
                <w:color w:val="auto"/>
                <w:szCs w:val="24"/>
                <w:highlight w:val="none"/>
                <w:u w:val="none"/>
                <w:lang w:val="en-US" w:eastAsia="zh-CN"/>
              </w:rPr>
              <w:t>号）相符性分析</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与《新环攻坚办（2023）77号》对比分析一览表</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493"/>
              <w:gridCol w:w="1844"/>
              <w:gridCol w:w="7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49" w:type="pct"/>
                  <w:gridSpan w:val="2"/>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36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（五）推进工业企业综合治理</w:t>
                  </w:r>
                </w:p>
              </w:tc>
              <w:tc>
                <w:tcPr>
                  <w:tcW w:w="2578"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18</w:t>
                  </w:r>
                  <w:r>
                    <w:rPr>
                      <w:rFonts w:hint="default" w:ascii="Times New Roman" w:hAnsi="Times New Roman" w:cs="Times New Roman"/>
                      <w:color w:val="auto"/>
                      <w:sz w:val="18"/>
                      <w:szCs w:val="18"/>
                      <w:highlight w:val="none"/>
                      <w:lang w:eastAsia="zh-CN"/>
                    </w:rPr>
                    <w:t>. 实施工业污染排放深度治理。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Pr>
                      <w:rFonts w:hint="default" w:ascii="Times New Roman" w:hAnsi="Times New Roman" w:cs="Times New Roman"/>
                      <w:color w:val="auto"/>
                      <w:sz w:val="18"/>
                      <w:szCs w:val="18"/>
                      <w:highlight w:val="none"/>
                      <w:lang w:val="en-US" w:eastAsia="zh-CN"/>
                    </w:rPr>
                    <w:t>2023年5月底前，全面排查除尘脱硫一体化、简易碱法脱硫、简易氨法脱硫脱硝、湿法脱硝、氧化法脱销等低效治理设施及低温等离子、光催化、光氧化等VOCs等简易低效治理设施；取缔直接向烟道内喷洒脱硫脱硝剂等敷衍式治理工艺。</w:t>
                  </w:r>
                </w:p>
              </w:tc>
              <w:tc>
                <w:tcPr>
                  <w:tcW w:w="136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本项目属于塑料制品业，不属于</w:t>
                  </w:r>
                  <w:r>
                    <w:rPr>
                      <w:rFonts w:hint="default" w:ascii="Times New Roman" w:hAnsi="Times New Roman" w:cs="Times New Roman"/>
                      <w:color w:val="auto"/>
                      <w:sz w:val="18"/>
                      <w:szCs w:val="18"/>
                      <w:highlight w:val="none"/>
                      <w:lang w:eastAsia="zh-CN"/>
                    </w:rPr>
                    <w:t>钢铁、水泥、焦化、电解铝、氧化铝、砖瓦窑、玻璃、陶瓷、炭素、耐火材料、石灰窑等行业，项目</w:t>
                  </w:r>
                  <w:r>
                    <w:rPr>
                      <w:rFonts w:hint="default" w:ascii="Times New Roman" w:hAnsi="Times New Roman" w:cs="Times New Roman"/>
                      <w:color w:val="auto"/>
                      <w:sz w:val="18"/>
                      <w:szCs w:val="18"/>
                      <w:highlight w:val="none"/>
                      <w:lang w:val="en-US" w:eastAsia="zh-CN"/>
                    </w:rPr>
                    <w:t>VOCs废气采用1套</w:t>
                  </w:r>
                  <w:r>
                    <w:rPr>
                      <w:rFonts w:hint="default" w:ascii="Times New Roman" w:hAnsi="Times New Roman" w:cs="Times New Roman" w:eastAsiaTheme="minorEastAsia"/>
                      <w:color w:val="auto"/>
                      <w:sz w:val="18"/>
                      <w:szCs w:val="18"/>
                      <w:highlight w:val="none"/>
                      <w:lang w:val="en-US" w:eastAsia="zh-CN"/>
                    </w:rPr>
                    <w:t>“UV光催化氧化+活性炭吸附”装置处理</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（六）加快挥发性有机物治理</w:t>
                  </w:r>
                </w:p>
              </w:tc>
              <w:tc>
                <w:tcPr>
                  <w:tcW w:w="2578"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22. 推进低 VOCs 含量原辅材料源头替代。按照“可替尽替、应代尽代”的原则，开展汽车制造、工业涂装、家具制造、包装印刷、钢结构制造、工程机械等行业溶剂型涂料、油墨、胶粘剂、清洗剂使用低 VOCs 含量原辅材料替代，明确治理任务，动态更新清单台账。房屋建筑和市政工程全面推广使用低VOCs 含量涂料和胶粘剂，除特殊功能要求外，室内地坪施工、室外构筑物防护和城市道路交通标志基本使用低 VOCs 含量涂料。城市建成区严格控制生产和使用溶剂型涂料、油墨、胶粘剂、清洗剂等建设项目。</w:t>
                  </w:r>
                </w:p>
              </w:tc>
              <w:tc>
                <w:tcPr>
                  <w:tcW w:w="136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pacing w:val="-4"/>
                      <w:sz w:val="18"/>
                      <w:szCs w:val="18"/>
                      <w:highlight w:val="none"/>
                      <w:lang w:val="en-US" w:eastAsia="zh-CN"/>
                    </w:rPr>
                    <w:t>本项目涉及的</w:t>
                  </w:r>
                  <w:r>
                    <w:rPr>
                      <w:rFonts w:hint="default" w:ascii="Times New Roman" w:hAnsi="Times New Roman" w:cs="Times New Roman"/>
                      <w:color w:val="auto"/>
                      <w:sz w:val="18"/>
                      <w:szCs w:val="18"/>
                      <w:highlight w:val="none"/>
                    </w:rPr>
                    <w:t>含VOCs原辅材料</w:t>
                  </w:r>
                  <w:r>
                    <w:rPr>
                      <w:rFonts w:hint="default" w:ascii="Times New Roman" w:hAnsi="Times New Roman" w:cs="Times New Roman"/>
                      <w:color w:val="auto"/>
                      <w:sz w:val="18"/>
                      <w:szCs w:val="18"/>
                      <w:highlight w:val="none"/>
                      <w:lang w:eastAsia="zh-CN"/>
                    </w:rPr>
                    <w:t>主要为</w:t>
                  </w:r>
                  <w:r>
                    <w:rPr>
                      <w:rFonts w:hint="default" w:ascii="Times New Roman" w:hAnsi="Times New Roman" w:cs="Times New Roman"/>
                      <w:color w:val="auto"/>
                      <w:sz w:val="18"/>
                      <w:szCs w:val="18"/>
                      <w:highlight w:val="none"/>
                      <w:lang w:val="en-US" w:eastAsia="zh-CN"/>
                    </w:rPr>
                    <w:t>PA66尼龙</w:t>
                  </w:r>
                  <w:r>
                    <w:rPr>
                      <w:rFonts w:hint="default" w:ascii="Times New Roman" w:hAnsi="Times New Roman" w:cs="Times New Roman" w:eastAsiaTheme="minorEastAsia"/>
                      <w:color w:val="auto"/>
                      <w:sz w:val="18"/>
                      <w:szCs w:val="18"/>
                      <w:highlight w:val="none"/>
                      <w:lang w:val="en-US" w:eastAsia="zh-CN"/>
                    </w:rPr>
                    <w:t>塑料颗粒，属于固体物料不易挥发，项目不涉及使用涂料和胶黏剂</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bCs/>
                <w:color w:val="auto"/>
                <w:szCs w:val="24"/>
                <w:highlight w:val="none"/>
                <w:u w:val="none"/>
                <w:lang w:val="en-US" w:eastAsia="zh-CN"/>
              </w:rPr>
            </w:pPr>
            <w:r>
              <w:rPr>
                <w:rFonts w:hint="default" w:ascii="Times New Roman" w:hAnsi="Times New Roman" w:cs="Times New Roman"/>
                <w:b w:val="0"/>
                <w:bCs w:val="0"/>
                <w:color w:val="auto"/>
                <w:szCs w:val="24"/>
                <w:highlight w:val="none"/>
                <w:u w:val="none"/>
                <w:lang w:val="en-US" w:eastAsia="zh-CN"/>
              </w:rPr>
              <w:t>由上表可知，本项目符合《新乡市2023年蓝天保卫战实施方案》的通知》（新环攻坚办（2023）77号）相关要求。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Cs w:val="24"/>
                <w:highlight w:val="none"/>
                <w:u w:val="none"/>
                <w:lang w:val="en-US" w:eastAsia="zh-CN"/>
              </w:rPr>
              <w:t>5</w:t>
            </w:r>
            <w:r>
              <w:rPr>
                <w:rFonts w:hint="default" w:ascii="Times New Roman" w:hAnsi="Times New Roman" w:eastAsia="宋体" w:cs="Times New Roman"/>
                <w:b/>
                <w:bCs/>
                <w:color w:val="auto"/>
                <w:szCs w:val="24"/>
                <w:highlight w:val="none"/>
                <w:u w:val="none"/>
                <w:lang w:val="en-US" w:eastAsia="zh-CN"/>
              </w:rPr>
              <w:t>、与</w:t>
            </w:r>
            <w:r>
              <w:rPr>
                <w:rFonts w:hint="default" w:ascii="Times New Roman" w:hAnsi="Times New Roman" w:cs="Times New Roman"/>
                <w:b/>
                <w:bCs/>
                <w:color w:val="auto"/>
                <w:highlight w:val="none"/>
                <w:lang w:val="en-US" w:eastAsia="zh-CN"/>
              </w:rPr>
              <w:t>《新乡市2023年碧水保卫战实施方案》（新环攻坚办〔2023〕66号）</w:t>
            </w:r>
            <w:r>
              <w:rPr>
                <w:rFonts w:hint="default" w:ascii="Times New Roman" w:hAnsi="Times New Roman" w:eastAsia="宋体" w:cs="Times New Roman"/>
                <w:b/>
                <w:bCs/>
                <w:color w:val="auto"/>
                <w:szCs w:val="24"/>
                <w:highlight w:val="none"/>
                <w:u w:val="none"/>
                <w:lang w:val="en-US" w:eastAsia="zh-CN"/>
              </w:rPr>
              <w:t>相符性分析</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与《新环攻坚办〔2023〕66号》对比分析一览表</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686"/>
              <w:gridCol w:w="1626"/>
              <w:gridCol w:w="7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10" w:type="pct"/>
                  <w:gridSpan w:val="2"/>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20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（六）开展污水资源化利用</w:t>
                  </w:r>
                </w:p>
              </w:tc>
              <w:tc>
                <w:tcPr>
                  <w:tcW w:w="2721"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22.实施工业废水循环利用工程。推进企业、工业园区根据内部废水水质特点，围绕过程循环和回用，实施废水循环利用改建，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地方和重点用水企业搭建工业废水循环利用智慧管理平台。</w:t>
                  </w:r>
                </w:p>
              </w:tc>
              <w:tc>
                <w:tcPr>
                  <w:tcW w:w="120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本项目生活污水经化粪池处理后，近期定期清运，远期待区域污水管网建成并接入规划建设的凤泉区污水处理厂后，经凤泉区污水处理厂进一步处理</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（七）统筹做好其他水生态环境保护工作</w:t>
                  </w:r>
                </w:p>
              </w:tc>
              <w:tc>
                <w:tcPr>
                  <w:tcW w:w="2721"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24. 推动企业绿色转型发展。严格落实环境准入，落实“三线一单”生态环境分区管控体系，构建以“三线一单”为空间管控基础、环境影响评价为环境准入把关、排污许可为企业运行守法依据的生态环境管理框架。在造纸、焦化、氮肥、农副食品加工、皮革、印染、有色、原料药制造、电镀等重点水污染物排放行业，深入推进清洁生产审核，推动清洁生产改造，减少单位产品耗水量和单位产品排污量，促进企业废水厂内回用。</w:t>
                  </w:r>
                </w:p>
              </w:tc>
              <w:tc>
                <w:tcPr>
                  <w:tcW w:w="120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w:t>
                  </w:r>
                  <w:r>
                    <w:rPr>
                      <w:rFonts w:hint="default" w:ascii="Times New Roman" w:hAnsi="Times New Roman" w:eastAsia="宋体" w:cs="Times New Roman"/>
                      <w:color w:val="auto"/>
                      <w:sz w:val="18"/>
                      <w:szCs w:val="18"/>
                      <w:highlight w:val="none"/>
                      <w:lang w:val="en-US" w:eastAsia="zh-CN"/>
                    </w:rPr>
                    <w:t>目不属于造纸、氮肥、农副食品加工、皮革、印染、有色、原料药制造、电镀等重点水污染物排放行业</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Cs w:val="24"/>
                <w:highlight w:val="none"/>
                <w:u w:val="none"/>
                <w:lang w:val="en-US" w:eastAsia="zh-CN"/>
              </w:rPr>
              <w:t>由上表可知，本项目符合《新乡市2023年碧水保卫战实施方案》（新环攻坚办〔2023〕66号）相关要求。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Cs w:val="24"/>
                <w:highlight w:val="none"/>
                <w:u w:val="none"/>
                <w:lang w:val="en-US" w:eastAsia="zh-CN"/>
              </w:rPr>
            </w:pPr>
            <w:r>
              <w:rPr>
                <w:rFonts w:hint="eastAsia" w:cs="Times New Roman"/>
                <w:b/>
                <w:bCs/>
                <w:color w:val="auto"/>
                <w:szCs w:val="24"/>
                <w:highlight w:val="none"/>
                <w:u w:val="none"/>
                <w:lang w:val="en-US" w:eastAsia="zh-CN"/>
              </w:rPr>
              <w:t>6、</w:t>
            </w:r>
            <w:r>
              <w:rPr>
                <w:rFonts w:hint="default" w:ascii="Times New Roman" w:hAnsi="Times New Roman" w:eastAsia="宋体" w:cs="Times New Roman"/>
                <w:b/>
                <w:bCs/>
                <w:color w:val="auto"/>
                <w:szCs w:val="24"/>
                <w:highlight w:val="none"/>
                <w:u w:val="none"/>
                <w:lang w:val="en-US" w:eastAsia="zh-CN"/>
              </w:rPr>
              <w:t>与《新乡市2023年净土保卫战实施方案》（新环攻坚办〔2023〕65号）相符性分析</w:t>
            </w:r>
          </w:p>
          <w:p>
            <w:pPr>
              <w:pStyle w:val="2"/>
              <w:numPr>
                <w:ilvl w:val="0"/>
                <w:numId w:val="0"/>
              </w:numPr>
              <w:rPr>
                <w:rFonts w:hint="default"/>
                <w:color w:val="auto"/>
                <w:lang w:val="en-US" w:eastAsia="zh-CN"/>
              </w:rPr>
            </w:pPr>
          </w:p>
          <w:p>
            <w:pPr>
              <w:rPr>
                <w:rFonts w:hint="default"/>
                <w:color w:val="auto"/>
                <w:lang w:val="en-US" w:eastAsia="zh-CN"/>
              </w:rPr>
            </w:pP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与《新环攻坚办〔2023〕65号》对比分析一览表</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740"/>
              <w:gridCol w:w="1652"/>
              <w:gridCol w:w="7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91" w:type="pct"/>
                  <w:gridSpan w:val="2"/>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21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（一）推进土壤污染风险管控</w:t>
                  </w:r>
                </w:p>
              </w:tc>
              <w:tc>
                <w:tcPr>
                  <w:tcW w:w="2760"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lang w:eastAsia="zh-CN"/>
                    </w:rPr>
                    <w:t>.全面加强固体废物监管。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121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项目生产过程中产生的危险废物按要求收集后暂存于危废暂存间，定期委托有资质的单位安全处置。</w:t>
                  </w:r>
                </w:p>
              </w:tc>
              <w:tc>
                <w:tcPr>
                  <w:tcW w:w="589" w:type="pct"/>
                  <w:noWrap w:val="0"/>
                  <w:vAlign w:val="center"/>
                </w:tcPr>
                <w:p>
                  <w:pPr>
                    <w:pStyle w:val="59"/>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Cs w:val="24"/>
                <w:highlight w:val="none"/>
                <w:u w:val="none"/>
                <w:lang w:val="en-US" w:eastAsia="zh-CN"/>
              </w:rPr>
              <w:t>由上表可知，本项目符合《新乡市2023年净土保卫战实施方案》（新环攻坚办〔2023〕65号）相关要求。</w:t>
            </w:r>
          </w:p>
          <w:p>
            <w:pPr>
              <w:pStyle w:val="2"/>
              <w:bidi w:val="0"/>
              <w:ind w:left="0" w:leftChars="0" w:firstLine="0" w:firstLineChars="0"/>
              <w:rPr>
                <w:rFonts w:hint="default" w:ascii="Times New Roman" w:hAnsi="Times New Roman" w:eastAsia="宋体" w:cs="Times New Roman"/>
                <w:b/>
                <w:bCs/>
                <w:color w:val="auto"/>
                <w:szCs w:val="24"/>
                <w:highlight w:val="none"/>
                <w:lang w:val="en-US" w:eastAsia="zh-CN"/>
              </w:rPr>
            </w:pPr>
            <w:r>
              <w:rPr>
                <w:rFonts w:hint="default" w:ascii="Times New Roman" w:hAnsi="Times New Roman"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、与《河南省重污染天气重点行业应急减排措施制定技术指南》</w:t>
            </w:r>
            <w:r>
              <w:rPr>
                <w:rFonts w:hint="default" w:ascii="Times New Roman" w:hAnsi="Times New Roman" w:eastAsia="宋体" w:cs="Times New Roman"/>
                <w:b/>
                <w:bCs/>
                <w:color w:val="auto"/>
                <w:sz w:val="21"/>
                <w:szCs w:val="21"/>
                <w:highlight w:val="none"/>
                <w:lang w:val="en-US" w:eastAsia="zh-CN"/>
              </w:rPr>
              <w:t>（2020年修订版）对照分析</w:t>
            </w:r>
          </w:p>
          <w:p>
            <w:pPr>
              <w:pStyle w:val="28"/>
              <w:keepNext w:val="0"/>
              <w:keepLines w:val="0"/>
              <w:pageBreakBefore w:val="0"/>
              <w:widowControl w:val="0"/>
              <w:numPr>
                <w:ilvl w:val="0"/>
                <w:numId w:val="0"/>
              </w:numPr>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b w:val="0"/>
                <w:bCs/>
                <w:color w:val="auto"/>
                <w:kern w:val="2"/>
                <w:sz w:val="21"/>
                <w:szCs w:val="24"/>
                <w:highlight w:val="none"/>
                <w:lang w:val="en-US" w:eastAsia="zh-CN" w:bidi="ar-SA"/>
              </w:rPr>
            </w:pPr>
            <w:r>
              <w:rPr>
                <w:rFonts w:hint="default" w:ascii="Times New Roman" w:hAnsi="Times New Roman" w:eastAsia="宋体" w:cs="Times New Roman"/>
                <w:b w:val="0"/>
                <w:bCs/>
                <w:color w:val="auto"/>
                <w:kern w:val="2"/>
                <w:sz w:val="21"/>
                <w:szCs w:val="24"/>
                <w:highlight w:val="none"/>
                <w:lang w:val="en-US" w:eastAsia="zh-CN" w:bidi="ar-SA"/>
              </w:rPr>
              <w:t>根据《新乡市深入打好秋冬季重污染天气消除、夏季臭氧污染防治和柴油货车污染治理攻坚战行动方案》（新环攻坚办〔2023〕73号）要求，“新建、扩建项目污染物排放限值、污染治理措施、无组织排放控制水平、运输方式等达到A级绩效水平”，项目属于新建塑料制品制造业，经查阅《河南省重污染天气</w:t>
            </w:r>
            <w:r>
              <w:rPr>
                <w:rFonts w:hint="eastAsia" w:ascii="Times New Roman" w:eastAsia="宋体" w:cs="Times New Roman"/>
                <w:b w:val="0"/>
                <w:bCs/>
                <w:color w:val="auto"/>
                <w:kern w:val="2"/>
                <w:sz w:val="21"/>
                <w:szCs w:val="24"/>
                <w:highlight w:val="none"/>
                <w:lang w:val="en-US" w:eastAsia="zh-CN" w:bidi="ar-SA"/>
              </w:rPr>
              <w:t>重点</w:t>
            </w:r>
            <w:r>
              <w:rPr>
                <w:rFonts w:hint="default" w:ascii="Times New Roman" w:hAnsi="Times New Roman" w:eastAsia="宋体" w:cs="Times New Roman"/>
                <w:b w:val="0"/>
                <w:bCs/>
                <w:color w:val="auto"/>
                <w:kern w:val="2"/>
                <w:sz w:val="21"/>
                <w:szCs w:val="24"/>
                <w:highlight w:val="none"/>
                <w:lang w:val="en-US" w:eastAsia="zh-CN" w:bidi="ar-SA"/>
              </w:rPr>
              <w:t>行业应急减排措施制定技术指南》（202</w:t>
            </w:r>
            <w:r>
              <w:rPr>
                <w:rFonts w:hint="eastAsia" w:ascii="Times New Roman" w:eastAsia="宋体" w:cs="Times New Roman"/>
                <w:b w:val="0"/>
                <w:bCs/>
                <w:color w:val="auto"/>
                <w:kern w:val="2"/>
                <w:sz w:val="21"/>
                <w:szCs w:val="24"/>
                <w:highlight w:val="none"/>
                <w:lang w:val="en-US" w:eastAsia="zh-CN" w:bidi="ar-SA"/>
              </w:rPr>
              <w:t>1</w:t>
            </w:r>
            <w:r>
              <w:rPr>
                <w:rFonts w:hint="default" w:ascii="Times New Roman" w:hAnsi="Times New Roman" w:eastAsia="宋体" w:cs="Times New Roman"/>
                <w:b w:val="0"/>
                <w:bCs/>
                <w:color w:val="auto"/>
                <w:kern w:val="2"/>
                <w:sz w:val="21"/>
                <w:szCs w:val="24"/>
                <w:highlight w:val="none"/>
                <w:lang w:val="en-US" w:eastAsia="zh-CN" w:bidi="ar-SA"/>
              </w:rPr>
              <w:t>年修订版），本项目属于第“六、塑料制品”类项目，本次按照文件中“表6-1 塑料制品企业绩效分级指标”中“A级企业”对应指标进行对照分析。</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与《河南省重污染天气</w:t>
            </w:r>
            <w:r>
              <w:rPr>
                <w:rFonts w:hint="eastAsia" w:eastAsia="黑体" w:cs="Times New Roman"/>
                <w:b w:val="0"/>
                <w:bCs w:val="0"/>
                <w:color w:val="auto"/>
                <w:sz w:val="21"/>
                <w:szCs w:val="21"/>
                <w:highlight w:val="none"/>
                <w:lang w:val="en-US" w:eastAsia="zh-CN"/>
              </w:rPr>
              <w:t>重点</w:t>
            </w:r>
            <w:r>
              <w:rPr>
                <w:rFonts w:hint="default" w:ascii="Times New Roman" w:hAnsi="Times New Roman" w:eastAsia="黑体" w:cs="Times New Roman"/>
                <w:b w:val="0"/>
                <w:bCs w:val="0"/>
                <w:color w:val="auto"/>
                <w:sz w:val="21"/>
                <w:szCs w:val="21"/>
                <w:highlight w:val="none"/>
                <w:lang w:val="en-US" w:eastAsia="zh-CN"/>
              </w:rPr>
              <w:t>行业应急减排措施制定技术指南》（202</w:t>
            </w:r>
            <w:r>
              <w:rPr>
                <w:rFonts w:hint="eastAsia" w:eastAsia="黑体" w:cs="Times New Roman"/>
                <w:b w:val="0"/>
                <w:bCs w:val="0"/>
                <w:color w:val="auto"/>
                <w:sz w:val="21"/>
                <w:szCs w:val="21"/>
                <w:highlight w:val="none"/>
                <w:lang w:val="en-US" w:eastAsia="zh-CN"/>
              </w:rPr>
              <w:t>1</w:t>
            </w:r>
            <w:r>
              <w:rPr>
                <w:rFonts w:hint="default" w:ascii="Times New Roman" w:hAnsi="Times New Roman" w:eastAsia="黑体" w:cs="Times New Roman"/>
                <w:b w:val="0"/>
                <w:bCs w:val="0"/>
                <w:color w:val="auto"/>
                <w:sz w:val="21"/>
                <w:szCs w:val="21"/>
                <w:highlight w:val="none"/>
                <w:lang w:val="en-US" w:eastAsia="zh-CN"/>
              </w:rPr>
              <w:t>年修订版）指标对标情况</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7"/>
              <w:gridCol w:w="3019"/>
              <w:gridCol w:w="2580"/>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2613" w:type="pct"/>
                  <w:gridSpan w:val="2"/>
                  <w:tcBorders>
                    <w:top w:val="single" w:color="auto" w:sz="8"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差异化指标（</w:t>
                  </w:r>
                  <w:r>
                    <w:rPr>
                      <w:rFonts w:hint="default" w:ascii="Times New Roman" w:hAnsi="Times New Roman" w:cs="Times New Roman" w:eastAsiaTheme="minorEastAsia"/>
                      <w:color w:val="auto"/>
                      <w:sz w:val="18"/>
                      <w:szCs w:val="18"/>
                      <w:highlight w:val="none"/>
                      <w:lang w:val="en-US" w:eastAsia="zh-CN"/>
                    </w:rPr>
                    <w:t>A级企业</w:t>
                  </w:r>
                  <w:r>
                    <w:rPr>
                      <w:rFonts w:hint="default" w:ascii="Times New Roman" w:hAnsi="Times New Roman" w:cs="Times New Roman" w:eastAsiaTheme="minorEastAsia"/>
                      <w:color w:val="auto"/>
                      <w:sz w:val="18"/>
                      <w:szCs w:val="18"/>
                      <w:highlight w:val="none"/>
                      <w:lang w:eastAsia="zh-CN"/>
                    </w:rPr>
                    <w:t>）</w:t>
                  </w:r>
                </w:p>
              </w:tc>
              <w:tc>
                <w:tcPr>
                  <w:tcW w:w="1907" w:type="pct"/>
                  <w:tcBorders>
                    <w:top w:val="single" w:color="auto" w:sz="8"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本项目情况</w:t>
                  </w:r>
                </w:p>
              </w:tc>
              <w:tc>
                <w:tcPr>
                  <w:tcW w:w="479" w:type="pct"/>
                  <w:tcBorders>
                    <w:top w:val="single" w:color="auto" w:sz="8" w:space="0"/>
                    <w:left w:val="nil"/>
                    <w:bottom w:val="single" w:color="auto" w:sz="4" w:space="0"/>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restart"/>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废气收集及处理工艺</w:t>
                  </w:r>
                </w:p>
              </w:tc>
              <w:tc>
                <w:tcPr>
                  <w:tcW w:w="2230" w:type="pct"/>
                  <w:tcBorders>
                    <w:top w:val="single" w:color="auto" w:sz="4" w:space="0"/>
                    <w:left w:val="nil"/>
                    <w:bottom w:val="single" w:color="auto" w:sz="4" w:space="0"/>
                    <w:right w:val="single" w:color="auto" w:sz="4" w:space="0"/>
                  </w:tcBorders>
                  <w:vAlign w:val="center"/>
                </w:tcPr>
                <w:p>
                  <w:pPr>
                    <w:pStyle w:val="69"/>
                    <w:keepNext w:val="0"/>
                    <w:keepLines w:val="0"/>
                    <w:pageBreakBefore w:val="0"/>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1.投料、挤塑、注塑、滚塑、</w:t>
                  </w:r>
                  <w:r>
                    <w:rPr>
                      <w:rFonts w:hint="default" w:ascii="Times New Roman" w:hAnsi="Times New Roman" w:cs="Times New Roman" w:eastAsiaTheme="minorEastAsia"/>
                      <w:color w:val="auto"/>
                      <w:sz w:val="18"/>
                      <w:szCs w:val="18"/>
                      <w:highlight w:val="none"/>
                      <w:lang w:eastAsia="zh-CN"/>
                    </w:rPr>
                    <w:t>吸塑</w:t>
                  </w:r>
                  <w:r>
                    <w:rPr>
                      <w:rFonts w:hint="default" w:ascii="Times New Roman" w:hAnsi="Times New Roman" w:cs="Times New Roman" w:eastAsiaTheme="minorEastAsia"/>
                      <w:color w:val="auto"/>
                      <w:sz w:val="18"/>
                      <w:szCs w:val="18"/>
                      <w:highlight w:val="none"/>
                    </w:rPr>
                    <w:t>、压延、挤出、造粒、热定型、冷却、发泡、熟化、干燥等涉VOCs工序采用密闭设备或在密闭空间内操作，废气有效收集至VOCs废气处理系统，车间外无异味；采用局部集气罩的，距集气罩开口面最远处的VOCs无组织排放位置，控制风速不低于0.3米/秒；</w:t>
                  </w:r>
                </w:p>
              </w:tc>
              <w:tc>
                <w:tcPr>
                  <w:tcW w:w="1907" w:type="pct"/>
                  <w:tcBorders>
                    <w:top w:val="single" w:color="auto" w:sz="4" w:space="0"/>
                    <w:left w:val="nil"/>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项目挤塑工序涉</w:t>
                  </w:r>
                  <w:r>
                    <w:rPr>
                      <w:rFonts w:hint="default" w:ascii="Times New Roman" w:hAnsi="Times New Roman" w:cs="Times New Roman" w:eastAsiaTheme="minorEastAsia"/>
                      <w:color w:val="auto"/>
                      <w:sz w:val="18"/>
                      <w:szCs w:val="18"/>
                      <w:highlight w:val="none"/>
                    </w:rPr>
                    <w:t>VOCs</w:t>
                  </w:r>
                  <w:r>
                    <w:rPr>
                      <w:rFonts w:hint="default" w:ascii="Times New Roman" w:hAnsi="Times New Roman" w:cs="Times New Roman" w:eastAsiaTheme="minorEastAsia"/>
                      <w:color w:val="auto"/>
                      <w:sz w:val="18"/>
                      <w:szCs w:val="18"/>
                      <w:highlight w:val="none"/>
                      <w:lang w:eastAsia="zh-CN"/>
                    </w:rPr>
                    <w:t>，通过在注塑机挤出口等产污环节上方设置集气罩进行收集后，废气引入</w:t>
                  </w:r>
                  <w:r>
                    <w:rPr>
                      <w:rFonts w:hint="default" w:ascii="Times New Roman" w:hAnsi="Times New Roman" w:cs="Times New Roman"/>
                      <w:color w:val="auto"/>
                      <w:sz w:val="18"/>
                      <w:szCs w:val="18"/>
                      <w:highlight w:val="none"/>
                      <w:lang w:val="en-US" w:eastAsia="zh-CN"/>
                    </w:rPr>
                    <w:t>1套</w:t>
                  </w:r>
                  <w:r>
                    <w:rPr>
                      <w:rFonts w:hint="default" w:ascii="Times New Roman" w:hAnsi="Times New Roman" w:cs="Times New Roman" w:eastAsiaTheme="minorEastAsia"/>
                      <w:color w:val="auto"/>
                      <w:sz w:val="18"/>
                      <w:szCs w:val="18"/>
                      <w:highlight w:val="none"/>
                      <w:lang w:val="en-US" w:eastAsia="zh-CN"/>
                    </w:rPr>
                    <w:t>“</w:t>
                  </w:r>
                  <w:r>
                    <w:rPr>
                      <w:rFonts w:hint="default" w:ascii="Times New Roman" w:hAnsi="Times New Roman" w:cs="Times New Roman"/>
                      <w:color w:val="auto"/>
                      <w:spacing w:val="-4"/>
                      <w:sz w:val="18"/>
                      <w:szCs w:val="18"/>
                      <w:highlight w:val="none"/>
                      <w:lang w:val="en-US" w:eastAsia="zh-CN"/>
                    </w:rPr>
                    <w:t>UV光催化氧化+活性炭吸附</w:t>
                  </w:r>
                  <w:r>
                    <w:rPr>
                      <w:rFonts w:hint="default" w:ascii="Times New Roman" w:hAnsi="Times New Roman" w:cs="Times New Roman" w:eastAsiaTheme="minorEastAsia"/>
                      <w:color w:val="auto"/>
                      <w:sz w:val="18"/>
                      <w:szCs w:val="18"/>
                      <w:highlight w:val="none"/>
                      <w:lang w:val="en-US" w:eastAsia="zh-CN"/>
                    </w:rPr>
                    <w:t>”装置处理</w:t>
                  </w:r>
                </w:p>
              </w:tc>
              <w:tc>
                <w:tcPr>
                  <w:tcW w:w="479" w:type="pct"/>
                  <w:vMerge w:val="restart"/>
                  <w:tcBorders>
                    <w:top w:val="single" w:color="auto" w:sz="4" w:space="0"/>
                    <w:left w:val="nil"/>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2.VOCs治理采用燃烧工艺（包括直接燃烧、催化燃烧和蓄热燃烧），或静电、吸附、低温等离子、生物法等两级及以上组合工艺处理（采用一次性活性炭吸附的，活性炭碘值在800mg/g及以上）；</w:t>
                  </w:r>
                </w:p>
              </w:tc>
              <w:tc>
                <w:tcPr>
                  <w:tcW w:w="1907" w:type="pct"/>
                  <w:tcBorders>
                    <w:top w:val="single" w:color="auto" w:sz="4" w:space="0"/>
                    <w:left w:val="nil"/>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项目</w:t>
                  </w:r>
                  <w:r>
                    <w:rPr>
                      <w:rFonts w:hint="default" w:ascii="Times New Roman" w:hAnsi="Times New Roman" w:cs="Times New Roman" w:eastAsiaTheme="minorEastAsia"/>
                      <w:color w:val="auto"/>
                      <w:sz w:val="18"/>
                      <w:szCs w:val="18"/>
                      <w:highlight w:val="none"/>
                    </w:rPr>
                    <w:t>VOCs</w:t>
                  </w:r>
                  <w:r>
                    <w:rPr>
                      <w:rFonts w:hint="default" w:ascii="Times New Roman" w:hAnsi="Times New Roman" w:cs="Times New Roman" w:eastAsiaTheme="minorEastAsia"/>
                      <w:color w:val="auto"/>
                      <w:sz w:val="18"/>
                      <w:szCs w:val="18"/>
                      <w:highlight w:val="none"/>
                      <w:lang w:eastAsia="zh-CN"/>
                    </w:rPr>
                    <w:t>废气治理采用</w:t>
                  </w:r>
                  <w:r>
                    <w:rPr>
                      <w:rFonts w:hint="default" w:ascii="Times New Roman" w:hAnsi="Times New Roman" w:cs="Times New Roman" w:eastAsiaTheme="minorEastAsia"/>
                      <w:color w:val="auto"/>
                      <w:sz w:val="18"/>
                      <w:szCs w:val="18"/>
                      <w:highlight w:val="none"/>
                      <w:lang w:val="en-US" w:eastAsia="zh-CN"/>
                    </w:rPr>
                    <w:t>1套“</w:t>
                  </w:r>
                  <w:r>
                    <w:rPr>
                      <w:rFonts w:hint="default" w:ascii="Times New Roman" w:hAnsi="Times New Roman" w:cs="Times New Roman"/>
                      <w:color w:val="auto"/>
                      <w:spacing w:val="-4"/>
                      <w:sz w:val="18"/>
                      <w:szCs w:val="18"/>
                      <w:highlight w:val="none"/>
                      <w:lang w:val="en-US" w:eastAsia="zh-CN"/>
                    </w:rPr>
                    <w:t>UV光催化氧化+活性炭吸附</w:t>
                  </w:r>
                  <w:r>
                    <w:rPr>
                      <w:rFonts w:hint="default" w:ascii="Times New Roman" w:hAnsi="Times New Roman" w:cs="Times New Roman" w:eastAsiaTheme="minorEastAsia"/>
                      <w:color w:val="auto"/>
                      <w:sz w:val="18"/>
                      <w:szCs w:val="18"/>
                      <w:highlight w:val="none"/>
                      <w:lang w:val="en-US" w:eastAsia="zh-CN"/>
                    </w:rPr>
                    <w:t>”装置进行处理</w:t>
                  </w:r>
                </w:p>
              </w:tc>
              <w:tc>
                <w:tcPr>
                  <w:tcW w:w="479" w:type="pct"/>
                  <w:vMerge w:val="continue"/>
                  <w:tcBorders>
                    <w:left w:val="nil"/>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320" w:lineRule="exact"/>
                    <w:ind w:left="0" w:right="0" w:firstLine="0" w:firstLineChars="0"/>
                    <w:jc w:val="both"/>
                    <w:rPr>
                      <w:rFonts w:hint="default" w:ascii="Times New Roman" w:hAnsi="Times New Roman" w:cs="Times New Roman"/>
                      <w:color w:val="auto"/>
                      <w:kern w:val="0"/>
                      <w:sz w:val="18"/>
                      <w:szCs w:val="18"/>
                      <w:highlight w:val="none"/>
                      <w:lang w:val="zh-CN" w:bidi="zh-CN"/>
                    </w:rPr>
                  </w:pPr>
                  <w:r>
                    <w:rPr>
                      <w:rFonts w:hint="default" w:ascii="Times New Roman" w:hAnsi="Times New Roman" w:cs="Times New Roman"/>
                      <w:color w:val="auto"/>
                      <w:kern w:val="0"/>
                      <w:sz w:val="18"/>
                      <w:szCs w:val="18"/>
                      <w:highlight w:val="none"/>
                      <w:lang w:val="zh-CN" w:bidi="zh-CN"/>
                    </w:rPr>
                    <w:t>3、粉状、粒状物料采用自动投料器投加和配混，投加和混配工序在封闭车间内进行，PM有效收集，采用覆膜滤袋、滤筒等高效除尘技术；</w:t>
                  </w:r>
                </w:p>
              </w:tc>
              <w:tc>
                <w:tcPr>
                  <w:tcW w:w="1907" w:type="pct"/>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项目原料均采用真空吸料机抽至注塑机内，该工序废气通过真空吸料机的抽真空尾气管道直接通入</w:t>
                  </w:r>
                  <w:r>
                    <w:rPr>
                      <w:rFonts w:hint="default" w:ascii="Times New Roman" w:hAnsi="Times New Roman" w:cs="Times New Roman" w:eastAsiaTheme="minorEastAsia"/>
                      <w:color w:val="auto"/>
                      <w:sz w:val="18"/>
                      <w:szCs w:val="18"/>
                      <w:highlight w:val="none"/>
                      <w:lang w:val="en-US" w:eastAsia="zh-CN"/>
                    </w:rPr>
                    <w:t>1套脉冲袋式除尘器处理</w:t>
                  </w:r>
                </w:p>
              </w:tc>
              <w:tc>
                <w:tcPr>
                  <w:tcW w:w="479" w:type="pct"/>
                  <w:vMerge w:val="continue"/>
                  <w:tcBorders>
                    <w:left w:val="nil"/>
                    <w:bottom w:val="single" w:color="auto" w:sz="4" w:space="0"/>
                    <w:right w:val="nil"/>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320" w:lineRule="exact"/>
                    <w:ind w:left="0" w:right="0" w:firstLine="0" w:firstLineChars="0"/>
                    <w:jc w:val="both"/>
                    <w:rPr>
                      <w:rFonts w:hint="default" w:ascii="Times New Roman" w:hAnsi="Times New Roman" w:cs="Times New Roman"/>
                      <w:color w:val="auto"/>
                      <w:kern w:val="0"/>
                      <w:sz w:val="18"/>
                      <w:szCs w:val="18"/>
                      <w:highlight w:val="none"/>
                      <w:lang w:val="zh-CN" w:bidi="zh-CN"/>
                    </w:rPr>
                  </w:pPr>
                  <w:r>
                    <w:rPr>
                      <w:rFonts w:hint="default" w:ascii="Times New Roman" w:hAnsi="Times New Roman" w:cs="Times New Roman"/>
                      <w:color w:val="auto"/>
                      <w:kern w:val="0"/>
                      <w:sz w:val="18"/>
                      <w:szCs w:val="18"/>
                      <w:highlight w:val="none"/>
                      <w:lang w:val="zh-CN" w:bidi="zh-CN"/>
                    </w:rPr>
                    <w:t>4、废吸附剂应密闭的包装袋或容器储存、转运，并建立储存、处置台账；</w:t>
                  </w:r>
                </w:p>
              </w:tc>
              <w:tc>
                <w:tcPr>
                  <w:tcW w:w="1907" w:type="pct"/>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项目废气设置产生的废活性炭采用密闭包装袋包装后于危险固废暂存间内暂存，其储存、转运均按建立台账</w:t>
                  </w:r>
                </w:p>
              </w:tc>
              <w:tc>
                <w:tcPr>
                  <w:tcW w:w="479" w:type="pct"/>
                  <w:vMerge w:val="continue"/>
                  <w:tcBorders>
                    <w:left w:val="nil"/>
                    <w:bottom w:val="single" w:color="auto" w:sz="4" w:space="0"/>
                    <w:right w:val="nil"/>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val="0"/>
                    <w:autoSpaceDN w:val="0"/>
                    <w:bidi w:val="0"/>
                    <w:adjustRightInd/>
                    <w:snapToGrid/>
                    <w:spacing w:line="320" w:lineRule="exact"/>
                    <w:ind w:left="0" w:right="0" w:firstLine="0" w:firstLineChars="0"/>
                    <w:jc w:val="both"/>
                    <w:rPr>
                      <w:rFonts w:hint="default" w:ascii="Times New Roman" w:hAnsi="Times New Roman" w:cs="Times New Roman"/>
                      <w:color w:val="auto"/>
                      <w:kern w:val="0"/>
                      <w:sz w:val="18"/>
                      <w:szCs w:val="18"/>
                      <w:highlight w:val="none"/>
                      <w:lang w:val="zh-CN" w:bidi="zh-CN"/>
                    </w:rPr>
                  </w:pPr>
                  <w:r>
                    <w:rPr>
                      <w:rFonts w:hint="default" w:ascii="Times New Roman" w:hAnsi="Times New Roman" w:cs="Times New Roman"/>
                      <w:color w:val="auto"/>
                      <w:kern w:val="0"/>
                      <w:sz w:val="18"/>
                      <w:szCs w:val="18"/>
                      <w:highlight w:val="none"/>
                      <w:lang w:val="zh-CN" w:bidi="zh-CN"/>
                    </w:rPr>
                    <w:t>5、NOx治理采用低氮燃烧、SNCR/SCR等适宜技术。</w:t>
                  </w:r>
                </w:p>
              </w:tc>
              <w:tc>
                <w:tcPr>
                  <w:tcW w:w="1907" w:type="pct"/>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本项目不涉及</w:t>
                  </w:r>
                </w:p>
              </w:tc>
              <w:tc>
                <w:tcPr>
                  <w:tcW w:w="479" w:type="pct"/>
                  <w:vMerge w:val="continue"/>
                  <w:tcBorders>
                    <w:left w:val="nil"/>
                    <w:bottom w:val="single" w:color="auto" w:sz="4" w:space="0"/>
                    <w:right w:val="nil"/>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restart"/>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无组织管控</w:t>
                  </w: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1.VOCs物料存储于密闭的容器、包装袋、储罐、储库、料仓中；盛装VOCs物料的容器或包装袋存放于室内；盛装VOCs物料的容器或包装袋在非取用状态时应加盖、封口，保持密闭；</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项目涉</w:t>
                  </w:r>
                  <w:r>
                    <w:rPr>
                      <w:rFonts w:hint="default" w:ascii="Times New Roman" w:hAnsi="Times New Roman" w:cs="Times New Roman" w:eastAsiaTheme="minorEastAsia"/>
                      <w:color w:val="auto"/>
                      <w:sz w:val="18"/>
                      <w:szCs w:val="18"/>
                      <w:highlight w:val="none"/>
                    </w:rPr>
                    <w:t>VOCs物料</w:t>
                  </w:r>
                  <w:r>
                    <w:rPr>
                      <w:rFonts w:hint="default" w:ascii="Times New Roman" w:hAnsi="Times New Roman" w:cs="Times New Roman" w:eastAsiaTheme="minorEastAsia"/>
                      <w:color w:val="auto"/>
                      <w:sz w:val="18"/>
                      <w:szCs w:val="18"/>
                      <w:highlight w:val="none"/>
                      <w:lang w:eastAsia="zh-CN"/>
                    </w:rPr>
                    <w:t>主要为</w:t>
                  </w:r>
                  <w:r>
                    <w:rPr>
                      <w:rFonts w:hint="default" w:ascii="Times New Roman" w:hAnsi="Times New Roman" w:cs="Times New Roman" w:eastAsiaTheme="minorEastAsia"/>
                      <w:color w:val="auto"/>
                      <w:sz w:val="18"/>
                      <w:szCs w:val="18"/>
                      <w:highlight w:val="none"/>
                      <w:lang w:val="en-US" w:eastAsia="zh-CN"/>
                    </w:rPr>
                    <w:t>PA66尼龙塑料颗粒，属于固体物料不易挥发，均采用包袋装封口储存于车间内设置的原料区</w:t>
                  </w:r>
                </w:p>
              </w:tc>
              <w:tc>
                <w:tcPr>
                  <w:tcW w:w="479" w:type="pct"/>
                  <w:vMerge w:val="restart"/>
                  <w:tcBorders>
                    <w:top w:val="single" w:color="auto" w:sz="4" w:space="0"/>
                    <w:left w:val="nil"/>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2.粉状物料采用气力输送、管状带式输送机、螺旋输送机等自动化、密闭输送方式；粒状物料采用封闭皮带等自动化、封闭输送方式；液态VOCs物料采用密闭管道输送；</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项目原料均采用真空吸料机抽至注塑机内，该工序废气通过真空吸料机的抽真空尾气管道直接通入</w:t>
                  </w:r>
                  <w:r>
                    <w:rPr>
                      <w:rFonts w:hint="default" w:ascii="Times New Roman" w:hAnsi="Times New Roman" w:cs="Times New Roman" w:eastAsiaTheme="minorEastAsia"/>
                      <w:color w:val="auto"/>
                      <w:sz w:val="18"/>
                      <w:szCs w:val="18"/>
                      <w:highlight w:val="none"/>
                      <w:lang w:val="en-US" w:eastAsia="zh-CN"/>
                    </w:rPr>
                    <w:t>1套脉冲袋式除尘器处理</w:t>
                  </w:r>
                </w:p>
              </w:tc>
              <w:tc>
                <w:tcPr>
                  <w:tcW w:w="479" w:type="pct"/>
                  <w:vMerge w:val="continue"/>
                  <w:tcBorders>
                    <w:left w:val="nil"/>
                    <w:bottom w:val="single" w:color="auto" w:sz="4" w:space="0"/>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3.产生VOCs的生产工序和装置应设置有效集气装置并引至VOCs末端处理设施；</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eastAsia="zh-CN"/>
                    </w:rPr>
                    <w:t>项目原料均采用真空吸料机抽至混料设备和挤出机内，投料过程为密闭投料，不会有粉尘产生；挤塑等涉</w:t>
                  </w:r>
                  <w:r>
                    <w:rPr>
                      <w:rFonts w:hint="default" w:ascii="Times New Roman" w:hAnsi="Times New Roman" w:cs="Times New Roman" w:eastAsiaTheme="minorEastAsia"/>
                      <w:color w:val="auto"/>
                      <w:sz w:val="18"/>
                      <w:szCs w:val="18"/>
                      <w:highlight w:val="none"/>
                    </w:rPr>
                    <w:t>VOCs工序</w:t>
                  </w:r>
                  <w:r>
                    <w:rPr>
                      <w:rFonts w:hint="default" w:ascii="Times New Roman" w:hAnsi="Times New Roman" w:cs="Times New Roman" w:eastAsiaTheme="minorEastAsia"/>
                      <w:color w:val="auto"/>
                      <w:sz w:val="18"/>
                      <w:szCs w:val="18"/>
                      <w:highlight w:val="none"/>
                      <w:lang w:eastAsia="zh-CN"/>
                    </w:rPr>
                    <w:t>通过在注塑机挤出口等产污点上方设置集气罩进行收集后，废气引入</w:t>
                  </w:r>
                  <w:r>
                    <w:rPr>
                      <w:rFonts w:hint="default" w:ascii="Times New Roman" w:hAnsi="Times New Roman" w:cs="Times New Roman" w:eastAsiaTheme="minorEastAsia"/>
                      <w:color w:val="auto"/>
                      <w:sz w:val="18"/>
                      <w:szCs w:val="18"/>
                      <w:highlight w:val="none"/>
                      <w:lang w:val="en-US" w:eastAsia="zh-CN"/>
                    </w:rPr>
                    <w:t>1套“</w:t>
                  </w:r>
                  <w:r>
                    <w:rPr>
                      <w:rFonts w:hint="default" w:ascii="Times New Roman" w:hAnsi="Times New Roman" w:cs="Times New Roman"/>
                      <w:color w:val="auto"/>
                      <w:spacing w:val="-4"/>
                      <w:sz w:val="18"/>
                      <w:szCs w:val="18"/>
                      <w:highlight w:val="none"/>
                      <w:lang w:val="en-US" w:eastAsia="zh-CN"/>
                    </w:rPr>
                    <w:t>UV光催化氧化+活性炭吸附</w:t>
                  </w:r>
                  <w:r>
                    <w:rPr>
                      <w:rFonts w:hint="default" w:ascii="Times New Roman" w:hAnsi="Times New Roman" w:cs="Times New Roman" w:eastAsiaTheme="minorEastAsia"/>
                      <w:color w:val="auto"/>
                      <w:sz w:val="18"/>
                      <w:szCs w:val="18"/>
                      <w:highlight w:val="none"/>
                      <w:lang w:val="en-US" w:eastAsia="zh-CN"/>
                    </w:rPr>
                    <w:t>”装置进行处理</w:t>
                  </w:r>
                </w:p>
              </w:tc>
              <w:tc>
                <w:tcPr>
                  <w:tcW w:w="479" w:type="pct"/>
                  <w:vMerge w:val="continue"/>
                  <w:tcBorders>
                    <w:left w:val="nil"/>
                    <w:bottom w:val="single" w:color="auto" w:sz="4" w:space="0"/>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4.厂区道路及车间地面硬化，车间地面、墙壁、设备顶部整洁无积尘；厂内地面全部硬化或绿化，无成片裸露土地。</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项目租用现有厂房进行建设，目前厂区</w:t>
                  </w:r>
                  <w:r>
                    <w:rPr>
                      <w:rFonts w:hint="default" w:ascii="Times New Roman" w:hAnsi="Times New Roman" w:cs="Times New Roman" w:eastAsiaTheme="minorEastAsia"/>
                      <w:color w:val="auto"/>
                      <w:sz w:val="18"/>
                      <w:szCs w:val="18"/>
                      <w:highlight w:val="none"/>
                    </w:rPr>
                    <w:t>道路及车间地面硬化</w:t>
                  </w:r>
                  <w:r>
                    <w:rPr>
                      <w:rFonts w:hint="default" w:ascii="Times New Roman" w:hAnsi="Times New Roman" w:cs="Times New Roman" w:eastAsiaTheme="minorEastAsia"/>
                      <w:color w:val="auto"/>
                      <w:sz w:val="18"/>
                      <w:szCs w:val="18"/>
                      <w:highlight w:val="none"/>
                      <w:lang w:eastAsia="zh-CN"/>
                    </w:rPr>
                    <w:t>，厂区内无</w:t>
                  </w:r>
                  <w:r>
                    <w:rPr>
                      <w:rFonts w:hint="default" w:ascii="Times New Roman" w:hAnsi="Times New Roman" w:cs="Times New Roman" w:eastAsiaTheme="minorEastAsia"/>
                      <w:color w:val="auto"/>
                      <w:sz w:val="18"/>
                      <w:szCs w:val="18"/>
                      <w:highlight w:val="none"/>
                    </w:rPr>
                    <w:t>成片裸露土地</w:t>
                  </w:r>
                  <w:r>
                    <w:rPr>
                      <w:rFonts w:hint="default" w:ascii="Times New Roman" w:hAnsi="Times New Roman" w:cs="Times New Roman" w:eastAsiaTheme="minorEastAsia"/>
                      <w:color w:val="auto"/>
                      <w:sz w:val="18"/>
                      <w:szCs w:val="18"/>
                      <w:highlight w:val="none"/>
                      <w:lang w:eastAsia="zh-CN"/>
                    </w:rPr>
                    <w:t>，本项目租用车间</w:t>
                  </w:r>
                  <w:r>
                    <w:rPr>
                      <w:rFonts w:hint="default" w:ascii="Times New Roman" w:hAnsi="Times New Roman" w:cs="Times New Roman" w:eastAsiaTheme="minorEastAsia"/>
                      <w:color w:val="auto"/>
                      <w:sz w:val="18"/>
                      <w:szCs w:val="18"/>
                      <w:highlight w:val="none"/>
                    </w:rPr>
                    <w:t>地面、墙壁、设备顶部整洁无积尘</w:t>
                  </w:r>
                </w:p>
              </w:tc>
              <w:tc>
                <w:tcPr>
                  <w:tcW w:w="479" w:type="pct"/>
                  <w:vMerge w:val="continue"/>
                  <w:tcBorders>
                    <w:left w:val="nil"/>
                    <w:bottom w:val="single" w:color="auto" w:sz="4" w:space="0"/>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restart"/>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排放限值</w:t>
                  </w: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1.全厂有组织PM、NMHC有组织排放浓度分别不高于10、10mg/m</w:t>
                  </w:r>
                  <w:r>
                    <w:rPr>
                      <w:rFonts w:hint="default" w:ascii="Times New Roman" w:hAnsi="Times New Roman" w:cs="Times New Roman" w:eastAsiaTheme="minorEastAsia"/>
                      <w:color w:val="auto"/>
                      <w:sz w:val="18"/>
                      <w:szCs w:val="18"/>
                      <w:highlight w:val="none"/>
                      <w:vertAlign w:val="superscript"/>
                    </w:rPr>
                    <w:t>3</w:t>
                  </w:r>
                  <w:r>
                    <w:rPr>
                      <w:rFonts w:hint="default" w:ascii="Times New Roman" w:hAnsi="Times New Roman" w:cs="Times New Roman" w:eastAsiaTheme="minorEastAsia"/>
                      <w:color w:val="auto"/>
                      <w:sz w:val="18"/>
                      <w:szCs w:val="18"/>
                      <w:highlight w:val="none"/>
                    </w:rPr>
                    <w:t>；</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项目生产过程颗粒物废气和非甲烷总烃废气均采取有效收集和治理措施处理，确保</w:t>
                  </w:r>
                  <w:r>
                    <w:rPr>
                      <w:rFonts w:hint="default" w:ascii="Times New Roman" w:hAnsi="Times New Roman" w:cs="Times New Roman" w:eastAsiaTheme="minorEastAsia"/>
                      <w:color w:val="auto"/>
                      <w:sz w:val="18"/>
                      <w:szCs w:val="18"/>
                      <w:highlight w:val="none"/>
                    </w:rPr>
                    <w:t>有组织PM、NMHC有组织排放浓度分别不高于10、10mg/m</w:t>
                  </w:r>
                  <w:r>
                    <w:rPr>
                      <w:rFonts w:hint="default" w:ascii="Times New Roman" w:hAnsi="Times New Roman" w:cs="Times New Roman" w:eastAsiaTheme="minorEastAsia"/>
                      <w:color w:val="auto"/>
                      <w:sz w:val="18"/>
                      <w:szCs w:val="18"/>
                      <w:highlight w:val="none"/>
                      <w:vertAlign w:val="superscript"/>
                    </w:rPr>
                    <w:t>3</w:t>
                  </w:r>
                  <w:r>
                    <w:rPr>
                      <w:rFonts w:hint="default" w:ascii="Times New Roman" w:hAnsi="Times New Roman" w:cs="Times New Roman" w:eastAsiaTheme="minorEastAsia"/>
                      <w:color w:val="auto"/>
                      <w:sz w:val="18"/>
                      <w:szCs w:val="18"/>
                      <w:highlight w:val="none"/>
                    </w:rPr>
                    <w:t>；</w:t>
                  </w:r>
                </w:p>
              </w:tc>
              <w:tc>
                <w:tcPr>
                  <w:tcW w:w="479" w:type="pct"/>
                  <w:vMerge w:val="restart"/>
                  <w:tcBorders>
                    <w:left w:val="nil"/>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2.VOCs治理设施同步运行率和去除率分别达到100%和80%；去除率确实达不到的，生产车间或生产设备的无组织排放监控点NMHC浓度低于4mg/m</w:t>
                  </w:r>
                  <w:r>
                    <w:rPr>
                      <w:rFonts w:hint="default" w:ascii="Times New Roman" w:hAnsi="Times New Roman" w:cs="Times New Roman" w:eastAsiaTheme="minorEastAsia"/>
                      <w:color w:val="auto"/>
                      <w:sz w:val="18"/>
                      <w:szCs w:val="18"/>
                      <w:highlight w:val="none"/>
                      <w:vertAlign w:val="superscript"/>
                      <w:lang w:val="en-US" w:eastAsia="zh-CN"/>
                    </w:rPr>
                    <w:t>3</w:t>
                  </w:r>
                  <w:r>
                    <w:rPr>
                      <w:rFonts w:hint="default" w:ascii="Times New Roman" w:hAnsi="Times New Roman" w:cs="Times New Roman" w:eastAsiaTheme="minorEastAsia"/>
                      <w:color w:val="auto"/>
                      <w:sz w:val="18"/>
                      <w:szCs w:val="18"/>
                      <w:highlight w:val="none"/>
                    </w:rPr>
                    <w:t>，企业边界1hNMHC平均浓度低于2mg/m</w:t>
                  </w:r>
                  <w:r>
                    <w:rPr>
                      <w:rFonts w:hint="default" w:ascii="Times New Roman" w:hAnsi="Times New Roman" w:cs="Times New Roman" w:eastAsiaTheme="minorEastAsia"/>
                      <w:color w:val="auto"/>
                      <w:sz w:val="18"/>
                      <w:szCs w:val="18"/>
                      <w:highlight w:val="none"/>
                      <w:vertAlign w:val="superscript"/>
                      <w:lang w:val="en-US" w:eastAsia="zh-CN"/>
                    </w:rPr>
                    <w:t>3</w:t>
                  </w:r>
                  <w:r>
                    <w:rPr>
                      <w:rFonts w:hint="default" w:ascii="Times New Roman" w:hAnsi="Times New Roman" w:cs="Times New Roman" w:eastAsiaTheme="minorEastAsia"/>
                      <w:color w:val="auto"/>
                      <w:sz w:val="18"/>
                      <w:szCs w:val="18"/>
                      <w:highlight w:val="none"/>
                    </w:rPr>
                    <w:t>；</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eastAsia="zh-CN"/>
                    </w:rPr>
                    <w:t>项目</w:t>
                  </w:r>
                  <w:r>
                    <w:rPr>
                      <w:rFonts w:hint="default" w:ascii="Times New Roman" w:hAnsi="Times New Roman" w:cs="Times New Roman" w:eastAsiaTheme="minorEastAsia"/>
                      <w:color w:val="auto"/>
                      <w:sz w:val="18"/>
                      <w:szCs w:val="18"/>
                      <w:highlight w:val="none"/>
                    </w:rPr>
                    <w:t>VOCs</w:t>
                  </w:r>
                  <w:r>
                    <w:rPr>
                      <w:rFonts w:hint="default" w:ascii="Times New Roman" w:hAnsi="Times New Roman" w:cs="Times New Roman" w:eastAsiaTheme="minorEastAsia"/>
                      <w:color w:val="auto"/>
                      <w:sz w:val="18"/>
                      <w:szCs w:val="18"/>
                      <w:highlight w:val="none"/>
                      <w:lang w:eastAsia="zh-CN"/>
                    </w:rPr>
                    <w:t>采用</w:t>
                  </w:r>
                  <w:r>
                    <w:rPr>
                      <w:rFonts w:hint="default" w:ascii="Times New Roman" w:hAnsi="Times New Roman" w:cs="Times New Roman" w:eastAsiaTheme="minorEastAsia"/>
                      <w:color w:val="auto"/>
                      <w:sz w:val="18"/>
                      <w:szCs w:val="18"/>
                      <w:highlight w:val="none"/>
                      <w:lang w:val="en-US" w:eastAsia="zh-CN"/>
                    </w:rPr>
                    <w:t>1套“</w:t>
                  </w:r>
                  <w:r>
                    <w:rPr>
                      <w:rFonts w:hint="default" w:ascii="Times New Roman" w:hAnsi="Times New Roman" w:cs="Times New Roman"/>
                      <w:color w:val="auto"/>
                      <w:spacing w:val="-4"/>
                      <w:sz w:val="18"/>
                      <w:szCs w:val="18"/>
                      <w:highlight w:val="none"/>
                      <w:lang w:val="en-US" w:eastAsia="zh-CN"/>
                    </w:rPr>
                    <w:t>UV光催化氧化+活性炭吸附</w:t>
                  </w:r>
                  <w:r>
                    <w:rPr>
                      <w:rFonts w:hint="default" w:ascii="Times New Roman" w:hAnsi="Times New Roman" w:cs="Times New Roman" w:eastAsiaTheme="minorEastAsia"/>
                      <w:color w:val="auto"/>
                      <w:sz w:val="18"/>
                      <w:szCs w:val="18"/>
                      <w:highlight w:val="none"/>
                      <w:lang w:val="en-US" w:eastAsia="zh-CN"/>
                    </w:rPr>
                    <w:t>”装置进行处理，生产过程确保</w:t>
                  </w:r>
                  <w:r>
                    <w:rPr>
                      <w:rFonts w:hint="default" w:ascii="Times New Roman" w:hAnsi="Times New Roman" w:cs="Times New Roman" w:eastAsiaTheme="minorEastAsia"/>
                      <w:color w:val="auto"/>
                      <w:sz w:val="18"/>
                      <w:szCs w:val="18"/>
                      <w:highlight w:val="none"/>
                    </w:rPr>
                    <w:t>治理设施同步运行率和去除率分别达到100%和</w:t>
                  </w:r>
                  <w:r>
                    <w:rPr>
                      <w:rFonts w:hint="default" w:ascii="Times New Roman" w:hAnsi="Times New Roman" w:cs="Times New Roman" w:eastAsiaTheme="minorEastAsia"/>
                      <w:color w:val="auto"/>
                      <w:sz w:val="18"/>
                      <w:szCs w:val="18"/>
                      <w:highlight w:val="none"/>
                      <w:lang w:val="en-US" w:eastAsia="zh-CN"/>
                    </w:rPr>
                    <w:t>80</w:t>
                  </w:r>
                  <w:r>
                    <w:rPr>
                      <w:rFonts w:hint="default" w:ascii="Times New Roman" w:hAnsi="Times New Roman" w:cs="Times New Roman" w:eastAsiaTheme="minorEastAsia"/>
                      <w:color w:val="auto"/>
                      <w:sz w:val="18"/>
                      <w:szCs w:val="18"/>
                      <w:highlight w:val="none"/>
                    </w:rPr>
                    <w:t>%</w:t>
                  </w:r>
                </w:p>
              </w:tc>
              <w:tc>
                <w:tcPr>
                  <w:tcW w:w="479" w:type="pct"/>
                  <w:vMerge w:val="continue"/>
                  <w:tcBorders>
                    <w:left w:val="nil"/>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c>
                <w:tcPr>
                  <w:tcW w:w="2230"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3.锅炉烟气排放限值要求：</w:t>
                  </w:r>
                </w:p>
                <w:p>
                  <w:pPr>
                    <w:keepNext w:val="0"/>
                    <w:keepLines w:val="0"/>
                    <w:pageBreakBefore w:val="0"/>
                    <w:widowControl/>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燃气锅炉PM、SO</w:t>
                  </w:r>
                  <w:r>
                    <w:rPr>
                      <w:rFonts w:hint="default" w:ascii="Times New Roman" w:hAnsi="Times New Roman" w:cs="Times New Roman" w:eastAsiaTheme="minorEastAsia"/>
                      <w:color w:val="auto"/>
                      <w:sz w:val="18"/>
                      <w:szCs w:val="18"/>
                      <w:highlight w:val="none"/>
                      <w:vertAlign w:val="subscript"/>
                    </w:rPr>
                    <w:t>2</w:t>
                  </w:r>
                  <w:r>
                    <w:rPr>
                      <w:rFonts w:hint="default" w:ascii="Times New Roman" w:hAnsi="Times New Roman" w:cs="Times New Roman" w:eastAsiaTheme="minorEastAsia"/>
                      <w:color w:val="auto"/>
                      <w:sz w:val="18"/>
                      <w:szCs w:val="18"/>
                      <w:highlight w:val="none"/>
                    </w:rPr>
                    <w:t>、NOx排放浓度分别不高于：5、10、50/30</w:t>
                  </w:r>
                  <w:r>
                    <w:rPr>
                      <w:rFonts w:hint="default" w:ascii="Times New Roman" w:hAnsi="Times New Roman" w:cs="Times New Roman" w:eastAsiaTheme="minorEastAsia"/>
                      <w:color w:val="auto"/>
                      <w:sz w:val="18"/>
                      <w:szCs w:val="18"/>
                      <w:highlight w:val="none"/>
                      <w:vertAlign w:val="superscript"/>
                    </w:rPr>
                    <w:t>【1】</w:t>
                  </w:r>
                  <w:r>
                    <w:rPr>
                      <w:rFonts w:hint="default" w:ascii="Times New Roman" w:hAnsi="Times New Roman" w:cs="Times New Roman" w:eastAsiaTheme="minorEastAsia"/>
                      <w:color w:val="auto"/>
                      <w:sz w:val="18"/>
                      <w:szCs w:val="18"/>
                      <w:highlight w:val="none"/>
                    </w:rPr>
                    <w:t>mg/m</w:t>
                  </w:r>
                  <w:r>
                    <w:rPr>
                      <w:rFonts w:hint="default" w:ascii="Times New Roman" w:hAnsi="Times New Roman" w:cs="Times New Roman" w:eastAsiaTheme="minorEastAsia"/>
                      <w:color w:val="auto"/>
                      <w:sz w:val="18"/>
                      <w:szCs w:val="18"/>
                      <w:highlight w:val="none"/>
                      <w:vertAlign w:val="superscript"/>
                    </w:rPr>
                    <w:t>3</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lang w:eastAsia="zh-CN"/>
                    </w:rPr>
                    <w:t>本项目不涉及</w:t>
                  </w:r>
                </w:p>
              </w:tc>
              <w:tc>
                <w:tcPr>
                  <w:tcW w:w="479" w:type="pct"/>
                  <w:vMerge w:val="continue"/>
                  <w:tcBorders>
                    <w:left w:val="nil"/>
                    <w:bottom w:val="single" w:color="auto" w:sz="4" w:space="0"/>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restart"/>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运输方式</w:t>
                  </w:r>
                </w:p>
              </w:tc>
              <w:tc>
                <w:tcPr>
                  <w:tcW w:w="2230" w:type="pct"/>
                  <w:tcBorders>
                    <w:top w:val="single" w:color="auto" w:sz="4" w:space="0"/>
                    <w:left w:val="nil"/>
                    <w:bottom w:val="single" w:color="auto" w:sz="4" w:space="0"/>
                    <w:right w:val="single" w:color="auto" w:sz="4" w:space="0"/>
                  </w:tcBorders>
                  <w:vAlign w:val="center"/>
                </w:tcPr>
                <w:p>
                  <w:pPr>
                    <w:pStyle w:val="69"/>
                    <w:keepNext w:val="0"/>
                    <w:keepLines w:val="0"/>
                    <w:pageBreakBefore w:val="0"/>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1.物料、产品运输全部使用国五及以上排放标准的重型载货车辆（含燃气）或新能源车辆；</w:t>
                  </w:r>
                </w:p>
              </w:tc>
              <w:tc>
                <w:tcPr>
                  <w:tcW w:w="1907"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kern w:val="0"/>
                      <w:sz w:val="18"/>
                      <w:szCs w:val="18"/>
                      <w:highlight w:val="none"/>
                    </w:rPr>
                  </w:pPr>
                  <w:r>
                    <w:rPr>
                      <w:rFonts w:hint="default" w:ascii="Times New Roman" w:hAnsi="Times New Roman" w:cs="Times New Roman" w:eastAsiaTheme="minorEastAsia"/>
                      <w:color w:val="auto"/>
                      <w:kern w:val="0"/>
                      <w:sz w:val="18"/>
                      <w:szCs w:val="18"/>
                      <w:highlight w:val="none"/>
                    </w:rPr>
                    <w:t>工程原料和成品运输均委托汽运公司采用国五及以上车辆运输</w:t>
                  </w:r>
                </w:p>
              </w:tc>
              <w:tc>
                <w:tcPr>
                  <w:tcW w:w="479" w:type="pct"/>
                  <w:vMerge w:val="restart"/>
                  <w:tcBorders>
                    <w:top w:val="single" w:color="auto" w:sz="4" w:space="0"/>
                    <w:left w:val="nil"/>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none"/>
                    </w:rPr>
                  </w:pPr>
                </w:p>
              </w:tc>
              <w:tc>
                <w:tcPr>
                  <w:tcW w:w="2230" w:type="pct"/>
                  <w:tcBorders>
                    <w:top w:val="single" w:color="auto" w:sz="4" w:space="0"/>
                    <w:left w:val="nil"/>
                    <w:bottom w:val="single" w:color="auto" w:sz="4" w:space="0"/>
                    <w:right w:val="single" w:color="auto" w:sz="4" w:space="0"/>
                  </w:tcBorders>
                  <w:vAlign w:val="center"/>
                </w:tcPr>
                <w:p>
                  <w:pPr>
                    <w:pStyle w:val="69"/>
                    <w:keepNext w:val="0"/>
                    <w:keepLines w:val="0"/>
                    <w:pageBreakBefore w:val="0"/>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2.厂区车辆全部达国五及以上排放标准（含燃气）或使用新能源车辆；</w:t>
                  </w:r>
                </w:p>
              </w:tc>
              <w:tc>
                <w:tcPr>
                  <w:tcW w:w="1907" w:type="pct"/>
                  <w:vMerge w:val="restart"/>
                  <w:tcBorders>
                    <w:top w:val="single" w:color="auto" w:sz="4" w:space="0"/>
                    <w:left w:val="nil"/>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本项目不涉及使用大宗物料，因此厂区内无运输车间，车间内物料输送均采用手拉式板车</w:t>
                  </w:r>
                </w:p>
              </w:tc>
              <w:tc>
                <w:tcPr>
                  <w:tcW w:w="479" w:type="pct"/>
                  <w:vMerge w:val="continue"/>
                  <w:tcBorders>
                    <w:left w:val="nil"/>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82" w:type="pct"/>
                  <w:vMerge w:val="continue"/>
                  <w:tcBorders>
                    <w:left w:val="nil"/>
                    <w:right w:val="single" w:color="auto" w:sz="4" w:space="0"/>
                  </w:tcBorders>
                  <w:vAlign w:val="center"/>
                </w:tcPr>
                <w:p>
                  <w:pPr>
                    <w:keepNext w:val="0"/>
                    <w:keepLines w:val="0"/>
                    <w:pageBreakBefore w:val="0"/>
                    <w:widowControl/>
                    <w:kinsoku/>
                    <w:wordWrap/>
                    <w:overflowPunct/>
                    <w:topLinePunct w:val="0"/>
                    <w:bidi w:val="0"/>
                    <w:adjustRightInd/>
                    <w:snapToGrid/>
                    <w:spacing w:line="320" w:lineRule="exact"/>
                    <w:ind w:left="0" w:right="0" w:firstLine="0" w:firstLineChars="0"/>
                    <w:jc w:val="center"/>
                    <w:rPr>
                      <w:rFonts w:hint="default" w:ascii="Times New Roman" w:hAnsi="Times New Roman" w:cs="Times New Roman" w:eastAsiaTheme="minorEastAsia"/>
                      <w:color w:val="auto"/>
                      <w:sz w:val="18"/>
                      <w:szCs w:val="18"/>
                      <w:highlight w:val="green"/>
                    </w:rPr>
                  </w:pPr>
                </w:p>
              </w:tc>
              <w:tc>
                <w:tcPr>
                  <w:tcW w:w="2230" w:type="pct"/>
                  <w:tcBorders>
                    <w:top w:val="single" w:color="auto" w:sz="4" w:space="0"/>
                    <w:left w:val="nil"/>
                    <w:bottom w:val="single" w:color="auto" w:sz="4" w:space="0"/>
                    <w:right w:val="single" w:color="auto" w:sz="4" w:space="0"/>
                  </w:tcBorders>
                  <w:vAlign w:val="center"/>
                </w:tcPr>
                <w:p>
                  <w:pPr>
                    <w:pStyle w:val="69"/>
                    <w:keepNext w:val="0"/>
                    <w:keepLines w:val="0"/>
                    <w:pageBreakBefore w:val="0"/>
                    <w:kinsoku/>
                    <w:wordWrap/>
                    <w:overflowPunct/>
                    <w:topLinePunct w:val="0"/>
                    <w:bidi w:val="0"/>
                    <w:adjustRightInd/>
                    <w:snapToGrid/>
                    <w:spacing w:line="320" w:lineRule="exact"/>
                    <w:ind w:left="0" w:right="0" w:firstLine="0" w:firstLineChars="0"/>
                    <w:jc w:val="both"/>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3.厂内非道路移动机械达到国三及以上排放标准或使用新能源机械。</w:t>
                  </w:r>
                </w:p>
              </w:tc>
              <w:tc>
                <w:tcPr>
                  <w:tcW w:w="1907" w:type="pct"/>
                  <w:vMerge w:val="continue"/>
                  <w:tcBorders>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both"/>
                    <w:textAlignment w:val="baseline"/>
                    <w:rPr>
                      <w:rFonts w:hint="default" w:ascii="Times New Roman" w:hAnsi="Times New Roman" w:cs="Times New Roman" w:eastAsiaTheme="minorEastAsia"/>
                      <w:color w:val="auto"/>
                      <w:kern w:val="0"/>
                      <w:sz w:val="18"/>
                      <w:szCs w:val="18"/>
                      <w:highlight w:val="green"/>
                      <w:lang w:eastAsia="zh-CN"/>
                    </w:rPr>
                  </w:pPr>
                </w:p>
              </w:tc>
              <w:tc>
                <w:tcPr>
                  <w:tcW w:w="479" w:type="pct"/>
                  <w:vMerge w:val="continue"/>
                  <w:tcBorders>
                    <w:left w:val="nil"/>
                    <w:bottom w:val="single" w:color="auto" w:sz="4" w:space="0"/>
                    <w:right w:val="nil"/>
                  </w:tcBorders>
                  <w:vAlign w:val="center"/>
                </w:tcPr>
                <w:p>
                  <w:pPr>
                    <w:keepNext w:val="0"/>
                    <w:keepLines w:val="0"/>
                    <w:pageBreakBefore w:val="0"/>
                    <w:kinsoku/>
                    <w:wordWrap/>
                    <w:overflowPunct/>
                    <w:topLinePunct w:val="0"/>
                    <w:bidi w:val="0"/>
                    <w:adjustRightInd/>
                    <w:snapToGrid/>
                    <w:spacing w:line="320" w:lineRule="exact"/>
                    <w:ind w:left="0" w:right="0" w:firstLine="0" w:firstLineChars="0"/>
                    <w:jc w:val="center"/>
                    <w:textAlignment w:val="baseline"/>
                    <w:rPr>
                      <w:rFonts w:hint="default" w:ascii="Times New Roman" w:hAnsi="Times New Roman" w:cs="Times New Roman" w:eastAsiaTheme="minorEastAsia"/>
                      <w:color w:val="auto"/>
                      <w:sz w:val="18"/>
                      <w:szCs w:val="18"/>
                      <w:highlight w:val="green"/>
                    </w:rPr>
                  </w:pPr>
                </w:p>
              </w:tc>
            </w:tr>
          </w:tbl>
          <w:p>
            <w:pPr>
              <w:pStyle w:val="1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本项目将严格按照上述要求进行建设，符合A级企业要求，并积极接受生态环境管理部门的监督检查。</w:t>
            </w:r>
          </w:p>
          <w:p>
            <w:pPr>
              <w:numPr>
                <w:ilvl w:val="0"/>
                <w:numId w:val="0"/>
              </w:numPr>
              <w:bidi w:val="0"/>
              <w:rPr>
                <w:rFonts w:hint="default" w:ascii="Times New Roman" w:hAnsi="Times New Roman" w:cs="Times New Roman"/>
                <w:b/>
                <w:bCs/>
                <w:color w:val="auto"/>
                <w:highlight w:val="none"/>
              </w:rPr>
            </w:pPr>
            <w:r>
              <w:rPr>
                <w:rFonts w:hint="eastAsia" w:cs="Times New Roman"/>
                <w:b/>
                <w:bCs/>
                <w:color w:val="auto"/>
                <w:highlight w:val="none"/>
                <w:lang w:val="en-US" w:eastAsia="zh-CN"/>
              </w:rPr>
              <w:t>8、</w:t>
            </w:r>
            <w:r>
              <w:rPr>
                <w:rFonts w:hint="default" w:ascii="Times New Roman" w:hAnsi="Times New Roman" w:cs="Times New Roman"/>
                <w:b/>
                <w:bCs/>
                <w:color w:val="auto"/>
                <w:highlight w:val="none"/>
              </w:rPr>
              <w:t>与《加快白色污染治理促进美丽河南建设行动方案》相符性分析</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与《加快白色污染治理促进美丽河南建设行动方案》相符性</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29"/>
              <w:gridCol w:w="2098"/>
              <w:gridCol w:w="6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3" w:type="pct"/>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文件相关要求</w:t>
                  </w:r>
                </w:p>
              </w:tc>
              <w:tc>
                <w:tcPr>
                  <w:tcW w:w="1548" w:type="pct"/>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本项目建设情况</w:t>
                  </w:r>
                </w:p>
              </w:tc>
              <w:tc>
                <w:tcPr>
                  <w:tcW w:w="477" w:type="pct"/>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3" w:type="pct"/>
                  <w:noWrap w:val="0"/>
                  <w:vAlign w:val="center"/>
                </w:tcPr>
                <w:p>
                  <w:pPr>
                    <w:keepNext w:val="0"/>
                    <w:keepLines w:val="0"/>
                    <w:pageBreakBefore w:val="0"/>
                    <w:widowControl w:val="0"/>
                    <w:wordWrap/>
                    <w:topLinePunct w:val="0"/>
                    <w:bidi w:val="0"/>
                    <w:adjustRightInd/>
                    <w:snapToGrid/>
                    <w:spacing w:line="320" w:lineRule="exact"/>
                    <w:ind w:firstLine="0" w:firstLineChars="0"/>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行动方案》坚持“强化源头治理，分类实施管控”的原则，规定在全省范围内禁止生产和销售一批塑料制品：包括使用量巨大的超薄塑料袋、超薄聚乙烯农用地膜、一次性发泡塑料餐具、一次性塑料棉签等一次性塑料制品；禁止进口废塑料等“洋垃圾”或以医疗废物为原料制造塑料制品，保护人民群众健康和安全；逐步禁止销售含塑料微珠的牙膏、沐浴露等日化产品，防止“看不见”的白色污染。同时，统筹考虑相关产业转型发展和居民消费方式改变需要适应过程，在商品零售、会展、餐饮、电商快递、农用地膜等领域，逐步禁止或限制使用不可降解塑料袋、一次性塑料制品、快递塑料包装、超薄聚乙烯农用地膜等，推进塑料制品的减量化，减少环境污染。</w:t>
                  </w:r>
                </w:p>
              </w:tc>
              <w:tc>
                <w:tcPr>
                  <w:tcW w:w="1548" w:type="pct"/>
                  <w:noWrap w:val="0"/>
                  <w:vAlign w:val="center"/>
                </w:tcPr>
                <w:p>
                  <w:pPr>
                    <w:keepNext w:val="0"/>
                    <w:keepLines w:val="0"/>
                    <w:pageBreakBefore w:val="0"/>
                    <w:widowControl w:val="0"/>
                    <w:wordWrap/>
                    <w:topLinePunct w:val="0"/>
                    <w:bidi w:val="0"/>
                    <w:adjustRightInd/>
                    <w:snapToGrid/>
                    <w:spacing w:line="320" w:lineRule="exact"/>
                    <w:ind w:firstLine="0" w:firstLineChars="0"/>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本项目产品为锂电池密封圈和牙线棒，不属于</w:t>
                  </w:r>
                  <w:r>
                    <w:rPr>
                      <w:rFonts w:hint="default" w:ascii="Times New Roman" w:hAnsi="Times New Roman" w:cs="Times New Roman"/>
                      <w:bCs/>
                      <w:color w:val="auto"/>
                      <w:sz w:val="18"/>
                      <w:szCs w:val="18"/>
                      <w:highlight w:val="none"/>
                    </w:rPr>
                    <w:t>在全省范围内禁止生产和销售</w:t>
                  </w:r>
                  <w:r>
                    <w:rPr>
                      <w:rFonts w:hint="default" w:ascii="Times New Roman" w:hAnsi="Times New Roman" w:cs="Times New Roman"/>
                      <w:bCs/>
                      <w:color w:val="auto"/>
                      <w:sz w:val="18"/>
                      <w:szCs w:val="18"/>
                      <w:highlight w:val="none"/>
                      <w:lang w:eastAsia="zh-CN"/>
                    </w:rPr>
                    <w:t>的</w:t>
                  </w:r>
                  <w:r>
                    <w:rPr>
                      <w:rFonts w:hint="default" w:ascii="Times New Roman" w:hAnsi="Times New Roman" w:cs="Times New Roman"/>
                      <w:bCs/>
                      <w:color w:val="auto"/>
                      <w:sz w:val="18"/>
                      <w:szCs w:val="18"/>
                      <w:highlight w:val="none"/>
                    </w:rPr>
                    <w:t>塑料制品</w:t>
                  </w:r>
                </w:p>
              </w:tc>
              <w:tc>
                <w:tcPr>
                  <w:tcW w:w="477" w:type="pct"/>
                  <w:noWrap w:val="0"/>
                  <w:vAlign w:val="center"/>
                </w:tcPr>
                <w:p>
                  <w:pPr>
                    <w:keepNext w:val="0"/>
                    <w:keepLines w:val="0"/>
                    <w:pageBreakBefore w:val="0"/>
                    <w:widowControl w:val="0"/>
                    <w:wordWrap/>
                    <w:overflowPunct w:val="0"/>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Cs w:val="24"/>
                <w:highlight w:val="none"/>
                <w:u w:val="none"/>
                <w:lang w:val="en-US" w:eastAsia="zh-CN"/>
              </w:rPr>
              <w:t>由上表可知，本项目符合《加快白色污染治理促进美丽河南建设行动方案》相关要求。</w:t>
            </w:r>
          </w:p>
          <w:p>
            <w:pPr>
              <w:numPr>
                <w:ilvl w:val="0"/>
                <w:numId w:val="0"/>
              </w:num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9、</w:t>
            </w:r>
            <w:r>
              <w:rPr>
                <w:rFonts w:hint="default" w:ascii="Times New Roman" w:hAnsi="Times New Roman" w:cs="Times New Roman"/>
                <w:b/>
                <w:bCs/>
                <w:color w:val="auto"/>
                <w:highlight w:val="none"/>
              </w:rPr>
              <w:t>与《河南省相关塑料制品禁限管理细化标准》相符性分析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Cs w:val="24"/>
                <w:highlight w:val="none"/>
                <w:u w:val="none"/>
                <w:lang w:val="en-US" w:eastAsia="zh-CN"/>
              </w:rPr>
              <w:t>本项目产品为锂电池密封圈和牙线棒，经对照《河南省相关塑料制品禁限管理细化标准》相关要求，本项目产品不属禁止类塑料制品。</w:t>
            </w:r>
          </w:p>
          <w:p>
            <w:pPr>
              <w:pStyle w:val="2"/>
              <w:keepNext/>
              <w:keepLines w:val="0"/>
              <w:pageBreakBefore w:val="0"/>
              <w:widowControl w:val="0"/>
              <w:numPr>
                <w:ilvl w:val="0"/>
                <w:numId w:val="0"/>
              </w:numPr>
              <w:kinsoku/>
              <w:wordWrap/>
              <w:overflowPunct w:val="0"/>
              <w:topLinePunct w:val="0"/>
              <w:autoSpaceDE/>
              <w:autoSpaceDN/>
              <w:bidi w:val="0"/>
              <w:adjustRightInd/>
              <w:snapToGrid w:val="0"/>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10、</w:t>
            </w:r>
            <w:r>
              <w:rPr>
                <w:rFonts w:hint="default" w:ascii="Times New Roman" w:hAnsi="Times New Roman" w:cs="Times New Roman"/>
                <w:color w:val="auto"/>
                <w:highlight w:val="none"/>
              </w:rPr>
              <w:t>与《新乡市生态环境局关于部署按照工业企业用电量监控系统的通知》（新环[2019]154号）（以下简称用电量监控通知）的对照分析</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项目与《用电量监控通知》相符性分析</w:t>
            </w:r>
          </w:p>
          <w:tbl>
            <w:tblPr>
              <w:tblStyle w:val="22"/>
              <w:tblW w:w="4999" w:type="pct"/>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3378"/>
              <w:gridCol w:w="2079"/>
              <w:gridCol w:w="647"/>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249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《新乡市生态环境局关于部署按照工业企业用电量监控系统的通知》有关要求</w:t>
                  </w:r>
                </w:p>
              </w:tc>
              <w:tc>
                <w:tcPr>
                  <w:tcW w:w="1534"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477"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对比</w:t>
                  </w:r>
                </w:p>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结论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安装范围</w:t>
                  </w:r>
                </w:p>
              </w:tc>
              <w:tc>
                <w:tcPr>
                  <w:tcW w:w="249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第一批安装部署用电量监控系统的企业为：新乡市辖区内国控、省控、市控重点监控企业、涉VOCs污染排放的企业、铸造行业、建材行业，然后逐步扩展至新乡市辖区内所有排污企业。所有排污企业的总用电控制位置、主要生产设施和污染治理设施必须安装用电量监控系统终端。</w:t>
                  </w:r>
                </w:p>
              </w:tc>
              <w:tc>
                <w:tcPr>
                  <w:tcW w:w="1534"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本项目属于用电量监控系统的安装范围，企业应按照要求在总用电控制位置、主要生产设施和污染治理设施安装用电量监控系统终端。</w:t>
                  </w:r>
                </w:p>
              </w:tc>
              <w:tc>
                <w:tcPr>
                  <w:tcW w:w="477"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bidi w:val="0"/>
              <w:rPr>
                <w:rFonts w:hint="default" w:ascii="Times New Roman" w:hAnsi="Times New Roman" w:cs="Times New Roman"/>
                <w:color w:val="auto"/>
                <w:highlight w:val="green"/>
              </w:rPr>
            </w:pPr>
            <w:r>
              <w:rPr>
                <w:rFonts w:hint="default" w:ascii="Times New Roman" w:hAnsi="Times New Roman" w:cs="Times New Roman"/>
                <w:color w:val="auto"/>
                <w:highlight w:val="none"/>
              </w:rPr>
              <w:t>本项目应按照要求在总用电控制位置、主要生产设施和污染治理设施安装用电量监控系统终端。</w:t>
            </w:r>
          </w:p>
          <w:p>
            <w:pPr>
              <w:pStyle w:val="2"/>
              <w:keepNext/>
              <w:keepLines w:val="0"/>
              <w:pageBreakBefore w:val="0"/>
              <w:widowControl w:val="0"/>
              <w:kinsoku/>
              <w:wordWrap/>
              <w:overflowPunct w:val="0"/>
              <w:topLinePunct w:val="0"/>
              <w:autoSpaceDE/>
              <w:autoSpaceDN/>
              <w:bidi w:val="0"/>
              <w:adjustRightInd/>
              <w:snapToGrid w:val="0"/>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11、饮用水源保护区规划</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《新乡市城市饮用水水源地保护区划分报告》（2007.5）已由河南省人民政府以豫政办[2007]125号文批复，具体划分结果见下表。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新乡市城市集中饮用水源地</w:t>
            </w:r>
          </w:p>
          <w:tbl>
            <w:tblPr>
              <w:tblStyle w:val="2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37"/>
              <w:gridCol w:w="2446"/>
              <w:gridCol w:w="24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8"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水源地名称</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一级保护区</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8"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凤泉水厂地下水饮用水源保护区</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以水厂东、西两院的院墙为界向外10米以及输水管线两侧10米的区域。</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东以团结路为界，其他三面以水厂院墙为界，向外100米的区域。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8"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卫辉市塔岗水库地表水饮用水源保护区</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取水口外围300米的水域、正常水位线取水口一侧200米的陆域及输水管道两侧10米的陆域。</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一级保护区外的水域及山脊线内、入库河流上游3000米的陆域。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8" w:type="pct"/>
                  <w:noWrap w:val="0"/>
                  <w:vAlign w:val="center"/>
                </w:tcPr>
                <w:p>
                  <w:pPr>
                    <w:pStyle w:val="59"/>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3</w:t>
                  </w:r>
                </w:p>
              </w:tc>
              <w:tc>
                <w:tcPr>
                  <w:tcW w:w="913"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辉县市段屯地下水饮用水源保护区</w:t>
                  </w:r>
                </w:p>
              </w:tc>
              <w:tc>
                <w:tcPr>
                  <w:tcW w:w="1805"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井群外围线以外30米的区域及输水管道两侧10米的陆域。</w:t>
                  </w:r>
                </w:p>
              </w:tc>
              <w:tc>
                <w:tcPr>
                  <w:tcW w:w="1812" w:type="pct"/>
                  <w:noWrap w:val="0"/>
                  <w:vAlign w:val="center"/>
                </w:tcPr>
                <w:p>
                  <w:pPr>
                    <w:pStyle w:val="59"/>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卫柿路以北，东外环路以东，井群外围线外300米以西和以南的区域。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18"/>
                      <w:szCs w:val="18"/>
                      <w:highlight w:val="none"/>
                      <w:lang w:val="en-US" w:eastAsia="zh-CN"/>
                    </w:rPr>
                    <w:t>4</w:t>
                  </w:r>
                </w:p>
              </w:tc>
              <w:tc>
                <w:tcPr>
                  <w:tcW w:w="123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eastAsia="zh-CN"/>
                    </w:rPr>
                    <w:t>七里营引黄水源地饮用水水源保护区</w:t>
                  </w:r>
                </w:p>
              </w:tc>
              <w:tc>
                <w:tcPr>
                  <w:tcW w:w="490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18"/>
                      <w:szCs w:val="18"/>
                      <w:highlight w:val="none"/>
                      <w:lang w:eastAsia="zh-CN"/>
                    </w:rPr>
                    <w:t>水域：人民胜利渠新乡市界至本源水厂东厂界的</w:t>
                  </w:r>
                  <w:r>
                    <w:rPr>
                      <w:rFonts w:hint="default" w:ascii="Times New Roman" w:hAnsi="Times New Roman" w:cs="Times New Roman"/>
                      <w:color w:val="auto"/>
                      <w:sz w:val="18"/>
                      <w:szCs w:val="18"/>
                      <w:highlight w:val="none"/>
                      <w:lang w:val="en-US" w:eastAsia="zh-CN"/>
                    </w:rPr>
                    <w:t>30m明渠水域；本源水厂厂区范围内七里营蓄水池及沉砂池的水域。陆域：人民胜利渠新乡市界至本源水厂东厂界渠道外两侧20m的工程管理陆域；本源水厂厂区范围内的陆域。</w:t>
                  </w:r>
                </w:p>
              </w:tc>
            </w:tr>
          </w:tbl>
          <w:p>
            <w:pPr>
              <w:pStyle w:val="5"/>
              <w:keepNext w:val="0"/>
              <w:keepLines w:val="0"/>
              <w:pageBreakBefore w:val="0"/>
              <w:widowControl w:val="0"/>
              <w:numPr>
                <w:ilvl w:val="3"/>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z w:val="21"/>
                <w:szCs w:val="21"/>
                <w:highlight w:val="none"/>
                <w:lang w:eastAsia="zh-CN"/>
              </w:rPr>
              <w:t>根据</w:t>
            </w:r>
            <w:r>
              <w:rPr>
                <w:rFonts w:hint="default" w:ascii="Times New Roman" w:hAnsi="Times New Roman" w:eastAsia="宋体" w:cs="Times New Roman"/>
                <w:b w:val="0"/>
                <w:bCs w:val="0"/>
                <w:color w:val="auto"/>
                <w:sz w:val="21"/>
                <w:szCs w:val="21"/>
                <w:highlight w:val="none"/>
              </w:rPr>
              <w:t>《新乡市城市饮用水水源地保护区划分报告》（2007.5）</w:t>
            </w:r>
            <w:r>
              <w:rPr>
                <w:rFonts w:hint="default" w:ascii="Times New Roman" w:hAnsi="Times New Roman" w:eastAsia="宋体" w:cs="Times New Roman"/>
                <w:b w:val="0"/>
                <w:bCs w:val="0"/>
                <w:color w:val="auto"/>
                <w:sz w:val="21"/>
                <w:szCs w:val="21"/>
                <w:highlight w:val="none"/>
                <w:lang w:eastAsia="zh-CN"/>
              </w:rPr>
              <w:t>，距离</w:t>
            </w:r>
            <w:r>
              <w:rPr>
                <w:rFonts w:hint="default" w:ascii="Times New Roman" w:hAnsi="Times New Roman" w:eastAsia="宋体" w:cs="Times New Roman"/>
                <w:b w:val="0"/>
                <w:bCs w:val="0"/>
                <w:color w:val="auto"/>
                <w:sz w:val="21"/>
                <w:szCs w:val="21"/>
                <w:highlight w:val="none"/>
              </w:rPr>
              <w:t>项目选址最近的</w:t>
            </w:r>
            <w:r>
              <w:rPr>
                <w:rFonts w:hint="default" w:ascii="Times New Roman" w:hAnsi="Times New Roman" w:eastAsia="宋体" w:cs="Times New Roman"/>
                <w:b w:val="0"/>
                <w:bCs w:val="0"/>
                <w:color w:val="auto"/>
                <w:sz w:val="21"/>
                <w:szCs w:val="21"/>
                <w:highlight w:val="none"/>
                <w:lang w:eastAsia="zh-CN"/>
              </w:rPr>
              <w:t>饮用</w:t>
            </w:r>
            <w:r>
              <w:rPr>
                <w:rFonts w:hint="default" w:ascii="Times New Roman" w:hAnsi="Times New Roman" w:eastAsia="宋体" w:cs="Times New Roman"/>
                <w:b w:val="0"/>
                <w:bCs w:val="0"/>
                <w:color w:val="auto"/>
                <w:sz w:val="21"/>
                <w:szCs w:val="21"/>
                <w:highlight w:val="none"/>
              </w:rPr>
              <w:t>水</w:t>
            </w:r>
            <w:r>
              <w:rPr>
                <w:rFonts w:hint="default" w:ascii="Times New Roman" w:hAnsi="Times New Roman" w:eastAsia="宋体" w:cs="Times New Roman"/>
                <w:b w:val="0"/>
                <w:bCs w:val="0"/>
                <w:color w:val="auto"/>
                <w:sz w:val="21"/>
                <w:szCs w:val="21"/>
                <w:highlight w:val="none"/>
                <w:lang w:eastAsia="zh-CN"/>
              </w:rPr>
              <w:t>水</w:t>
            </w:r>
            <w:r>
              <w:rPr>
                <w:rFonts w:hint="default" w:ascii="Times New Roman" w:hAnsi="Times New Roman" w:eastAsia="宋体" w:cs="Times New Roman"/>
                <w:b w:val="0"/>
                <w:bCs w:val="0"/>
                <w:color w:val="auto"/>
                <w:sz w:val="21"/>
                <w:szCs w:val="21"/>
                <w:highlight w:val="none"/>
              </w:rPr>
              <w:t>源保护</w:t>
            </w:r>
            <w:r>
              <w:rPr>
                <w:rFonts w:hint="default" w:ascii="Times New Roman" w:hAnsi="Times New Roman" w:eastAsia="宋体" w:cs="Times New Roman"/>
                <w:b w:val="0"/>
                <w:bCs w:val="0"/>
                <w:color w:val="auto"/>
                <w:sz w:val="21"/>
                <w:szCs w:val="21"/>
                <w:highlight w:val="none"/>
                <w:lang w:eastAsia="zh-CN"/>
              </w:rPr>
              <w:t>区</w:t>
            </w:r>
            <w:r>
              <w:rPr>
                <w:rFonts w:hint="default" w:ascii="Times New Roman" w:hAnsi="Times New Roman" w:eastAsia="宋体" w:cs="Times New Roman"/>
                <w:b w:val="0"/>
                <w:bCs w:val="0"/>
                <w:color w:val="auto"/>
                <w:sz w:val="21"/>
                <w:szCs w:val="21"/>
                <w:highlight w:val="none"/>
              </w:rPr>
              <w:t>为</w:t>
            </w:r>
            <w:r>
              <w:rPr>
                <w:rFonts w:hint="default" w:ascii="Times New Roman" w:hAnsi="Times New Roman" w:cs="Times New Roman"/>
                <w:b w:val="0"/>
                <w:bCs w:val="0"/>
                <w:color w:val="auto"/>
                <w:sz w:val="21"/>
                <w:szCs w:val="21"/>
                <w:highlight w:val="none"/>
                <w:lang w:eastAsia="zh-CN"/>
              </w:rPr>
              <w:t>东侧</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cs="Times New Roman"/>
                <w:b w:val="0"/>
                <w:bCs w:val="0"/>
                <w:color w:val="auto"/>
                <w:sz w:val="21"/>
                <w:szCs w:val="21"/>
                <w:highlight w:val="none"/>
                <w:lang w:val="en-US" w:eastAsia="zh-CN"/>
              </w:rPr>
              <w:t>凤泉区水厂地下水</w:t>
            </w:r>
            <w:r>
              <w:rPr>
                <w:rFonts w:hint="default" w:ascii="Times New Roman" w:hAnsi="Times New Roman" w:eastAsia="宋体" w:cs="Times New Roman"/>
                <w:b w:val="0"/>
                <w:bCs w:val="0"/>
                <w:color w:val="auto"/>
                <w:sz w:val="21"/>
                <w:szCs w:val="21"/>
                <w:highlight w:val="none"/>
                <w:lang w:val="en-US" w:eastAsia="zh-CN"/>
              </w:rPr>
              <w:t>饮用水源保护区</w:t>
            </w:r>
            <w:r>
              <w:rPr>
                <w:rFonts w:hint="default" w:ascii="Times New Roman" w:hAnsi="Times New Roman" w:eastAsia="宋体" w:cs="Times New Roman"/>
                <w:b w:val="0"/>
                <w:bCs w:val="0"/>
                <w:color w:val="auto"/>
                <w:sz w:val="21"/>
                <w:szCs w:val="21"/>
                <w:highlight w:val="none"/>
              </w:rPr>
              <w:t>，项目距离</w:t>
            </w:r>
            <w:r>
              <w:rPr>
                <w:rFonts w:hint="default" w:ascii="Times New Roman" w:hAnsi="Times New Roman" w:eastAsia="宋体" w:cs="Times New Roman"/>
                <w:b w:val="0"/>
                <w:bCs w:val="0"/>
                <w:color w:val="auto"/>
                <w:sz w:val="21"/>
                <w:szCs w:val="21"/>
                <w:highlight w:val="none"/>
                <w:lang w:eastAsia="zh-CN"/>
              </w:rPr>
              <w:t>该饮用水源二级</w:t>
            </w:r>
            <w:r>
              <w:rPr>
                <w:rFonts w:hint="default" w:ascii="Times New Roman" w:hAnsi="Times New Roman" w:eastAsia="宋体" w:cs="Times New Roman"/>
                <w:b w:val="0"/>
                <w:bCs w:val="0"/>
                <w:color w:val="auto"/>
                <w:sz w:val="21"/>
                <w:szCs w:val="21"/>
                <w:highlight w:val="none"/>
              </w:rPr>
              <w:t>保护区边界约</w:t>
            </w:r>
            <w:r>
              <w:rPr>
                <w:rFonts w:hint="default" w:ascii="Times New Roman" w:hAnsi="Times New Roman"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k</w:t>
            </w:r>
            <w:r>
              <w:rPr>
                <w:rFonts w:hint="default" w:ascii="Times New Roman" w:hAnsi="Times New Roman" w:eastAsia="宋体" w:cs="Times New Roman"/>
                <w:b w:val="0"/>
                <w:bCs w:val="0"/>
                <w:color w:val="auto"/>
                <w:sz w:val="21"/>
                <w:szCs w:val="21"/>
                <w:highlight w:val="none"/>
              </w:rPr>
              <w:t>m，不在其保护区范围内。</w:t>
            </w:r>
          </w:p>
          <w:p>
            <w:pPr>
              <w:pStyle w:val="2"/>
              <w:keepNext/>
              <w:keepLines w:val="0"/>
              <w:pageBreakBefore w:val="0"/>
              <w:widowControl w:val="0"/>
              <w:kinsoku/>
              <w:wordWrap/>
              <w:overflowPunct w:val="0"/>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与“三线一单”相容性判定</w:t>
            </w:r>
          </w:p>
          <w:p>
            <w:pPr>
              <w:bidi w:val="0"/>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lang w:eastAsia="zh-CN"/>
              </w:rPr>
              <w:t>根据</w:t>
            </w:r>
            <w:r>
              <w:rPr>
                <w:rFonts w:hint="default" w:ascii="Times New Roman" w:hAnsi="Times New Roman" w:cs="Times New Roman"/>
                <w:b w:val="0"/>
                <w:bCs w:val="0"/>
                <w:color w:val="auto"/>
                <w:sz w:val="21"/>
                <w:szCs w:val="21"/>
                <w:highlight w:val="none"/>
              </w:rPr>
              <w:t>新乡市人民政府于2021年7月30日以新政文〔2021〕44号发布</w:t>
            </w:r>
            <w:r>
              <w:rPr>
                <w:rFonts w:hint="default" w:ascii="Times New Roman" w:hAnsi="Times New Roman" w:cs="Times New Roman"/>
                <w:b w:val="0"/>
                <w:bCs w:val="0"/>
                <w:color w:val="auto"/>
                <w:sz w:val="21"/>
                <w:szCs w:val="21"/>
                <w:highlight w:val="none"/>
                <w:lang w:eastAsia="zh-CN"/>
              </w:rPr>
              <w:t>的</w:t>
            </w:r>
            <w:r>
              <w:rPr>
                <w:rFonts w:hint="default" w:ascii="Times New Roman" w:hAnsi="Times New Roman" w:cs="Times New Roman"/>
                <w:b w:val="0"/>
                <w:bCs w:val="0"/>
                <w:color w:val="auto"/>
                <w:sz w:val="21"/>
                <w:szCs w:val="21"/>
                <w:highlight w:val="none"/>
              </w:rPr>
              <w:t>《新乡市人民政府关于实施“三线一单”生态环境分区管控的实施意见》</w:t>
            </w:r>
            <w:r>
              <w:rPr>
                <w:rFonts w:hint="default" w:ascii="Times New Roman" w:hAnsi="Times New Roman" w:cs="Times New Roman"/>
                <w:b w:val="0"/>
                <w:bCs w:val="0"/>
                <w:color w:val="auto"/>
                <w:sz w:val="21"/>
                <w:szCs w:val="21"/>
                <w:highlight w:val="none"/>
                <w:lang w:eastAsia="zh-CN"/>
              </w:rPr>
              <w:t>，同时根据新乡市生态环境局于</w:t>
            </w:r>
            <w:r>
              <w:rPr>
                <w:rFonts w:hint="default" w:ascii="Times New Roman" w:hAnsi="Times New Roman" w:cs="Times New Roman"/>
                <w:b w:val="0"/>
                <w:bCs w:val="0"/>
                <w:color w:val="auto"/>
                <w:sz w:val="21"/>
                <w:szCs w:val="21"/>
                <w:highlight w:val="none"/>
                <w:lang w:val="en-US" w:eastAsia="zh-CN"/>
              </w:rPr>
              <w:t>2023年1月30日发布的</w:t>
            </w:r>
            <w:r>
              <w:rPr>
                <w:rFonts w:hint="default" w:ascii="Times New Roman" w:hAnsi="Times New Roman" w:cs="Times New Roman"/>
                <w:b w:val="0"/>
                <w:bCs w:val="0"/>
                <w:color w:val="auto"/>
                <w:sz w:val="21"/>
                <w:szCs w:val="21"/>
                <w:highlight w:val="none"/>
                <w:lang w:eastAsia="zh-CN"/>
              </w:rPr>
              <w:t>关于对《新乡市“三线一单”生态环境 准入清单》（试行）更新的函</w:t>
            </w:r>
            <w:r>
              <w:rPr>
                <w:rFonts w:hint="default" w:ascii="Times New Roman" w:hAnsi="Times New Roman" w:cs="Times New Roman"/>
                <w:color w:val="auto"/>
                <w:highlight w:val="none"/>
              </w:rPr>
              <w:t>，具体主要内容如下：</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——一般管控单元。指除优先保护单元、重点管控单元以外的其他区域。主要落实生态环境保护的基本要求，生态环境状况得到保持或优化。</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w:t>
            </w:r>
          </w:p>
          <w:p>
            <w:pPr>
              <w:pStyle w:val="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12.1</w:t>
            </w:r>
            <w:r>
              <w:rPr>
                <w:rFonts w:hint="default" w:ascii="Times New Roman" w:hAnsi="Times New Roman" w:cs="Times New Roman"/>
                <w:color w:val="auto"/>
                <w:highlight w:val="none"/>
                <w:lang w:eastAsia="zh-CN"/>
              </w:rPr>
              <w:t>生态保护红线</w:t>
            </w:r>
          </w:p>
          <w:p>
            <w:pPr>
              <w:keepNext w:val="0"/>
              <w:keepLines w:val="0"/>
              <w:pageBreakBefore w:val="0"/>
              <w:kinsoku/>
              <w:wordWrap/>
              <w:overflowPunct/>
              <w:topLinePunct w:val="0"/>
              <w:autoSpaceDE/>
              <w:autoSpaceDN/>
              <w:bidi w:val="0"/>
              <w:adjustRightInd/>
              <w:snapToGrid/>
              <w:spacing w:line="360" w:lineRule="auto"/>
              <w:ind w:left="0" w:right="0" w:rightChars="0" w:firstLine="420" w:firstLineChars="200"/>
              <w:textAlignment w:val="auto"/>
              <w:rPr>
                <w:rFonts w:hint="default" w:ascii="Times New Roman" w:hAnsi="Times New Roman" w:cs="Times New Roman"/>
                <w:color w:val="auto"/>
                <w:szCs w:val="28"/>
                <w:highlight w:val="none"/>
              </w:rPr>
            </w:pPr>
            <w:r>
              <w:rPr>
                <w:rFonts w:hint="default" w:ascii="Times New Roman" w:hAnsi="Times New Roman" w:cs="Times New Roman"/>
                <w:bCs/>
                <w:color w:val="auto"/>
                <w:kern w:val="0"/>
                <w:szCs w:val="21"/>
                <w:highlight w:val="none"/>
                <w:lang w:eastAsia="zh-CN"/>
              </w:rPr>
              <w:t>项目</w:t>
            </w:r>
            <w:r>
              <w:rPr>
                <w:rFonts w:hint="default" w:ascii="Times New Roman" w:hAnsi="Times New Roman" w:cs="Times New Roman"/>
                <w:bCs/>
                <w:color w:val="auto"/>
                <w:kern w:val="0"/>
                <w:szCs w:val="21"/>
                <w:highlight w:val="none"/>
              </w:rPr>
              <w:t>位于新乡市凤泉区陈堡工业区，</w:t>
            </w:r>
            <w:r>
              <w:rPr>
                <w:rFonts w:hint="default" w:ascii="Times New Roman" w:hAnsi="Times New Roman" w:cs="Times New Roman"/>
                <w:bCs/>
                <w:color w:val="auto"/>
                <w:kern w:val="0"/>
                <w:szCs w:val="21"/>
                <w:highlight w:val="none"/>
                <w:lang w:val="en-GB"/>
              </w:rPr>
              <w:t>不在当地饮用水源、风景区、自然保护区等生态保护区内，</w:t>
            </w:r>
            <w:r>
              <w:rPr>
                <w:rFonts w:hint="default" w:ascii="Times New Roman" w:hAnsi="Times New Roman" w:cs="Times New Roman"/>
                <w:bCs/>
                <w:color w:val="auto"/>
                <w:kern w:val="0"/>
                <w:szCs w:val="21"/>
                <w:highlight w:val="none"/>
                <w:lang w:val="en-GB" w:eastAsia="zh-CN"/>
              </w:rPr>
              <w:t>且项目租用现有厂房进行建设，施工期主要为生产设备安装，</w:t>
            </w:r>
            <w:r>
              <w:rPr>
                <w:rFonts w:hint="default" w:ascii="Times New Roman" w:hAnsi="Times New Roman" w:cs="Times New Roman"/>
                <w:color w:val="auto"/>
                <w:szCs w:val="28"/>
                <w:highlight w:val="none"/>
                <w:lang w:eastAsia="zh-CN"/>
              </w:rPr>
              <w:t>不涉及大规模土建工程，不会对周边生态环境造成影响。</w:t>
            </w:r>
          </w:p>
          <w:p>
            <w:pPr>
              <w:pStyle w:val="2"/>
              <w:numPr>
                <w:ilvl w:val="0"/>
                <w:numId w:val="0"/>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12.2</w:t>
            </w:r>
            <w:r>
              <w:rPr>
                <w:rFonts w:hint="default" w:ascii="Times New Roman" w:hAnsi="Times New Roman" w:cs="Times New Roman"/>
                <w:color w:val="auto"/>
                <w:highlight w:val="none"/>
                <w:lang w:eastAsia="zh-CN"/>
              </w:rPr>
              <w:t>环境质量底线</w:t>
            </w:r>
          </w:p>
          <w:p>
            <w:pPr>
              <w:pStyle w:val="2"/>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12.2.1</w:t>
            </w:r>
            <w:r>
              <w:rPr>
                <w:rFonts w:hint="default" w:ascii="Times New Roman" w:hAnsi="Times New Roman" w:cs="Times New Roman"/>
                <w:color w:val="auto"/>
                <w:highlight w:val="none"/>
              </w:rPr>
              <w:t>大气</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Cs w:val="21"/>
                <w:highlight w:val="none"/>
                <w:lang w:val="de-DE" w:eastAsia="zh-CN"/>
              </w:rPr>
            </w:pPr>
            <w:r>
              <w:rPr>
                <w:rFonts w:hint="default" w:ascii="Times New Roman" w:hAnsi="Times New Roman" w:cs="Times New Roman"/>
                <w:color w:val="auto"/>
                <w:sz w:val="21"/>
                <w:szCs w:val="21"/>
                <w:highlight w:val="none"/>
              </w:rPr>
              <w:t>根据新乡市生态环境局发布的《新乡市2022年环境质量状况公报》，项目区域NO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年均浓度、SO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年均浓度、CO24h平均浓度均可满足《环境空气质量标准》（GB3095-2012）二级标准，PM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和O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均不能够满足《环境空气质量标准》（GB3095-2012）二级标准要求，本项目所在区域属于不达标区。目前，</w:t>
            </w:r>
            <w:r>
              <w:rPr>
                <w:rFonts w:hint="default" w:ascii="Times New Roman" w:hAnsi="Times New Roman" w:cs="Times New Roman"/>
                <w:color w:val="auto"/>
                <w:sz w:val="21"/>
                <w:szCs w:val="21"/>
                <w:highlight w:val="none"/>
                <w:lang w:eastAsia="zh-CN"/>
              </w:rPr>
              <w:t>新乡市</w:t>
            </w:r>
            <w:r>
              <w:rPr>
                <w:rFonts w:hint="default" w:ascii="Times New Roman" w:hAnsi="Times New Roman" w:cs="Times New Roman"/>
                <w:color w:val="auto"/>
                <w:sz w:val="21"/>
                <w:szCs w:val="21"/>
                <w:highlight w:val="none"/>
              </w:rPr>
              <w:t>正在实施《新乡市深入打好秋冬季重污染天气消除、夏季臭氧污染防治和柴油货车污染治理攻坚战行动方案》（新环攻坚办〔2023〕73号）、《</w:t>
            </w:r>
            <w:r>
              <w:rPr>
                <w:rFonts w:hint="default" w:ascii="Times New Roman" w:hAnsi="Times New Roman" w:cs="Times New Roman"/>
                <w:color w:val="auto"/>
                <w:sz w:val="21"/>
                <w:szCs w:val="21"/>
                <w:highlight w:val="none"/>
                <w:lang w:eastAsia="zh-CN"/>
              </w:rPr>
              <w:t>新乡市</w:t>
            </w:r>
            <w:r>
              <w:rPr>
                <w:rFonts w:hint="default" w:ascii="Times New Roman" w:hAnsi="Times New Roman" w:cs="Times New Roman"/>
                <w:color w:val="auto"/>
                <w:sz w:val="21"/>
                <w:szCs w:val="21"/>
                <w:highlight w:val="none"/>
              </w:rPr>
              <w:t>2023年蓝天保卫战实施方案》的通知》（新环攻坚办（2023）77号）等一系列措施，将不断改善区域大气环境质量。</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Cs w:val="21"/>
                <w:highlight w:val="none"/>
                <w:lang w:val="de-DE" w:eastAsia="zh-CN"/>
              </w:rPr>
            </w:pPr>
            <w:r>
              <w:rPr>
                <w:rFonts w:hint="default" w:ascii="Times New Roman" w:hAnsi="Times New Roman" w:cs="Times New Roman"/>
                <w:color w:val="auto"/>
                <w:highlight w:val="none"/>
                <w:lang w:val="en-US" w:eastAsia="zh-CN"/>
              </w:rPr>
              <w:t>本项目生产过程产生的有机废气收集后通过1套“UV光催化氧化+活性炭吸附”处理，尾气经15m排气筒排放；颗粒物废气经收集后通过1套脉冲袋式除尘器处理，尾气经15m排气筒排放，日常生产过程可确保废气处置过程环保措施的运行稳定，使废气污染物达标排放，</w:t>
            </w:r>
            <w:r>
              <w:rPr>
                <w:rFonts w:hint="default" w:ascii="Times New Roman" w:hAnsi="Times New Roman" w:cs="Times New Roman"/>
                <w:color w:val="auto"/>
                <w:kern w:val="0"/>
                <w:szCs w:val="21"/>
                <w:highlight w:val="none"/>
                <w:lang w:bidi="ar"/>
              </w:rPr>
              <w:t>对区域</w:t>
            </w:r>
            <w:r>
              <w:rPr>
                <w:rFonts w:hint="default" w:ascii="Times New Roman" w:hAnsi="Times New Roman" w:cs="Times New Roman"/>
                <w:color w:val="auto"/>
                <w:kern w:val="0"/>
                <w:szCs w:val="21"/>
                <w:highlight w:val="none"/>
                <w:lang w:eastAsia="zh-CN" w:bidi="ar"/>
              </w:rPr>
              <w:t>大气</w:t>
            </w:r>
            <w:r>
              <w:rPr>
                <w:rFonts w:hint="default" w:ascii="Times New Roman" w:hAnsi="Times New Roman" w:cs="Times New Roman"/>
                <w:color w:val="auto"/>
                <w:kern w:val="0"/>
                <w:szCs w:val="21"/>
                <w:highlight w:val="none"/>
                <w:lang w:bidi="ar"/>
              </w:rPr>
              <w:t>环境质量的影响较小。</w:t>
            </w:r>
          </w:p>
          <w:p>
            <w:pPr>
              <w:pStyle w:val="2"/>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12.2.2</w:t>
            </w:r>
            <w:r>
              <w:rPr>
                <w:rFonts w:hint="default" w:ascii="Times New Roman" w:hAnsi="Times New Roman" w:cs="Times New Roman"/>
                <w:color w:val="auto"/>
                <w:highlight w:val="none"/>
              </w:rPr>
              <w:t>地表水</w:t>
            </w:r>
          </w:p>
          <w:p>
            <w:pPr>
              <w:keepNext w:val="0"/>
              <w:keepLines w:val="0"/>
              <w:pageBreakBefore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eastAsia="宋体" w:cs="Times New Roman"/>
                <w:color w:val="auto"/>
                <w:kern w:val="0"/>
                <w:szCs w:val="21"/>
                <w:highlight w:val="none"/>
                <w:lang w:eastAsia="zh-CN" w:bidi="ar"/>
              </w:rPr>
            </w:pPr>
            <w:r>
              <w:rPr>
                <w:rFonts w:hint="default" w:ascii="Times New Roman" w:hAnsi="Times New Roman" w:cs="Times New Roman"/>
                <w:b w:val="0"/>
                <w:bCs w:val="0"/>
                <w:color w:val="auto"/>
                <w:sz w:val="21"/>
                <w:szCs w:val="21"/>
                <w:highlight w:val="none"/>
                <w:u w:val="none"/>
                <w:lang w:eastAsia="zh-CN"/>
              </w:rPr>
              <w:t>本项目外排废水主要为生活污水，且由于厂址区域未铺设污水管网，评价要求项目生活污水近期经化粪池处理后定期清运，远期待区域污水管网铺设完成且接管至新乡市凤泉区污水处理厂时，项目废水均排入污水处理厂进一步处理，最终经民生渠排入共产主义渠。根据《新乡市生态环境局关于下达2022年地表水环境质量暂定目标的函》，民生渠水体功能类别为</w:t>
            </w:r>
            <w:r>
              <w:rPr>
                <w:rFonts w:hint="default" w:ascii="Times New Roman" w:hAnsi="Times New Roman" w:cs="Times New Roman"/>
                <w:b w:val="0"/>
                <w:bCs w:val="0"/>
                <w:color w:val="auto"/>
                <w:sz w:val="21"/>
                <w:szCs w:val="21"/>
                <w:highlight w:val="none"/>
                <w:u w:val="none"/>
                <w:lang w:eastAsia="zh-CN"/>
              </w:rPr>
              <w:fldChar w:fldCharType="begin"/>
            </w:r>
            <w:r>
              <w:rPr>
                <w:rFonts w:hint="default" w:ascii="Times New Roman" w:hAnsi="Times New Roman" w:cs="Times New Roman"/>
                <w:b w:val="0"/>
                <w:bCs w:val="0"/>
                <w:color w:val="auto"/>
                <w:sz w:val="21"/>
                <w:szCs w:val="21"/>
                <w:highlight w:val="none"/>
                <w:u w:val="none"/>
                <w:lang w:eastAsia="zh-CN"/>
              </w:rPr>
              <w:instrText xml:space="preserve"> = 4 \* ROMAN \* MERGEFORMAT </w:instrText>
            </w:r>
            <w:r>
              <w:rPr>
                <w:rFonts w:hint="default" w:ascii="Times New Roman" w:hAnsi="Times New Roman" w:cs="Times New Roman"/>
                <w:b w:val="0"/>
                <w:bCs w:val="0"/>
                <w:color w:val="auto"/>
                <w:sz w:val="21"/>
                <w:szCs w:val="21"/>
                <w:highlight w:val="none"/>
                <w:u w:val="none"/>
                <w:lang w:eastAsia="zh-CN"/>
              </w:rPr>
              <w:fldChar w:fldCharType="separate"/>
            </w:r>
            <w:r>
              <w:rPr>
                <w:rFonts w:hint="default" w:ascii="Times New Roman" w:hAnsi="Times New Roman" w:cs="Times New Roman"/>
                <w:color w:val="auto"/>
              </w:rPr>
              <w:t>IV</w:t>
            </w:r>
            <w:r>
              <w:rPr>
                <w:rFonts w:hint="default" w:ascii="Times New Roman" w:hAnsi="Times New Roman" w:cs="Times New Roman"/>
                <w:b w:val="0"/>
                <w:bCs w:val="0"/>
                <w:color w:val="auto"/>
                <w:sz w:val="21"/>
                <w:szCs w:val="21"/>
                <w:highlight w:val="none"/>
                <w:u w:val="none"/>
                <w:lang w:eastAsia="zh-CN"/>
              </w:rPr>
              <w:fldChar w:fldCharType="end"/>
            </w:r>
            <w:r>
              <w:rPr>
                <w:rFonts w:hint="default" w:ascii="Times New Roman" w:hAnsi="Times New Roman" w:cs="Times New Roman"/>
                <w:b w:val="0"/>
                <w:bCs w:val="0"/>
                <w:color w:val="auto"/>
                <w:sz w:val="21"/>
                <w:szCs w:val="21"/>
                <w:highlight w:val="none"/>
                <w:u w:val="none"/>
                <w:lang w:eastAsia="zh-CN"/>
              </w:rPr>
              <w:t>类标准。</w:t>
            </w:r>
            <w:r>
              <w:rPr>
                <w:rFonts w:hint="default" w:ascii="Times New Roman" w:hAnsi="Times New Roman" w:cs="Times New Roman"/>
                <w:color w:val="auto"/>
                <w:sz w:val="21"/>
                <w:szCs w:val="21"/>
                <w:highlight w:val="none"/>
                <w:lang w:eastAsia="zh-CN"/>
              </w:rPr>
              <w:t>根据新乡市环境监测站对民生渠天丰公司后断面的监测2022年10月均值数据</w:t>
            </w:r>
            <w:r>
              <w:rPr>
                <w:rFonts w:hint="default" w:ascii="Times New Roman" w:hAnsi="Times New Roman" w:cs="Times New Roman"/>
                <w:color w:val="auto"/>
                <w:sz w:val="21"/>
                <w:szCs w:val="21"/>
                <w:highlight w:val="none"/>
                <w:lang w:val="en-US" w:eastAsia="zh-CN"/>
              </w:rPr>
              <w:t>，民生渠天丰公司后断面COD浓度</w:t>
            </w:r>
            <w:r>
              <w:rPr>
                <w:rFonts w:hint="default" w:ascii="Times New Roman" w:hAnsi="Times New Roman" w:cs="Times New Roman"/>
                <w:color w:val="auto"/>
                <w:sz w:val="21"/>
                <w:szCs w:val="21"/>
                <w:highlight w:val="none"/>
              </w:rPr>
              <w:t>能够满足《地表水环境质量标准》（GB3838-2002）</w:t>
            </w:r>
            <w:r>
              <w:rPr>
                <w:rFonts w:hint="default" w:ascii="Times New Roman" w:hAnsi="Times New Roman" w:cs="Times New Roman"/>
                <w:b w:val="0"/>
                <w:bCs w:val="0"/>
                <w:color w:val="auto"/>
                <w:sz w:val="21"/>
                <w:szCs w:val="21"/>
                <w:highlight w:val="none"/>
                <w:u w:val="none"/>
                <w:lang w:eastAsia="zh-CN"/>
              </w:rPr>
              <w:fldChar w:fldCharType="begin"/>
            </w:r>
            <w:r>
              <w:rPr>
                <w:rFonts w:hint="default" w:ascii="Times New Roman" w:hAnsi="Times New Roman" w:cs="Times New Roman"/>
                <w:b w:val="0"/>
                <w:bCs w:val="0"/>
                <w:color w:val="auto"/>
                <w:sz w:val="21"/>
                <w:szCs w:val="21"/>
                <w:highlight w:val="none"/>
                <w:u w:val="none"/>
                <w:lang w:eastAsia="zh-CN"/>
              </w:rPr>
              <w:instrText xml:space="preserve"> = 4 \* ROMAN \* MERGEFORMAT </w:instrText>
            </w:r>
            <w:r>
              <w:rPr>
                <w:rFonts w:hint="default" w:ascii="Times New Roman" w:hAnsi="Times New Roman" w:cs="Times New Roman"/>
                <w:b w:val="0"/>
                <w:bCs w:val="0"/>
                <w:color w:val="auto"/>
                <w:sz w:val="21"/>
                <w:szCs w:val="21"/>
                <w:highlight w:val="none"/>
                <w:u w:val="none"/>
                <w:lang w:eastAsia="zh-CN"/>
              </w:rPr>
              <w:fldChar w:fldCharType="separate"/>
            </w:r>
            <w:r>
              <w:rPr>
                <w:rFonts w:hint="default" w:ascii="Times New Roman" w:hAnsi="Times New Roman" w:cs="Times New Roman"/>
                <w:color w:val="auto"/>
              </w:rPr>
              <w:t>IV</w:t>
            </w:r>
            <w:r>
              <w:rPr>
                <w:rFonts w:hint="default" w:ascii="Times New Roman" w:hAnsi="Times New Roman" w:cs="Times New Roman"/>
                <w:b w:val="0"/>
                <w:bCs w:val="0"/>
                <w:color w:val="auto"/>
                <w:sz w:val="21"/>
                <w:szCs w:val="21"/>
                <w:highlight w:val="none"/>
                <w:u w:val="none"/>
                <w:lang w:eastAsia="zh-CN"/>
              </w:rPr>
              <w:fldChar w:fldCharType="end"/>
            </w:r>
            <w:r>
              <w:rPr>
                <w:rFonts w:hint="default" w:ascii="Times New Roman" w:hAnsi="Times New Roman" w:cs="Times New Roman"/>
                <w:color w:val="auto"/>
                <w:sz w:val="21"/>
                <w:szCs w:val="21"/>
                <w:highlight w:val="none"/>
              </w:rPr>
              <w:t>类水质要求</w:t>
            </w: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-N、TP浓度均超标</w:t>
            </w:r>
            <w:r>
              <w:rPr>
                <w:rFonts w:hint="default" w:ascii="Times New Roman" w:hAnsi="Times New Roman" w:cs="Times New Roman"/>
                <w:color w:val="auto"/>
                <w:sz w:val="21"/>
                <w:szCs w:val="21"/>
                <w:highlight w:val="none"/>
                <w:lang w:eastAsia="zh-CN"/>
              </w:rPr>
              <w:t>。</w:t>
            </w:r>
          </w:p>
          <w:p>
            <w:pPr>
              <w:pStyle w:val="56"/>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本项目废气、废水在采取报告中提出的治理措施后，能够达到相应的排放标准，因此对周边环境质量影响较小。综上，本项目的建设运行不会突破项目所在地的环境质量底线，因此项目符合环境质量底线标准。</w:t>
            </w:r>
          </w:p>
          <w:p>
            <w:pPr>
              <w:pStyle w:val="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12.3</w:t>
            </w:r>
            <w:r>
              <w:rPr>
                <w:rFonts w:hint="default" w:ascii="Times New Roman" w:hAnsi="Times New Roman" w:cs="Times New Roman"/>
                <w:color w:val="auto"/>
                <w:highlight w:val="none"/>
                <w:lang w:eastAsia="zh-CN"/>
              </w:rPr>
              <w:t>资源利用上线</w:t>
            </w:r>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default" w:ascii="Times New Roman" w:hAnsi="Times New Roman" w:cs="Times New Roman"/>
                <w:b w:val="0"/>
                <w:bCs/>
                <w:color w:val="auto"/>
                <w:szCs w:val="28"/>
                <w:highlight w:val="none"/>
                <w:lang w:val="en-US" w:eastAsia="zh-CN"/>
              </w:rPr>
            </w:pPr>
            <w:r>
              <w:rPr>
                <w:rFonts w:hint="default" w:ascii="Times New Roman" w:hAnsi="Times New Roman" w:cs="Times New Roman"/>
                <w:color w:val="auto"/>
                <w:highlight w:val="none"/>
              </w:rPr>
              <w:t>土地资源：</w:t>
            </w:r>
            <w:r>
              <w:rPr>
                <w:rFonts w:hint="default" w:ascii="Times New Roman" w:hAnsi="Times New Roman" w:cs="Times New Roman"/>
                <w:color w:val="auto"/>
                <w:highlight w:val="none"/>
                <w:lang w:eastAsia="zh-CN"/>
              </w:rPr>
              <w:t>本项目租赁现有厂区及厂房进行建设，无新增占地，该厂址位于</w:t>
            </w:r>
            <w:r>
              <w:rPr>
                <w:rFonts w:hint="default" w:ascii="Times New Roman" w:hAnsi="Times New Roman" w:cs="Times New Roman"/>
                <w:color w:val="auto"/>
                <w:sz w:val="21"/>
                <w:szCs w:val="21"/>
                <w:highlight w:val="none"/>
                <w:lang w:eastAsia="zh-CN"/>
              </w:rPr>
              <w:t>新乡市新能源电池专业园区内</w:t>
            </w:r>
            <w:r>
              <w:rPr>
                <w:rFonts w:hint="default" w:ascii="Times New Roman" w:hAnsi="Times New Roman" w:cs="Times New Roman"/>
                <w:b w:val="0"/>
                <w:bCs/>
                <w:color w:val="auto"/>
                <w:szCs w:val="28"/>
                <w:highlight w:val="none"/>
                <w:lang w:eastAsia="zh-CN"/>
              </w:rPr>
              <w:t>，经对照</w:t>
            </w:r>
            <w:r>
              <w:rPr>
                <w:rFonts w:hint="default" w:ascii="Times New Roman" w:hAnsi="Times New Roman" w:cs="Times New Roman"/>
                <w:b w:val="0"/>
                <w:bCs/>
                <w:color w:val="auto"/>
                <w:sz w:val="21"/>
                <w:szCs w:val="21"/>
                <w:highlight w:val="none"/>
                <w:u w:val="none"/>
              </w:rPr>
              <w:t>《新乡市新能源电池专业园区发展规划（2022-2035年）》（详见附图</w:t>
            </w:r>
            <w:r>
              <w:rPr>
                <w:rFonts w:hint="eastAsia" w:cs="Times New Roman"/>
                <w:b w:val="0"/>
                <w:bCs/>
                <w:color w:val="auto"/>
                <w:sz w:val="21"/>
                <w:szCs w:val="21"/>
                <w:highlight w:val="none"/>
                <w:u w:val="none"/>
                <w:lang w:eastAsia="zh-CN"/>
              </w:rPr>
              <w:t>六</w:t>
            </w:r>
            <w:r>
              <w:rPr>
                <w:rFonts w:hint="default" w:ascii="Times New Roman" w:hAnsi="Times New Roman" w:cs="Times New Roman"/>
                <w:b w:val="0"/>
                <w:bCs/>
                <w:color w:val="auto"/>
                <w:sz w:val="21"/>
                <w:szCs w:val="21"/>
                <w:highlight w:val="none"/>
                <w:u w:val="none"/>
              </w:rPr>
              <w:t>），项目占地</w:t>
            </w:r>
            <w:r>
              <w:rPr>
                <w:rFonts w:hint="default" w:ascii="Times New Roman" w:hAnsi="Times New Roman" w:cs="Times New Roman"/>
                <w:b w:val="0"/>
                <w:bCs/>
                <w:color w:val="auto"/>
                <w:sz w:val="21"/>
                <w:szCs w:val="21"/>
                <w:highlight w:val="none"/>
                <w:u w:val="none"/>
                <w:lang w:eastAsia="zh-CN"/>
              </w:rPr>
              <w:t>属于工业用地</w:t>
            </w:r>
            <w:r>
              <w:rPr>
                <w:rFonts w:hint="default" w:ascii="Times New Roman" w:hAnsi="Times New Roman" w:cs="Times New Roman"/>
                <w:b w:val="0"/>
                <w:bCs/>
                <w:color w:val="auto"/>
                <w:szCs w:val="28"/>
                <w:highlight w:val="none"/>
                <w:lang w:eastAsia="zh-CN"/>
              </w:rPr>
              <w:t>，不会突破区域土地资源利用上线</w:t>
            </w:r>
            <w:r>
              <w:rPr>
                <w:rFonts w:hint="default" w:ascii="Times New Roman" w:hAnsi="Times New Roman" w:cs="Times New Roman"/>
                <w:b w:val="0"/>
                <w:bCs/>
                <w:color w:val="auto"/>
                <w:szCs w:val="28"/>
                <w:highlight w:val="none"/>
                <w:lang w:val="en-US" w:eastAsia="zh-CN"/>
              </w:rPr>
              <w:t>。</w:t>
            </w:r>
          </w:p>
          <w:p>
            <w:pPr>
              <w:bidi w:val="0"/>
              <w:rPr>
                <w:rFonts w:hint="default" w:ascii="Times New Roman" w:hAnsi="Times New Roman" w:cs="Times New Roman"/>
                <w:color w:val="auto"/>
                <w:szCs w:val="21"/>
                <w:highlight w:val="none"/>
                <w:lang w:eastAsia="zh-CN"/>
              </w:rPr>
            </w:pPr>
            <w:r>
              <w:rPr>
                <w:rFonts w:hint="default" w:ascii="Times New Roman" w:hAnsi="Times New Roman" w:cs="Times New Roman"/>
                <w:color w:val="auto"/>
                <w:highlight w:val="none"/>
              </w:rPr>
              <w:t>水资源：</w:t>
            </w:r>
            <w:r>
              <w:rPr>
                <w:rFonts w:hint="default" w:ascii="Times New Roman" w:hAnsi="Times New Roman" w:cs="Times New Roman"/>
                <w:color w:val="auto"/>
                <w:highlight w:val="none"/>
                <w:lang w:eastAsia="zh-CN"/>
              </w:rPr>
              <w:t>本项目用水包括生活用水和设备冷却用水，经核算项目建成后</w:t>
            </w:r>
            <w:r>
              <w:rPr>
                <w:rFonts w:hint="default" w:ascii="Times New Roman" w:hAnsi="Times New Roman" w:cs="Times New Roman"/>
                <w:color w:val="auto"/>
                <w:szCs w:val="21"/>
                <w:highlight w:val="none"/>
              </w:rPr>
              <w:t>合计</w:t>
            </w:r>
            <w:r>
              <w:rPr>
                <w:rFonts w:hint="default" w:ascii="Times New Roman" w:hAnsi="Times New Roman" w:cs="Times New Roman"/>
                <w:color w:val="auto"/>
                <w:szCs w:val="21"/>
                <w:highlight w:val="none"/>
                <w:lang w:eastAsia="zh-CN"/>
              </w:rPr>
              <w:t>用水量</w:t>
            </w:r>
            <w:r>
              <w:rPr>
                <w:rFonts w:hint="default" w:ascii="Times New Roman" w:hAnsi="Times New Roman" w:cs="Times New Roman"/>
                <w:color w:val="auto"/>
                <w:szCs w:val="21"/>
                <w:highlight w:val="none"/>
              </w:rPr>
              <w:t>为</w:t>
            </w:r>
            <w:r>
              <w:rPr>
                <w:rFonts w:hint="default" w:ascii="Times New Roman" w:hAnsi="Times New Roman" w:cs="Times New Roman"/>
                <w:bCs/>
                <w:color w:val="auto"/>
                <w:kern w:val="0"/>
                <w:szCs w:val="21"/>
                <w:highlight w:val="none"/>
                <w:lang w:val="en-US" w:eastAsia="zh-CN"/>
              </w:rPr>
              <w:t>1.4m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default" w:ascii="Times New Roman" w:hAnsi="Times New Roman" w:cs="Times New Roman"/>
                <w:color w:val="auto"/>
                <w:sz w:val="21"/>
                <w:szCs w:val="21"/>
                <w:highlight w:val="none"/>
                <w:lang w:val="en-US" w:eastAsia="zh-CN"/>
              </w:rPr>
              <w:t>420m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default" w:ascii="Times New Roman" w:hAnsi="Times New Roman" w:cs="Times New Roman"/>
                <w:bCs/>
                <w:color w:val="auto"/>
                <w:kern w:val="0"/>
                <w:szCs w:val="21"/>
                <w:highlight w:val="none"/>
                <w:lang w:val="en-US" w:eastAsia="zh-CN"/>
              </w:rPr>
              <w:t>）</w:t>
            </w:r>
            <w:r>
              <w:rPr>
                <w:rFonts w:hint="default" w:ascii="Times New Roman" w:hAnsi="Times New Roman" w:cs="Times New Roman"/>
                <w:color w:val="auto"/>
                <w:szCs w:val="21"/>
                <w:highlight w:val="none"/>
                <w:lang w:eastAsia="zh-CN"/>
              </w:rPr>
              <w:t>。根据调查，由于目前项目选址区域暂未实现集中供水，目前生活用水均通过</w:t>
            </w:r>
            <w:r>
              <w:rPr>
                <w:rFonts w:hint="eastAsia" w:cs="Times New Roman"/>
                <w:color w:val="auto"/>
                <w:kern w:val="0"/>
                <w:sz w:val="21"/>
                <w:szCs w:val="21"/>
                <w:highlight w:val="none"/>
                <w:lang w:eastAsia="zh-CN"/>
              </w:rPr>
              <w:t>位于项目西南侧的新乡市新华造纸厂厂区内自备井提供</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设备冷却用水为外购纯水，由于项目用水量较小，供应能力能够满足本项目的使用要求，不会突破区域水资源利用上线。评价要求待厂址区域实现集中供水后企业采用集中供水作为水源。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highlight w:val="none"/>
              </w:rPr>
              <w:t>能源资源：</w:t>
            </w:r>
            <w:r>
              <w:rPr>
                <w:rFonts w:hint="default" w:ascii="Times New Roman" w:hAnsi="Times New Roman" w:cs="Times New Roman"/>
                <w:color w:val="auto"/>
                <w:highlight w:val="none"/>
                <w:lang w:eastAsia="zh-CN"/>
              </w:rPr>
              <w:t>本项目建成后所需用电量为</w:t>
            </w:r>
            <w:r>
              <w:rPr>
                <w:rFonts w:hint="default" w:ascii="Times New Roman" w:hAnsi="Times New Roman" w:cs="Times New Roman"/>
                <w:color w:val="auto"/>
                <w:highlight w:val="none"/>
                <w:lang w:val="en-US" w:eastAsia="zh-CN"/>
              </w:rPr>
              <w:t>300</w:t>
            </w:r>
            <w:r>
              <w:rPr>
                <w:rFonts w:hint="default" w:ascii="Times New Roman" w:hAnsi="Times New Roman" w:cs="Times New Roman"/>
                <w:bCs/>
                <w:color w:val="auto"/>
                <w:kern w:val="0"/>
                <w:szCs w:val="21"/>
                <w:highlight w:val="none"/>
                <w:lang w:val="en-US" w:eastAsia="zh-CN"/>
              </w:rPr>
              <w:t>万kW‧h/a</w:t>
            </w:r>
            <w:r>
              <w:rPr>
                <w:rFonts w:hint="default" w:ascii="Times New Roman" w:hAnsi="Times New Roman" w:cs="Times New Roman"/>
                <w:bCs/>
                <w:color w:val="auto"/>
                <w:kern w:val="0"/>
                <w:szCs w:val="21"/>
                <w:highlight w:val="none"/>
                <w:lang w:eastAsia="zh-CN"/>
              </w:rPr>
              <w:t>，来源由市政供电管网</w:t>
            </w:r>
            <w:r>
              <w:rPr>
                <w:rFonts w:hint="default" w:ascii="Times New Roman" w:hAnsi="Times New Roman" w:cs="Times New Roman"/>
                <w:bCs/>
                <w:color w:val="auto"/>
                <w:kern w:val="0"/>
                <w:szCs w:val="21"/>
                <w:highlight w:val="none"/>
              </w:rPr>
              <w:t>供电</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项目建成运行后通过内部管理、设备选择、原辅材料的选用和管理、废物回收利用、污染治理等多方面采取合理可行的防治措施，以“节能、降耗、减污”为目标，有效地控制污染。</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综上</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不会增加园区能源资源利用。项目的土地、水、能源等资源利用不会突破区域的资源利用上线。</w:t>
            </w:r>
          </w:p>
          <w:p>
            <w:pPr>
              <w:pStyle w:val="2"/>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12.4</w:t>
            </w:r>
            <w:r>
              <w:rPr>
                <w:rFonts w:hint="default" w:ascii="Times New Roman" w:hAnsi="Times New Roman" w:cs="Times New Roman"/>
                <w:color w:val="auto"/>
                <w:highlight w:val="none"/>
                <w:lang w:eastAsia="zh-CN"/>
              </w:rPr>
              <w:t>生态环境准入清单</w:t>
            </w:r>
          </w:p>
          <w:p>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根据新乡市人民政府于2021年7月30日以新政文〔2021〕44号发布的《新乡市人民政府关于实施“三线一单”生态环境分区管控的实施意见》，同时根据新乡市生态环境局于2023年1月30日发布的关于对《新乡市“三线一单”生态环境 准入清单》（试行）更新的函，具体主要内容如下：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与新乡市生态环境总体准入要求对照</w:t>
            </w:r>
          </w:p>
          <w:tbl>
            <w:tblPr>
              <w:tblStyle w:val="22"/>
              <w:tblW w:w="4999"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638"/>
              <w:gridCol w:w="3677"/>
              <w:gridCol w:w="2459"/>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维度</w:t>
                  </w:r>
                </w:p>
              </w:tc>
              <w:tc>
                <w:tcPr>
                  <w:tcW w:w="2714"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管控要求</w:t>
                  </w:r>
                </w:p>
              </w:tc>
              <w:tc>
                <w:tcPr>
                  <w:tcW w:w="1815" w:type="pct"/>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本项目情况</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空间布局约束</w:t>
                  </w:r>
                </w:p>
              </w:tc>
              <w:tc>
                <w:tcPr>
                  <w:tcW w:w="27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在风景名胜区内禁止进行下列活动：（一）开山、采石、开矿、开荒、修坟立碑等破坏景观、植被和地形地貌的活动；（二）修建储存爆炸性、易燃性、放射性、毒害性、腐蚀性物品的设施；（三）在景物或者设施上刻划、涂污；（四）乱扔垃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饮用水地表水源各级保护区必须遵守下列规定：一、禁止一切破坏水环境生态平衡的活动以及破坏水源林、护岸林、与水源保护相关植被的活动；二、禁止向水域倾倒工业废渣、城市垃圾、粪便及其它废弃物；三、运输有毒有害物质、油类、粪便的船舶和车辆一般不准进入保护区，必须进入者应事先申请并经有关部门批准、登记并设置防渗、防溢、防漏设施；四、禁止使用剧毒和高残留农药，不得滥用化肥，不得使用炸药、毒品捕杀鱼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二级保护区内不准新建、扩建向水体排放污染物的建设项目。改建项目必须削减污染物排放量；原有排污口必须削减污水排放量，保证保护区内水质满足规定的水质标准；禁止设立装卸垃圾、粪便、油类和有毒物品的码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饮用水地下水源各级保护区必须遵守下列规定：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一、禁止利用渗坑、渗井、裂隙、溶洞等排放污水和其它有害废弃物；二、禁止利用透水层孔隙、裂隙、溶洞及废弃矿坑储存石油、天然气、放射性物质、有毒有害化工原料、农药等；三、实行人工回灌地下水时不得污染当地地下水源。一级保护区内禁止建设与取水设施无关的建筑物；禁止从事农牧业活动；禁止倾倒、堆放工业废渣及城市垃圾、粪便和其它有害废弃物；禁止输送污水的渠道、管道及输油管道通过本区；禁止建设油库；禁止建立墓地。潜水含水层地下水水源地二级保护区内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承压含水层地下水水源地二级保护区内禁止承压水和潜水的混合开采，作好潜水的止水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1815"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val="0"/>
                      <w:iCs w:val="0"/>
                      <w:color w:val="auto"/>
                      <w:kern w:val="0"/>
                      <w:sz w:val="18"/>
                      <w:szCs w:val="18"/>
                      <w:highlight w:val="none"/>
                      <w:u w:val="none"/>
                      <w:lang w:val="en-US" w:eastAsia="zh-CN" w:bidi="ar"/>
                    </w:rPr>
                    <w:t>1、根据现场勘查，项目选址不在</w:t>
                  </w:r>
                  <w:r>
                    <w:rPr>
                      <w:rFonts w:hint="default" w:ascii="Times New Roman" w:hAnsi="Times New Roman" w:eastAsia="宋体" w:cs="Times New Roman"/>
                      <w:i w:val="0"/>
                      <w:iCs w:val="0"/>
                      <w:color w:val="auto"/>
                      <w:kern w:val="0"/>
                      <w:sz w:val="18"/>
                      <w:szCs w:val="18"/>
                      <w:highlight w:val="none"/>
                      <w:u w:val="none"/>
                      <w:lang w:val="en-US" w:eastAsia="zh-CN" w:bidi="ar"/>
                    </w:rPr>
                    <w:t>自然保护区的核心区和缓冲区内</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2、项目选址位于</w:t>
                  </w:r>
                  <w:r>
                    <w:rPr>
                      <w:rFonts w:hint="default" w:ascii="Times New Roman" w:hAnsi="Times New Roman" w:eastAsia="宋体" w:cs="Times New Roman"/>
                      <w:color w:val="auto"/>
                      <w:sz w:val="18"/>
                      <w:szCs w:val="18"/>
                      <w:highlight w:val="none"/>
                      <w:lang w:val="en-US" w:eastAsia="zh-CN"/>
                    </w:rPr>
                    <w:t>新乡市凤泉区陈堡工业区</w:t>
                  </w:r>
                  <w:r>
                    <w:rPr>
                      <w:rFonts w:hint="default" w:ascii="Times New Roman" w:hAnsi="Times New Roman" w:cs="Times New Roman"/>
                      <w:i w:val="0"/>
                      <w:iCs w:val="0"/>
                      <w:color w:val="auto"/>
                      <w:kern w:val="0"/>
                      <w:sz w:val="18"/>
                      <w:szCs w:val="18"/>
                      <w:highlight w:val="none"/>
                      <w:u w:val="none"/>
                      <w:lang w:val="en-US" w:eastAsia="zh-CN" w:bidi="ar"/>
                    </w:rPr>
                    <w:t>，根据现场勘查，周边不存在</w:t>
                  </w:r>
                  <w:r>
                    <w:rPr>
                      <w:rFonts w:hint="default" w:ascii="Times New Roman" w:hAnsi="Times New Roman" w:eastAsia="宋体" w:cs="Times New Roman"/>
                      <w:i w:val="0"/>
                      <w:iCs w:val="0"/>
                      <w:color w:val="auto"/>
                      <w:kern w:val="0"/>
                      <w:sz w:val="18"/>
                      <w:szCs w:val="18"/>
                      <w:highlight w:val="none"/>
                      <w:u w:val="none"/>
                      <w:lang w:val="en-US" w:eastAsia="zh-CN" w:bidi="ar"/>
                    </w:rPr>
                    <w:t>风景名胜区</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3、</w:t>
                  </w:r>
                  <w:r>
                    <w:rPr>
                      <w:rFonts w:hint="default" w:ascii="Times New Roman" w:hAnsi="Times New Roman" w:cs="Times New Roman"/>
                      <w:color w:val="auto"/>
                      <w:sz w:val="18"/>
                      <w:szCs w:val="18"/>
                      <w:highlight w:val="none"/>
                      <w:lang w:val="en-US" w:eastAsia="zh-CN"/>
                    </w:rPr>
                    <w:t>距离本项目最近的地表水体为南侧725m处的民生渠，该河流最终汇入共产主义渠内；距离项目最近饮用水源保护区为东侧的凤泉区水厂地下水饮用水源保护区，本项目距离该饮用水源二级保护区边界约5km，不在其保护区范围内；</w:t>
                  </w:r>
                  <w:r>
                    <w:rPr>
                      <w:rFonts w:hint="default" w:ascii="Times New Roman" w:hAnsi="Times New Roman" w:cs="Times New Roman"/>
                      <w:i w:val="0"/>
                      <w:iCs w:val="0"/>
                      <w:color w:val="auto"/>
                      <w:kern w:val="0"/>
                      <w:sz w:val="18"/>
                      <w:szCs w:val="18"/>
                      <w:highlight w:val="none"/>
                      <w:u w:val="none"/>
                      <w:lang w:val="en-US" w:eastAsia="zh-CN" w:bidi="ar"/>
                    </w:rPr>
                    <w:t>本项目生产过程无生产废水产生，废水主要为生活污水，且由于厂址区域未铺设污水管网，项目生活污水近期经厂区化粪池处理后定期清运，远期待区域污水管网铺设完成且接管至新乡市凤泉区污水处理厂时，项目废水均排入污水处理厂进一步处理</w:t>
                  </w:r>
                  <w:r>
                    <w:rPr>
                      <w:rFonts w:hint="default" w:ascii="Times New Roman" w:hAnsi="Times New Roman" w:cs="Times New Roman"/>
                      <w:color w:val="auto"/>
                      <w:sz w:val="18"/>
                      <w:szCs w:val="18"/>
                      <w:highlight w:val="none"/>
                      <w:lang w:val="en-US" w:eastAsia="zh-CN"/>
                    </w:rPr>
                    <w:t>，不会对周围地表水体造成较大影响；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color w:val="auto"/>
                      <w:sz w:val="18"/>
                      <w:szCs w:val="18"/>
                      <w:highlight w:val="none"/>
                      <w:lang w:val="en-US" w:eastAsia="zh-CN"/>
                    </w:rPr>
                    <w:t>9、项目属于塑料制品业，选址位于</w:t>
                  </w:r>
                  <w:r>
                    <w:rPr>
                      <w:rFonts w:hint="default" w:ascii="Times New Roman" w:hAnsi="Times New Roman" w:eastAsia="宋体" w:cs="Times New Roman"/>
                      <w:color w:val="auto"/>
                      <w:sz w:val="18"/>
                      <w:szCs w:val="18"/>
                      <w:highlight w:val="none"/>
                      <w:lang w:val="en-US" w:eastAsia="zh-CN"/>
                    </w:rPr>
                    <w:t>新乡市凤泉区陈堡工业区</w:t>
                  </w:r>
                  <w:r>
                    <w:rPr>
                      <w:rFonts w:hint="default" w:ascii="Times New Roman" w:hAnsi="Times New Roman" w:cs="Times New Roman"/>
                      <w:color w:val="auto"/>
                      <w:sz w:val="18"/>
                      <w:szCs w:val="18"/>
                      <w:highlight w:val="none"/>
                      <w:lang w:val="en-US" w:eastAsia="zh-CN"/>
                    </w:rPr>
                    <w:t>，不属于钢铁冶炼、水泥、有色金属冶炼、平板玻璃、化工、建筑陶瓷、耐火材料、砖瓦、矿山开采等行业的高排放、高污染项目。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污染物排放管控</w:t>
                  </w:r>
                </w:p>
              </w:tc>
              <w:tc>
                <w:tcPr>
                  <w:tcW w:w="27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1.新、改、扩建项目主要污染物排放要求满足当地总量减排要求。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卫河、共产主义渠、文岩渠保持Ⅴ类指标，黄庄河、西柳青河达到Ⅳ类指标，天然渠、人民胜利渠达到Ⅲ类指标；城市集中式饮用水水源地取水水质达标率达到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新建“两高”项目应按照《关于加强重点行业建设项目区域削减措施监督管理的通知》（环办环评〔2020〕36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1815"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1、项目属于新建</w:t>
                  </w:r>
                  <w:r>
                    <w:rPr>
                      <w:rFonts w:hint="default" w:ascii="Times New Roman" w:hAnsi="Times New Roman" w:cs="Times New Roman"/>
                      <w:color w:val="auto"/>
                      <w:sz w:val="18"/>
                      <w:szCs w:val="18"/>
                      <w:highlight w:val="none"/>
                      <w:lang w:val="en-US" w:eastAsia="zh-CN"/>
                    </w:rPr>
                    <w:t>塑料制品项目</w:t>
                  </w:r>
                  <w:r>
                    <w:rPr>
                      <w:rFonts w:hint="default" w:ascii="Times New Roman" w:hAnsi="Times New Roman" w:cs="Times New Roman"/>
                      <w:i w:val="0"/>
                      <w:iCs w:val="0"/>
                      <w:color w:val="auto"/>
                      <w:kern w:val="0"/>
                      <w:sz w:val="18"/>
                      <w:szCs w:val="18"/>
                      <w:highlight w:val="none"/>
                      <w:u w:val="none"/>
                      <w:lang w:val="en-US" w:eastAsia="zh-CN" w:bidi="ar"/>
                    </w:rPr>
                    <w:t>，排放的污染物将按照《新乡市建设项目新增总量指标替代管理指导意见（试行）》的要求进行倍量消减替代。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i w:val="0"/>
                      <w:iCs w:val="0"/>
                      <w:color w:val="auto"/>
                      <w:kern w:val="0"/>
                      <w:sz w:val="18"/>
                      <w:szCs w:val="18"/>
                      <w:highlight w:val="none"/>
                      <w:u w:val="none"/>
                      <w:lang w:val="en-US" w:eastAsia="zh-CN" w:bidi="ar"/>
                    </w:rPr>
                    <w:t>2、本项目生产过程无生产废水，外排废水主要为生活污水，且由于厂址区域未铺设污水管网，项目生活污水近期经厂区化粪池处理后定期清运，远期待区域铺设污水管网铺设完成且接管至新乡市凤泉区污水处理厂时，项目废水均排入污水处理厂进行进一步处理</w:t>
                  </w:r>
                  <w:r>
                    <w:rPr>
                      <w:rFonts w:hint="default" w:ascii="Times New Roman" w:hAnsi="Times New Roman" w:cs="Times New Roman"/>
                      <w:color w:val="auto"/>
                      <w:sz w:val="18"/>
                      <w:szCs w:val="18"/>
                      <w:highlight w:val="none"/>
                      <w:lang w:val="en-US" w:eastAsia="zh-CN"/>
                    </w:rPr>
                    <w:t>，不会对周围地表水体造成较大影响；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color w:val="auto"/>
                      <w:sz w:val="18"/>
                      <w:szCs w:val="18"/>
                      <w:highlight w:val="none"/>
                      <w:lang w:val="en-US" w:eastAsia="zh-CN"/>
                    </w:rPr>
                    <w:t>4、项目新增</w:t>
                  </w:r>
                  <w:r>
                    <w:rPr>
                      <w:rFonts w:hint="default" w:ascii="Times New Roman" w:hAnsi="Times New Roman" w:cs="Times New Roman"/>
                      <w:i w:val="0"/>
                      <w:iCs w:val="0"/>
                      <w:color w:val="auto"/>
                      <w:kern w:val="0"/>
                      <w:sz w:val="18"/>
                      <w:szCs w:val="18"/>
                      <w:highlight w:val="none"/>
                      <w:u w:val="none"/>
                      <w:lang w:val="en-US" w:eastAsia="zh-CN" w:bidi="ar"/>
                    </w:rPr>
                    <w:t>污染物将按照《新乡市建设项目新增总量指标替代管理指导意见（试行）》的要求进行倍量消减替代。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color w:val="auto"/>
                      <w:sz w:val="18"/>
                      <w:szCs w:val="18"/>
                      <w:highlight w:val="none"/>
                      <w:lang w:val="en-US" w:eastAsia="zh-CN"/>
                    </w:rPr>
                    <w:t>经对照河南省《关于建立“两高”项目会商联审机制的通知》，本项目不属于“两高”类项目。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70"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right="0" w:rightChars="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资源开发效率要求</w:t>
                  </w:r>
                </w:p>
              </w:tc>
              <w:tc>
                <w:tcPr>
                  <w:tcW w:w="271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1.“十四五”期间按照政府目标控制能耗增量指标。鼓励使用清洁燃料，重点区域建设项目原则上不新建燃煤自备锅炉。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.开展高耗水工业行业节水技术改造，大力推广工业水循环利用，推进节水型企业、节水型工业园区建设。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815"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1、项目生产过程不需使用自备锅炉，项目生产过程所用能源均为电能，属于清洁能源。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2、项目属于塑料制品业，本项目用水包括生活用水和设备冷却用水，经核算项目建成后合计用水量为1.4m</w:t>
                  </w:r>
                  <w:r>
                    <w:rPr>
                      <w:rFonts w:hint="default" w:ascii="Times New Roman" w:hAnsi="Times New Roman" w:cs="Times New Roman"/>
                      <w:i w:val="0"/>
                      <w:iCs w:val="0"/>
                      <w:color w:val="auto"/>
                      <w:kern w:val="0"/>
                      <w:sz w:val="18"/>
                      <w:szCs w:val="18"/>
                      <w:highlight w:val="none"/>
                      <w:u w:val="none"/>
                      <w:vertAlign w:val="superscript"/>
                      <w:lang w:val="en-US" w:eastAsia="zh-CN" w:bidi="ar"/>
                    </w:rPr>
                    <w:t>3</w:t>
                  </w:r>
                  <w:r>
                    <w:rPr>
                      <w:rFonts w:hint="default" w:ascii="Times New Roman" w:hAnsi="Times New Roman" w:cs="Times New Roman"/>
                      <w:i w:val="0"/>
                      <w:iCs w:val="0"/>
                      <w:color w:val="auto"/>
                      <w:kern w:val="0"/>
                      <w:sz w:val="18"/>
                      <w:szCs w:val="18"/>
                      <w:highlight w:val="none"/>
                      <w:u w:val="none"/>
                      <w:lang w:val="en-US" w:eastAsia="zh-CN" w:bidi="ar"/>
                    </w:rPr>
                    <w:t>/d（420m</w:t>
                  </w:r>
                  <w:r>
                    <w:rPr>
                      <w:rFonts w:hint="default" w:ascii="Times New Roman" w:hAnsi="Times New Roman" w:cs="Times New Roman"/>
                      <w:i w:val="0"/>
                      <w:iCs w:val="0"/>
                      <w:color w:val="auto"/>
                      <w:kern w:val="0"/>
                      <w:sz w:val="18"/>
                      <w:szCs w:val="18"/>
                      <w:highlight w:val="none"/>
                      <w:u w:val="none"/>
                      <w:vertAlign w:val="superscript"/>
                      <w:lang w:val="en-US" w:eastAsia="zh-CN" w:bidi="ar"/>
                    </w:rPr>
                    <w:t>3</w:t>
                  </w:r>
                  <w:r>
                    <w:rPr>
                      <w:rFonts w:hint="default" w:ascii="Times New Roman" w:hAnsi="Times New Roman" w:cs="Times New Roman"/>
                      <w:i w:val="0"/>
                      <w:iCs w:val="0"/>
                      <w:color w:val="auto"/>
                      <w:kern w:val="0"/>
                      <w:sz w:val="18"/>
                      <w:szCs w:val="18"/>
                      <w:highlight w:val="none"/>
                      <w:u w:val="none"/>
                      <w:lang w:val="en-US" w:eastAsia="zh-CN" w:bidi="ar"/>
                    </w:rPr>
                    <w:t>/a），不属于高耗水项目。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both"/>
                    <w:textAlignment w:val="center"/>
                    <w:rPr>
                      <w:rFonts w:hint="default" w:ascii="Times New Roman" w:hAnsi="Times New Roman" w:eastAsia="宋体" w:cs="Times New Roman"/>
                      <w:i w:val="0"/>
                      <w:iCs w:val="0"/>
                      <w:color w:val="auto"/>
                      <w:kern w:val="0"/>
                      <w:sz w:val="18"/>
                      <w:szCs w:val="18"/>
                      <w:highlight w:val="green"/>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4、项目用水近期由区域共用自备水井提供，远期待区域实现集中供水后采用集中供水作为水源。</w:t>
                  </w:r>
                </w:p>
              </w:tc>
            </w:tr>
          </w:tbl>
          <w:p>
            <w:pPr>
              <w:bidi w:val="0"/>
              <w:ind w:left="0" w:leftChars="0" w:firstLine="0" w:firstLineChars="0"/>
              <w:rPr>
                <w:rFonts w:hint="default"/>
                <w:color w:val="auto"/>
                <w:lang w:val="en-US" w:eastAsia="zh-CN"/>
              </w:rPr>
            </w:pPr>
            <w:r>
              <w:rPr>
                <w:rFonts w:hint="eastAsia"/>
                <w:color w:val="auto"/>
                <w:lang w:val="en-US" w:eastAsia="zh-CN"/>
              </w:rPr>
              <w:t xml:space="preserve"> </w:t>
            </w:r>
          </w:p>
        </w:tc>
      </w:tr>
    </w:tbl>
    <w:p>
      <w:pPr>
        <w:spacing w:line="360" w:lineRule="auto"/>
        <w:outlineLvl w:val="0"/>
        <w:rPr>
          <w:rFonts w:hint="default" w:ascii="Times New Roman" w:hAnsi="Times New Roman" w:eastAsia="黑体" w:cs="Times New Roman"/>
          <w:color w:val="auto"/>
          <w:sz w:val="30"/>
          <w:highlight w:val="green"/>
        </w:rPr>
        <w:sectPr>
          <w:footerReference r:id="rId7" w:type="default"/>
          <w:pgSz w:w="11906" w:h="16838"/>
          <w:pgMar w:top="1803" w:right="1440" w:bottom="1803" w:left="1440"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1" w:hRule="atLeast"/>
        </w:trPr>
        <w:tc>
          <w:tcPr>
            <w:tcW w:w="13652" w:type="dxa"/>
          </w:tcPr>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项目与新乡市生态环境准入清单对照情况</w:t>
            </w:r>
          </w:p>
          <w:tbl>
            <w:tblPr>
              <w:tblStyle w:val="2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3"/>
              <w:gridCol w:w="765"/>
              <w:gridCol w:w="953"/>
              <w:gridCol w:w="622"/>
              <w:gridCol w:w="623"/>
              <w:gridCol w:w="780"/>
              <w:gridCol w:w="4440"/>
              <w:gridCol w:w="42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环境管控单元编码</w:t>
                  </w:r>
                </w:p>
              </w:tc>
              <w:tc>
                <w:tcPr>
                  <w:tcW w:w="28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管控单元分类</w:t>
                  </w:r>
                </w:p>
              </w:tc>
              <w:tc>
                <w:tcPr>
                  <w:tcW w:w="3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环境管控单元名称</w:t>
                  </w:r>
                </w:p>
              </w:tc>
              <w:tc>
                <w:tcPr>
                  <w:tcW w:w="46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行政区划</w:t>
                  </w:r>
                </w:p>
              </w:tc>
              <w:tc>
                <w:tcPr>
                  <w:tcW w:w="1944" w:type="pct"/>
                  <w:gridSpan w:val="2"/>
                  <w:vMerge w:val="restar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Style w:val="73"/>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管控要求</w:t>
                  </w:r>
                </w:p>
              </w:tc>
              <w:tc>
                <w:tcPr>
                  <w:tcW w:w="1589" w:type="pct"/>
                  <w:vMerge w:val="restar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Style w:val="73"/>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28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3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23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区县</w:t>
                  </w:r>
                </w:p>
              </w:tc>
              <w:tc>
                <w:tcPr>
                  <w:tcW w:w="2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乡镇</w:t>
                  </w:r>
                </w:p>
              </w:tc>
              <w:tc>
                <w:tcPr>
                  <w:tcW w:w="1944" w:type="pct"/>
                  <w:gridSpan w:val="2"/>
                  <w:vMerge w:val="continue"/>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green"/>
                      <w:u w:val="none"/>
                      <w:lang w:val="en-US" w:eastAsia="zh-CN" w:bidi="ar"/>
                    </w:rPr>
                  </w:pPr>
                </w:p>
              </w:tc>
              <w:tc>
                <w:tcPr>
                  <w:tcW w:w="1589" w:type="pct"/>
                  <w:vMerge w:val="continue"/>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firstLine="0" w:firstLineChars="0"/>
                    <w:jc w:val="center"/>
                    <w:textAlignment w:val="center"/>
                    <w:rPr>
                      <w:rStyle w:val="73"/>
                      <w:rFonts w:hint="default" w:ascii="Times New Roman" w:hAnsi="Times New Roman" w:eastAsia="宋体" w:cs="Times New Roman"/>
                      <w:b w:val="0"/>
                      <w:bCs w:val="0"/>
                      <w:color w:val="auto"/>
                      <w:sz w:val="18"/>
                      <w:szCs w:val="18"/>
                      <w:highlight w:val="green"/>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lang w:val="en-US" w:eastAsia="zh-CN"/>
                    </w:rPr>
                    <w:t>ZH4107042000</w:t>
                  </w:r>
                  <w:r>
                    <w:rPr>
                      <w:rFonts w:hint="eastAsia" w:cs="Times New Roman"/>
                      <w:b w:val="0"/>
                      <w:bCs w:val="0"/>
                      <w:i w:val="0"/>
                      <w:iCs w:val="0"/>
                      <w:color w:val="auto"/>
                      <w:sz w:val="18"/>
                      <w:szCs w:val="18"/>
                      <w:highlight w:val="none"/>
                      <w:u w:val="none"/>
                      <w:lang w:val="en-US" w:eastAsia="zh-CN"/>
                    </w:rPr>
                    <w:t>2</w:t>
                  </w:r>
                </w:p>
              </w:tc>
              <w:tc>
                <w:tcPr>
                  <w:tcW w:w="28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lang w:eastAsia="zh-CN"/>
                    </w:rPr>
                  </w:pPr>
                  <w:r>
                    <w:rPr>
                      <w:rFonts w:hint="eastAsia" w:ascii="Times New Roman" w:hAnsi="Times New Roman" w:eastAsia="宋体" w:cs="Times New Roman"/>
                      <w:b w:val="0"/>
                      <w:bCs w:val="0"/>
                      <w:i w:val="0"/>
                      <w:iCs w:val="0"/>
                      <w:color w:val="auto"/>
                      <w:sz w:val="18"/>
                      <w:szCs w:val="18"/>
                      <w:highlight w:val="none"/>
                      <w:u w:val="none"/>
                      <w:lang w:val="en-US" w:eastAsia="zh-CN"/>
                    </w:rPr>
                    <w:t>重点管控单元2</w:t>
                  </w:r>
                </w:p>
              </w:tc>
              <w:tc>
                <w:tcPr>
                  <w:tcW w:w="3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lang w:eastAsia="zh-CN"/>
                    </w:rPr>
                  </w:pPr>
                  <w:r>
                    <w:rPr>
                      <w:rFonts w:hint="eastAsia" w:ascii="Times New Roman" w:hAnsi="Times New Roman" w:eastAsia="宋体" w:cs="Times New Roman"/>
                      <w:b w:val="0"/>
                      <w:bCs w:val="0"/>
                      <w:i w:val="0"/>
                      <w:iCs w:val="0"/>
                      <w:color w:val="auto"/>
                      <w:sz w:val="18"/>
                      <w:szCs w:val="18"/>
                      <w:highlight w:val="none"/>
                      <w:u w:val="none"/>
                      <w:lang w:val="en-US" w:eastAsia="zh-CN"/>
                    </w:rPr>
                    <w:t>凤泉区大气高排放区</w:t>
                  </w:r>
                </w:p>
              </w:tc>
              <w:tc>
                <w:tcPr>
                  <w:tcW w:w="2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lang w:eastAsia="zh-CN"/>
                    </w:rPr>
                  </w:pPr>
                  <w:r>
                    <w:rPr>
                      <w:rFonts w:hint="default" w:ascii="Times New Roman" w:hAnsi="Times New Roman" w:eastAsia="宋体" w:cs="Times New Roman"/>
                      <w:b w:val="0"/>
                      <w:bCs w:val="0"/>
                      <w:i w:val="0"/>
                      <w:iCs w:val="0"/>
                      <w:color w:val="auto"/>
                      <w:sz w:val="18"/>
                      <w:szCs w:val="18"/>
                      <w:highlight w:val="none"/>
                      <w:u w:val="none"/>
                      <w:lang w:eastAsia="zh-CN"/>
                    </w:rPr>
                    <w:t>凤泉区</w:t>
                  </w:r>
                </w:p>
              </w:tc>
              <w:tc>
                <w:tcPr>
                  <w:tcW w:w="23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宋体" w:cs="Times New Roman"/>
                      <w:b w:val="0"/>
                      <w:bCs w:val="0"/>
                      <w:i w:val="0"/>
                      <w:iCs w:val="0"/>
                      <w:color w:val="auto"/>
                      <w:sz w:val="18"/>
                      <w:szCs w:val="18"/>
                      <w:highlight w:val="none"/>
                      <w:u w:val="none"/>
                      <w:lang w:eastAsia="zh-CN"/>
                    </w:rPr>
                  </w:pPr>
                  <w:r>
                    <w:rPr>
                      <w:rFonts w:hint="eastAsia" w:cs="Times New Roman"/>
                      <w:b w:val="0"/>
                      <w:bCs w:val="0"/>
                      <w:i w:val="0"/>
                      <w:iCs w:val="0"/>
                      <w:color w:val="auto"/>
                      <w:sz w:val="18"/>
                      <w:szCs w:val="18"/>
                      <w:highlight w:val="none"/>
                      <w:u w:val="none"/>
                      <w:lang w:eastAsia="zh-CN"/>
                    </w:rPr>
                    <w:t>大块镇</w:t>
                  </w:r>
                </w:p>
              </w:tc>
              <w:tc>
                <w:tcPr>
                  <w:tcW w:w="2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空间布</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局约束</w:t>
                  </w:r>
                </w:p>
              </w:tc>
              <w:tc>
                <w:tcPr>
                  <w:tcW w:w="16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1、禁止新建、改建及扩建高排放、高污染项目，包括钢铁、有色、水泥、平板玻璃、建筑陶瓷等行业及其他排放重金属、持久性有机污染物的工业项目等。</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2、对列入疑似污染地块名单的地块，未经土壤污染状况调查确定为未污染地块的，不得进入用地程序，自然资源部门不得核发建设工程规划许可证。</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3、禁止新、改、扩建“两高”项目。</w:t>
                  </w:r>
                </w:p>
              </w:tc>
              <w:tc>
                <w:tcPr>
                  <w:tcW w:w="15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cs="Times New Roman"/>
                      <w:b w:val="0"/>
                      <w:bCs w:val="0"/>
                      <w:i w:val="0"/>
                      <w:iCs w:val="0"/>
                      <w:color w:val="auto"/>
                      <w:sz w:val="18"/>
                      <w:szCs w:val="18"/>
                      <w:highlight w:val="none"/>
                      <w:u w:val="none"/>
                      <w:lang w:val="en-US" w:eastAsia="zh-CN"/>
                    </w:rPr>
                  </w:pPr>
                  <w:r>
                    <w:rPr>
                      <w:rFonts w:hint="default" w:ascii="Times New Roman" w:hAnsi="Times New Roman" w:eastAsia="宋体" w:cs="Times New Roman"/>
                      <w:b w:val="0"/>
                      <w:bCs w:val="0"/>
                      <w:i w:val="0"/>
                      <w:iCs w:val="0"/>
                      <w:color w:val="auto"/>
                      <w:sz w:val="18"/>
                      <w:szCs w:val="18"/>
                      <w:highlight w:val="none"/>
                      <w:u w:val="none"/>
                      <w:lang w:val="en-US" w:eastAsia="zh-CN"/>
                    </w:rPr>
                    <w:t>1、</w:t>
                  </w:r>
                  <w:r>
                    <w:rPr>
                      <w:rFonts w:hint="default" w:ascii="Times New Roman" w:hAnsi="Times New Roman" w:cs="Times New Roman"/>
                      <w:b w:val="0"/>
                      <w:bCs w:val="0"/>
                      <w:i w:val="0"/>
                      <w:iCs w:val="0"/>
                      <w:color w:val="auto"/>
                      <w:sz w:val="18"/>
                      <w:szCs w:val="18"/>
                      <w:highlight w:val="none"/>
                      <w:u w:val="none"/>
                      <w:lang w:val="en-US" w:eastAsia="zh-CN"/>
                    </w:rPr>
                    <w:t>本</w:t>
                  </w:r>
                  <w:r>
                    <w:rPr>
                      <w:rFonts w:hint="default" w:ascii="Times New Roman" w:hAnsi="Times New Roman" w:eastAsia="宋体" w:cs="Times New Roman"/>
                      <w:b w:val="0"/>
                      <w:bCs w:val="0"/>
                      <w:i w:val="0"/>
                      <w:iCs w:val="0"/>
                      <w:color w:val="auto"/>
                      <w:sz w:val="18"/>
                      <w:szCs w:val="18"/>
                      <w:highlight w:val="none"/>
                      <w:u w:val="none"/>
                      <w:lang w:val="en-US" w:eastAsia="zh-CN"/>
                    </w:rPr>
                    <w:t>项目属于新建</w:t>
                  </w:r>
                  <w:r>
                    <w:rPr>
                      <w:rFonts w:hint="default" w:ascii="Times New Roman" w:hAnsi="Times New Roman" w:cs="Times New Roman"/>
                      <w:b w:val="0"/>
                      <w:bCs w:val="0"/>
                      <w:i w:val="0"/>
                      <w:iCs w:val="0"/>
                      <w:color w:val="auto"/>
                      <w:sz w:val="18"/>
                      <w:szCs w:val="18"/>
                      <w:highlight w:val="none"/>
                      <w:u w:val="none"/>
                      <w:lang w:val="en-US" w:eastAsia="zh-CN"/>
                    </w:rPr>
                    <w:t>塑料制品业</w:t>
                  </w:r>
                  <w:r>
                    <w:rPr>
                      <w:rFonts w:hint="default" w:ascii="Times New Roman" w:hAnsi="Times New Roman" w:eastAsia="宋体" w:cs="Times New Roman"/>
                      <w:b w:val="0"/>
                      <w:bCs w:val="0"/>
                      <w:i w:val="0"/>
                      <w:iCs w:val="0"/>
                      <w:color w:val="auto"/>
                      <w:sz w:val="18"/>
                      <w:szCs w:val="18"/>
                      <w:highlight w:val="none"/>
                      <w:u w:val="none"/>
                      <w:lang w:val="en-US" w:eastAsia="zh-CN"/>
                    </w:rPr>
                    <w:t>，不属于钢铁、有色、水泥、平板玻璃、建筑陶瓷等行业及其他排放重金属、持久性有机污染物的工业项目</w:t>
                  </w:r>
                  <w:r>
                    <w:rPr>
                      <w:rFonts w:hint="default" w:ascii="Times New Roman" w:hAnsi="Times New Roman" w:cs="Times New Roman"/>
                      <w:b w:val="0"/>
                      <w:bCs w:val="0"/>
                      <w:i w:val="0"/>
                      <w:iCs w:val="0"/>
                      <w:color w:val="auto"/>
                      <w:sz w:val="18"/>
                      <w:szCs w:val="18"/>
                      <w:highlight w:val="none"/>
                      <w:u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cs="Times New Roman"/>
                      <w:b w:val="0"/>
                      <w:bCs w:val="0"/>
                      <w:i w:val="0"/>
                      <w:iCs w:val="0"/>
                      <w:color w:val="auto"/>
                      <w:sz w:val="18"/>
                      <w:szCs w:val="18"/>
                      <w:highlight w:val="none"/>
                      <w:u w:val="none"/>
                      <w:lang w:eastAsia="zh-CN"/>
                    </w:rPr>
                  </w:pPr>
                  <w:r>
                    <w:rPr>
                      <w:rFonts w:hint="default" w:ascii="Times New Roman" w:hAnsi="Times New Roman" w:cs="Times New Roman"/>
                      <w:b w:val="0"/>
                      <w:bCs w:val="0"/>
                      <w:i w:val="0"/>
                      <w:iCs w:val="0"/>
                      <w:color w:val="auto"/>
                      <w:sz w:val="18"/>
                      <w:szCs w:val="18"/>
                      <w:highlight w:val="none"/>
                      <w:u w:val="none"/>
                      <w:lang w:val="en-US" w:eastAsia="zh-CN"/>
                    </w:rPr>
                    <w:t>2、本项目位于新乡市新能源电池专业园区（西片区）</w:t>
                  </w:r>
                  <w:r>
                    <w:rPr>
                      <w:rFonts w:hint="eastAsia" w:cs="Times New Roman"/>
                      <w:b w:val="0"/>
                      <w:bCs w:val="0"/>
                      <w:i w:val="0"/>
                      <w:iCs w:val="0"/>
                      <w:color w:val="auto"/>
                      <w:sz w:val="18"/>
                      <w:szCs w:val="18"/>
                      <w:highlight w:val="none"/>
                      <w:u w:val="none"/>
                      <w:lang w:val="en-US" w:eastAsia="zh-CN"/>
                    </w:rPr>
                    <w:t>，</w:t>
                  </w:r>
                  <w:r>
                    <w:rPr>
                      <w:rFonts w:hint="default" w:ascii="Times New Roman" w:hAnsi="Times New Roman" w:cs="Times New Roman"/>
                      <w:b w:val="0"/>
                      <w:bCs w:val="0"/>
                      <w:i w:val="0"/>
                      <w:iCs w:val="0"/>
                      <w:color w:val="auto"/>
                      <w:sz w:val="18"/>
                      <w:szCs w:val="18"/>
                      <w:highlight w:val="none"/>
                      <w:u w:val="none"/>
                      <w:lang w:val="en-US" w:eastAsia="zh-CN"/>
                    </w:rPr>
                    <w:t>项目符合园区土地利用规划和产业布局规划</w:t>
                  </w:r>
                  <w:r>
                    <w:rPr>
                      <w:rFonts w:hint="eastAsia" w:cs="Times New Roman"/>
                      <w:b w:val="0"/>
                      <w:bCs w:val="0"/>
                      <w:i w:val="0"/>
                      <w:iCs w:val="0"/>
                      <w:color w:val="auto"/>
                      <w:sz w:val="18"/>
                      <w:szCs w:val="18"/>
                      <w:highlight w:val="none"/>
                      <w:u w:val="none"/>
                      <w:lang w:val="en-US" w:eastAsia="zh-CN"/>
                    </w:rPr>
                    <w:t>，选址不属污染地块</w:t>
                  </w:r>
                  <w:r>
                    <w:rPr>
                      <w:rFonts w:hint="default" w:ascii="Times New Roman" w:hAnsi="Times New Roman" w:cs="Times New Roman"/>
                      <w:b w:val="0"/>
                      <w:bCs w:val="0"/>
                      <w:i w:val="0"/>
                      <w:iCs w:val="0"/>
                      <w:color w:val="auto"/>
                      <w:sz w:val="18"/>
                      <w:szCs w:val="18"/>
                      <w:highlight w:val="none"/>
                      <w:u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lang w:val="en-US" w:eastAsia="zh-CN"/>
                    </w:rPr>
                  </w:pPr>
                  <w:r>
                    <w:rPr>
                      <w:rFonts w:hint="default" w:ascii="Times New Roman" w:hAnsi="Times New Roman" w:cs="Times New Roman"/>
                      <w:b w:val="0"/>
                      <w:bCs w:val="0"/>
                      <w:i w:val="0"/>
                      <w:iCs w:val="0"/>
                      <w:color w:val="auto"/>
                      <w:sz w:val="18"/>
                      <w:szCs w:val="18"/>
                      <w:highlight w:val="none"/>
                      <w:u w:val="none"/>
                      <w:lang w:val="en-US" w:eastAsia="zh-CN"/>
                    </w:rPr>
                    <w:t>3、</w:t>
                  </w:r>
                  <w:r>
                    <w:rPr>
                      <w:rFonts w:hint="eastAsia" w:cs="Times New Roman"/>
                      <w:b w:val="0"/>
                      <w:bCs w:val="0"/>
                      <w:i w:val="0"/>
                      <w:iCs w:val="0"/>
                      <w:color w:val="auto"/>
                      <w:sz w:val="18"/>
                      <w:szCs w:val="18"/>
                      <w:highlight w:val="none"/>
                      <w:u w:val="none"/>
                      <w:lang w:val="en-US" w:eastAsia="zh-CN"/>
                    </w:rPr>
                    <w:t>经对照《河南省“两高”项目管理目录（2023年修订）》，本项目不属于“两高”类项目</w:t>
                  </w:r>
                  <w:r>
                    <w:rPr>
                      <w:rFonts w:hint="default" w:ascii="Times New Roman" w:hAnsi="Times New Roman" w:cs="Times New Roman"/>
                      <w:b w:val="0"/>
                      <w:bCs w:val="0"/>
                      <w:i w:val="0"/>
                      <w:iCs w:val="0"/>
                      <w:color w:val="auto"/>
                      <w:sz w:val="18"/>
                      <w:szCs w:val="18"/>
                      <w:highlight w:val="none"/>
                      <w:u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3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3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3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污染物排放管控</w:t>
                  </w:r>
                </w:p>
              </w:tc>
              <w:tc>
                <w:tcPr>
                  <w:tcW w:w="16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1、二氧化硫、氮氧化物、颗粒物、VOCs全面执行大气污染物特别排放限值。</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b w:val="0"/>
                      <w:bCs w:val="0"/>
                      <w:i w:val="0"/>
                      <w:iCs w:val="0"/>
                      <w:color w:val="auto"/>
                      <w:sz w:val="18"/>
                      <w:szCs w:val="18"/>
                      <w:highlight w:val="none"/>
                      <w:u w:val="none"/>
                    </w:rPr>
                    <w:t>2、加强柴油车NOx排放监管，严格实施非道路移动机械排放标准，推进重点场所清洁能源机械替代。</w:t>
                  </w:r>
                </w:p>
              </w:tc>
              <w:tc>
                <w:tcPr>
                  <w:tcW w:w="1589" w:type="pct"/>
                  <w:tcBorders>
                    <w:tl2br w:val="nil"/>
                    <w:tr2bl w:val="nil"/>
                  </w:tcBorders>
                  <w:noWrap w:val="0"/>
                  <w:vAlign w:val="center"/>
                </w:tcPr>
                <w:p>
                  <w:pPr>
                    <w:pStyle w:val="21"/>
                    <w:keepNext w:val="0"/>
                    <w:keepLines w:val="0"/>
                    <w:pageBreakBefore w:val="0"/>
                    <w:kinsoku/>
                    <w:wordWrap/>
                    <w:overflowPunct/>
                    <w:topLinePunct w:val="0"/>
                    <w:autoSpaceDE/>
                    <w:autoSpaceDN/>
                    <w:bidi w:val="0"/>
                    <w:adjustRightInd/>
                    <w:snapToGrid/>
                    <w:spacing w:after="0" w:line="240" w:lineRule="exact"/>
                    <w:ind w:left="0" w:leftChars="0" w:firstLine="0" w:firstLineChars="0"/>
                    <w:jc w:val="both"/>
                    <w:rPr>
                      <w:rFonts w:hint="default" w:ascii="Times New Roman" w:hAnsi="Times New Roman"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1、本项目生产过程VOCS废气</w:t>
                  </w:r>
                  <w:r>
                    <w:rPr>
                      <w:rFonts w:hint="eastAsia" w:cs="Times New Roman"/>
                      <w:b w:val="0"/>
                      <w:bCs w:val="0"/>
                      <w:i w:val="0"/>
                      <w:iCs w:val="0"/>
                      <w:color w:val="auto"/>
                      <w:kern w:val="2"/>
                      <w:sz w:val="18"/>
                      <w:szCs w:val="18"/>
                      <w:highlight w:val="none"/>
                      <w:u w:val="none"/>
                      <w:lang w:val="en-US" w:eastAsia="zh-CN" w:bidi="ar-SA"/>
                    </w:rPr>
                    <w:t>和颗粒物废气</w:t>
                  </w:r>
                  <w:r>
                    <w:rPr>
                      <w:rFonts w:hint="default" w:ascii="Times New Roman" w:hAnsi="Times New Roman" w:cs="Times New Roman"/>
                      <w:b w:val="0"/>
                      <w:bCs w:val="0"/>
                      <w:i w:val="0"/>
                      <w:iCs w:val="0"/>
                      <w:color w:val="auto"/>
                      <w:kern w:val="2"/>
                      <w:sz w:val="18"/>
                      <w:szCs w:val="18"/>
                      <w:highlight w:val="none"/>
                      <w:u w:val="none"/>
                      <w:lang w:val="en-US" w:eastAsia="zh-CN" w:bidi="ar-SA"/>
                    </w:rPr>
                    <w:t>污染物排放满足《合成树脂工业污染物排放标准》（GB31572-2015）特别排放限值</w:t>
                  </w:r>
                  <w:r>
                    <w:rPr>
                      <w:rFonts w:hint="eastAsia" w:cs="Times New Roman"/>
                      <w:b w:val="0"/>
                      <w:bCs w:val="0"/>
                      <w:i w:val="0"/>
                      <w:iCs w:val="0"/>
                      <w:color w:val="auto"/>
                      <w:kern w:val="2"/>
                      <w:sz w:val="18"/>
                      <w:szCs w:val="18"/>
                      <w:highlight w:val="none"/>
                      <w:u w:val="none"/>
                      <w:lang w:val="en-US" w:eastAsia="zh-CN" w:bidi="ar-SA"/>
                    </w:rPr>
                    <w:t>；</w:t>
                  </w:r>
                </w:p>
                <w:p>
                  <w:pPr>
                    <w:pStyle w:val="21"/>
                    <w:keepNext w:val="0"/>
                    <w:keepLines w:val="0"/>
                    <w:pageBreakBefore w:val="0"/>
                    <w:kinsoku/>
                    <w:wordWrap/>
                    <w:overflowPunct/>
                    <w:topLinePunct w:val="0"/>
                    <w:autoSpaceDE/>
                    <w:autoSpaceDN/>
                    <w:bidi w:val="0"/>
                    <w:adjustRightInd/>
                    <w:snapToGrid/>
                    <w:spacing w:after="0" w:line="240" w:lineRule="exact"/>
                    <w:ind w:left="0" w:leftChars="0" w:firstLine="0" w:firstLineChars="0"/>
                    <w:jc w:val="both"/>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2、本项目</w:t>
                  </w:r>
                  <w:r>
                    <w:rPr>
                      <w:rFonts w:hint="eastAsia" w:cs="Times New Roman"/>
                      <w:b w:val="0"/>
                      <w:bCs w:val="0"/>
                      <w:i w:val="0"/>
                      <w:iCs w:val="0"/>
                      <w:color w:val="auto"/>
                      <w:kern w:val="2"/>
                      <w:sz w:val="18"/>
                      <w:szCs w:val="18"/>
                      <w:highlight w:val="none"/>
                      <w:u w:val="none"/>
                      <w:lang w:val="en-US" w:eastAsia="zh-CN" w:bidi="ar-SA"/>
                    </w:rPr>
                    <w:t>不涉及使用柴油车和非道路移动机械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3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3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3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环境风</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险防控</w:t>
                  </w:r>
                </w:p>
              </w:tc>
              <w:tc>
                <w:tcPr>
                  <w:tcW w:w="16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lang w:val="en-US" w:eastAsia="zh-CN"/>
                    </w:rPr>
                  </w:pPr>
                  <w:r>
                    <w:rPr>
                      <w:rFonts w:hint="default" w:ascii="Times New Roman" w:hAnsi="Times New Roman" w:eastAsia="宋体" w:cs="Times New Roman"/>
                      <w:b w:val="0"/>
                      <w:bCs w:val="0"/>
                      <w:i w:val="0"/>
                      <w:iCs w:val="0"/>
                      <w:color w:val="auto"/>
                      <w:sz w:val="18"/>
                      <w:szCs w:val="18"/>
                      <w:highlight w:val="none"/>
                      <w:u w:val="none"/>
                      <w:lang w:val="en-US" w:eastAsia="zh-CN"/>
                    </w:rPr>
                    <w:t>1、规范园区建设，对涉重行业企业加强管理，建立土壤和地下水污染隐患排查治理制度、风险防控体系和长效监管机制。</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lang w:val="en-US" w:eastAsia="zh-CN"/>
                    </w:rPr>
                  </w:pPr>
                  <w:r>
                    <w:rPr>
                      <w:rFonts w:hint="default" w:ascii="Times New Roman" w:hAnsi="Times New Roman" w:eastAsia="宋体" w:cs="Times New Roman"/>
                      <w:b w:val="0"/>
                      <w:bCs w:val="0"/>
                      <w:i w:val="0"/>
                      <w:iCs w:val="0"/>
                      <w:color w:val="auto"/>
                      <w:sz w:val="18"/>
                      <w:szCs w:val="18"/>
                      <w:highlight w:val="none"/>
                      <w:u w:val="none"/>
                      <w:lang w:val="en-US" w:eastAsia="zh-CN"/>
                    </w:rPr>
                    <w:t>2、高关注地块划分污染风险等级，纳入优先管控名录。</w:t>
                  </w:r>
                </w:p>
              </w:tc>
              <w:tc>
                <w:tcPr>
                  <w:tcW w:w="15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1、本项目</w:t>
                  </w:r>
                  <w:r>
                    <w:rPr>
                      <w:rFonts w:hint="eastAsia" w:cs="Times New Roman"/>
                      <w:b w:val="0"/>
                      <w:bCs w:val="0"/>
                      <w:i w:val="0"/>
                      <w:iCs w:val="0"/>
                      <w:color w:val="auto"/>
                      <w:kern w:val="2"/>
                      <w:sz w:val="18"/>
                      <w:szCs w:val="18"/>
                      <w:highlight w:val="none"/>
                      <w:u w:val="none"/>
                      <w:lang w:val="en-US" w:eastAsia="zh-CN" w:bidi="ar-SA"/>
                    </w:rPr>
                    <w:t>属于</w:t>
                  </w:r>
                  <w:r>
                    <w:rPr>
                      <w:rFonts w:hint="default" w:ascii="Times New Roman" w:hAnsi="Times New Roman" w:eastAsia="宋体" w:cs="Times New Roman"/>
                      <w:b w:val="0"/>
                      <w:bCs w:val="0"/>
                      <w:i w:val="0"/>
                      <w:iCs w:val="0"/>
                      <w:color w:val="auto"/>
                      <w:sz w:val="18"/>
                      <w:szCs w:val="18"/>
                      <w:highlight w:val="none"/>
                      <w:u w:val="none"/>
                      <w:lang w:val="en-US" w:eastAsia="zh-CN"/>
                    </w:rPr>
                    <w:t>新建</w:t>
                  </w:r>
                  <w:r>
                    <w:rPr>
                      <w:rFonts w:hint="default" w:ascii="Times New Roman" w:hAnsi="Times New Roman" w:cs="Times New Roman"/>
                      <w:b w:val="0"/>
                      <w:bCs w:val="0"/>
                      <w:i w:val="0"/>
                      <w:iCs w:val="0"/>
                      <w:color w:val="auto"/>
                      <w:sz w:val="18"/>
                      <w:szCs w:val="18"/>
                      <w:highlight w:val="none"/>
                      <w:u w:val="none"/>
                      <w:lang w:val="en-US" w:eastAsia="zh-CN"/>
                    </w:rPr>
                    <w:t>塑料制品业</w:t>
                  </w:r>
                  <w:r>
                    <w:rPr>
                      <w:rFonts w:hint="eastAsia" w:cs="Times New Roman"/>
                      <w:b w:val="0"/>
                      <w:bCs w:val="0"/>
                      <w:i w:val="0"/>
                      <w:iCs w:val="0"/>
                      <w:color w:val="auto"/>
                      <w:sz w:val="18"/>
                      <w:szCs w:val="18"/>
                      <w:highlight w:val="none"/>
                      <w:u w:val="none"/>
                      <w:lang w:val="en-US" w:eastAsia="zh-CN"/>
                    </w:rPr>
                    <w:t>，不属于重点行业</w:t>
                  </w:r>
                  <w:r>
                    <w:rPr>
                      <w:rFonts w:hint="default" w:ascii="Times New Roman" w:hAnsi="Times New Roman" w:cs="Times New Roman"/>
                      <w:b w:val="0"/>
                      <w:bCs w:val="0"/>
                      <w:i w:val="0"/>
                      <w:iCs w:val="0"/>
                      <w:color w:val="auto"/>
                      <w:kern w:val="2"/>
                      <w:sz w:val="18"/>
                      <w:szCs w:val="18"/>
                      <w:highlight w:val="none"/>
                      <w:u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kern w:val="2"/>
                      <w:sz w:val="18"/>
                      <w:szCs w:val="18"/>
                      <w:highlight w:val="green"/>
                      <w:u w:val="none"/>
                      <w:lang w:val="en-US" w:eastAsia="zh-CN" w:bidi="ar-SA"/>
                    </w:rPr>
                  </w:pPr>
                  <w:r>
                    <w:rPr>
                      <w:rFonts w:hint="eastAsia" w:cs="Times New Roman"/>
                      <w:b w:val="0"/>
                      <w:bCs w:val="0"/>
                      <w:i w:val="0"/>
                      <w:iCs w:val="0"/>
                      <w:color w:val="auto"/>
                      <w:kern w:val="2"/>
                      <w:sz w:val="18"/>
                      <w:szCs w:val="18"/>
                      <w:highlight w:val="none"/>
                      <w:u w:val="none"/>
                      <w:lang w:val="en-US" w:eastAsia="zh-CN" w:bidi="ar-SA"/>
                    </w:rPr>
                    <w:t>2</w:t>
                  </w:r>
                  <w:r>
                    <w:rPr>
                      <w:rFonts w:hint="default" w:ascii="Times New Roman" w:hAnsi="Times New Roman" w:cs="Times New Roman"/>
                      <w:b w:val="0"/>
                      <w:bCs w:val="0"/>
                      <w:i w:val="0"/>
                      <w:iCs w:val="0"/>
                      <w:color w:val="auto"/>
                      <w:kern w:val="2"/>
                      <w:sz w:val="18"/>
                      <w:szCs w:val="18"/>
                      <w:highlight w:val="none"/>
                      <w:u w:val="none"/>
                      <w:lang w:val="en-US" w:eastAsia="zh-CN" w:bidi="ar-SA"/>
                    </w:rPr>
                    <w:t>、本项目选址位于新乡市新能源电池专业园区（西片区），所在地块不属于高关注地块。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3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3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green"/>
                      <w:u w:val="none"/>
                    </w:rPr>
                  </w:pPr>
                </w:p>
              </w:tc>
              <w:tc>
                <w:tcPr>
                  <w:tcW w:w="23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b w:val="0"/>
                      <w:bCs w:val="0"/>
                      <w:i w:val="0"/>
                      <w:iCs w:val="0"/>
                      <w:color w:val="auto"/>
                      <w:sz w:val="18"/>
                      <w:szCs w:val="18"/>
                      <w:highlight w:val="none"/>
                      <w:u w:val="none"/>
                    </w:rPr>
                  </w:pPr>
                </w:p>
              </w:tc>
              <w:tc>
                <w:tcPr>
                  <w:tcW w:w="29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资源利用效率要求</w:t>
                  </w:r>
                </w:p>
              </w:tc>
              <w:tc>
                <w:tcPr>
                  <w:tcW w:w="16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sz w:val="18"/>
                      <w:szCs w:val="18"/>
                      <w:highlight w:val="none"/>
                      <w:u w:val="none"/>
                      <w:lang w:val="en-US" w:eastAsia="zh-CN"/>
                    </w:rPr>
                  </w:pPr>
                  <w:r>
                    <w:rPr>
                      <w:rFonts w:hint="default" w:ascii="Times New Roman" w:hAnsi="Times New Roman" w:eastAsia="宋体" w:cs="Times New Roman"/>
                      <w:b w:val="0"/>
                      <w:bCs w:val="0"/>
                      <w:i w:val="0"/>
                      <w:iCs w:val="0"/>
                      <w:color w:val="auto"/>
                      <w:sz w:val="18"/>
                      <w:szCs w:val="18"/>
                      <w:highlight w:val="none"/>
                      <w:u w:val="none"/>
                      <w:lang w:val="en-US" w:eastAsia="zh-CN"/>
                    </w:rPr>
                    <w:t>进一步优化能源结构，加快园区配套供热、供水及配套管网建设。不得新改扩建分散燃煤设施。</w:t>
                  </w:r>
                </w:p>
              </w:tc>
              <w:tc>
                <w:tcPr>
                  <w:tcW w:w="15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本项目</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不涉及</w:t>
                  </w:r>
                  <w:r>
                    <w:rPr>
                      <w:rFonts w:hint="default" w:ascii="Times New Roman" w:hAnsi="Times New Roman" w:cs="Times New Roman"/>
                      <w:b w:val="0"/>
                      <w:bCs w:val="0"/>
                      <w:i w:val="0"/>
                      <w:iCs w:val="0"/>
                      <w:color w:val="auto"/>
                      <w:kern w:val="2"/>
                      <w:sz w:val="18"/>
                      <w:szCs w:val="18"/>
                      <w:highlight w:val="none"/>
                      <w:u w:val="none"/>
                      <w:lang w:val="en-US" w:eastAsia="zh-CN" w:bidi="ar-SA"/>
                    </w:rPr>
                    <w:t>燃煤设施</w:t>
                  </w:r>
                </w:p>
              </w:tc>
            </w:tr>
          </w:tbl>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1"/>
                <w:szCs w:val="21"/>
                <w:highlight w:val="none"/>
                <w:lang w:val="en-US" w:eastAsia="zh-CN"/>
              </w:rPr>
              <w:t>综上，本项目选址不在当地饮用水源、风景区、自然保护区等生态保护区内，不在环境功能区划等相关文件划定的生态保护红线范围内，满足生态保护红线要求，本项目符合生态环境分区管控要求。项目租用现有厂房进行建设，不新增用地，符合新乡市新能源电池专业园区（西片区）土地利用规划和产业布局规划要求；项目用水、用电均符合资源上线要求；</w:t>
            </w:r>
            <w:r>
              <w:rPr>
                <w:rFonts w:hint="default" w:ascii="Times New Roman" w:hAnsi="Times New Roman" w:cs="Times New Roman"/>
                <w:color w:val="auto"/>
                <w:sz w:val="21"/>
                <w:szCs w:val="21"/>
                <w:highlight w:val="none"/>
                <w:lang w:eastAsia="zh-CN"/>
              </w:rPr>
              <w:t>对照《新乡市“三线一单”生态环境准入清单》（试行），本项目符合生态环境准入清单要求。综上，本项目符合“三线一单”控制要求。</w:t>
            </w:r>
          </w:p>
        </w:tc>
      </w:tr>
    </w:tbl>
    <w:p>
      <w:pPr>
        <w:pStyle w:val="33"/>
        <w:rPr>
          <w:rFonts w:hint="default" w:ascii="Times New Roman" w:hAnsi="Times New Roman" w:cs="Times New Roman"/>
          <w:color w:val="auto"/>
          <w:highlight w:val="green"/>
        </w:rPr>
        <w:sectPr>
          <w:pgSz w:w="16838" w:h="11906" w:orient="landscape"/>
          <w:pgMar w:top="1803" w:right="1440" w:bottom="1803" w:left="144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388" w:type="pct"/>
            <w:noWrap w:val="0"/>
            <w:vAlign w:val="center"/>
          </w:tcPr>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firstLine="0" w:firstLineChars="0"/>
              <w:jc w:val="center"/>
              <w:textAlignment w:val="auto"/>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highlight w:val="none"/>
              </w:rPr>
              <w:t>建设内容</w:t>
            </w:r>
          </w:p>
        </w:tc>
        <w:tc>
          <w:tcPr>
            <w:tcW w:w="4611" w:type="pct"/>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1、项目概况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塑料制品是采用塑料为主要原料加工而成的生活、工业等用品的统称，在国民经济中应用广泛，塑料工业在当今世界上占有极为重要的地位，多年来塑料制品的生产在世界各地高速度发展。我国塑料制品产量在世界排名中始终位于前列，其中多种塑料制品产量已经位于全球首位，我国已经成为世界塑料制品生产大国。在此背景下，新乡市盛宏合成材料有限公司拟投资500万元，在新乡市凤泉区陈堡工业区（新乡市新能源电池专业园区）建设年产100吨塑料制品及其他塑料零件项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本项目租赁现有厂区及厂房进行建设，根据现场勘查，项目租赁厂区包括1栋2层生产车间、1栋办公用房和1栋辅助用房，目前厂区内构筑物</w:t>
            </w:r>
            <w:r>
              <w:rPr>
                <w:rFonts w:hint="eastAsia" w:cs="Times New Roman"/>
                <w:bCs/>
                <w:color w:val="auto"/>
                <w:kern w:val="0"/>
                <w:sz w:val="21"/>
                <w:szCs w:val="21"/>
                <w:highlight w:val="none"/>
                <w:lang w:val="en-US" w:eastAsia="zh-CN"/>
              </w:rPr>
              <w:t>闲置</w:t>
            </w:r>
            <w:r>
              <w:rPr>
                <w:rFonts w:hint="default" w:ascii="Times New Roman" w:hAnsi="Times New Roman" w:cs="Times New Roman"/>
                <w:bCs/>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2、</w:t>
            </w:r>
            <w:r>
              <w:rPr>
                <w:rFonts w:hint="default" w:ascii="Times New Roman" w:hAnsi="Times New Roman" w:cs="Times New Roman"/>
                <w:b/>
                <w:color w:val="auto"/>
                <w:kern w:val="0"/>
                <w:szCs w:val="21"/>
                <w:highlight w:val="none"/>
              </w:rPr>
              <w:t>本项目建设内容</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本项目租赁现有厂房进行建设，建成后主要由主体工程、辅助工程、公用工程和环保工程等内容组成。具体</w:t>
            </w:r>
            <w:r>
              <w:rPr>
                <w:rFonts w:hint="default" w:ascii="Times New Roman" w:hAnsi="Times New Roman" w:cs="Times New Roman"/>
                <w:bCs/>
                <w:color w:val="auto"/>
                <w:kern w:val="0"/>
                <w:szCs w:val="21"/>
                <w:highlight w:val="none"/>
              </w:rPr>
              <w:t>组成见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项目主要建设内容一览表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045"/>
              <w:gridCol w:w="1740"/>
              <w:gridCol w:w="3310"/>
              <w:gridCol w:w="12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类别</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名称</w:t>
                  </w:r>
                </w:p>
              </w:tc>
              <w:tc>
                <w:tcPr>
                  <w:tcW w:w="3039"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建设内容</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主体工程</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生产车间</w:t>
                  </w:r>
                </w:p>
              </w:tc>
              <w:tc>
                <w:tcPr>
                  <w:tcW w:w="3039"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2层，钢结构，建筑面积1200m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，车间根据功能区分为：</w:t>
                  </w:r>
                </w:p>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一层区域：包括注塑生产区（200m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）、原辅材料库（200m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）、破碎区（50m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）、货梯间（10m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）及其他区域（包括过道、周转区等，共计140m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w:t>
                  </w:r>
                </w:p>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snapToGrid w:val="0"/>
                      <w:color w:val="auto"/>
                      <w:kern w:val="0"/>
                      <w:sz w:val="18"/>
                      <w:szCs w:val="18"/>
                      <w:highlight w:val="none"/>
                      <w:lang w:val="en-US" w:eastAsia="zh-CN"/>
                    </w:rPr>
                    <w:t>二层区域：包括成品区（成品区400m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）、一般固废暂存间（20m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）、危险固废暂存间（15m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）、货梯间（10m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）、废气处理设施区（30m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）及其他区域（包括过道、周转区等，共计125m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辅助工程</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办公用房</w:t>
                  </w:r>
                </w:p>
              </w:tc>
              <w:tc>
                <w:tcPr>
                  <w:tcW w:w="3039" w:type="pct"/>
                  <w:gridSpan w:val="2"/>
                  <w:noWrap w:val="0"/>
                  <w:vAlign w:val="center"/>
                </w:tcPr>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1层，砖混结构，建筑面积</w:t>
                  </w:r>
                  <w:r>
                    <w:rPr>
                      <w:rFonts w:hint="eastAsia" w:cs="Times New Roman"/>
                      <w:snapToGrid w:val="0"/>
                      <w:color w:val="auto"/>
                      <w:kern w:val="0"/>
                      <w:sz w:val="18"/>
                      <w:szCs w:val="18"/>
                      <w:highlight w:val="none"/>
                      <w:lang w:val="en-US" w:eastAsia="zh-CN"/>
                    </w:rPr>
                    <w:t>300</w:t>
                  </w:r>
                  <w:r>
                    <w:rPr>
                      <w:rFonts w:hint="default" w:ascii="Times New Roman" w:hAnsi="Times New Roman" w:cs="Times New Roman"/>
                      <w:snapToGrid w:val="0"/>
                      <w:color w:val="auto"/>
                      <w:kern w:val="0"/>
                      <w:sz w:val="18"/>
                      <w:szCs w:val="18"/>
                      <w:highlight w:val="none"/>
                      <w:lang w:val="en-US" w:eastAsia="zh-CN"/>
                    </w:rPr>
                    <w:t>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，主要用于日常办公</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辅助用房</w:t>
                  </w:r>
                </w:p>
              </w:tc>
              <w:tc>
                <w:tcPr>
                  <w:tcW w:w="3039" w:type="pct"/>
                  <w:gridSpan w:val="2"/>
                  <w:noWrap w:val="0"/>
                  <w:vAlign w:val="center"/>
                </w:tcPr>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1层，砖混结构，建筑面积</w:t>
                  </w:r>
                  <w:r>
                    <w:rPr>
                      <w:rFonts w:hint="eastAsia" w:cs="Times New Roman"/>
                      <w:snapToGrid w:val="0"/>
                      <w:color w:val="auto"/>
                      <w:kern w:val="0"/>
                      <w:sz w:val="18"/>
                      <w:szCs w:val="18"/>
                      <w:highlight w:val="none"/>
                      <w:lang w:val="en-US" w:eastAsia="zh-CN"/>
                    </w:rPr>
                    <w:t>50</w:t>
                  </w:r>
                  <w:r>
                    <w:rPr>
                      <w:rFonts w:hint="default" w:ascii="Times New Roman" w:hAnsi="Times New Roman" w:cs="Times New Roman"/>
                      <w:snapToGrid w:val="0"/>
                      <w:color w:val="auto"/>
                      <w:kern w:val="0"/>
                      <w:sz w:val="18"/>
                      <w:szCs w:val="18"/>
                      <w:highlight w:val="none"/>
                      <w:lang w:val="en-US" w:eastAsia="zh-CN"/>
                    </w:rPr>
                    <w:t>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，主要用于设备配套零件及其他物品存放</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公用工程</w:t>
                  </w: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rPr>
                  </w:pPr>
                  <w:r>
                    <w:rPr>
                      <w:rFonts w:hint="default" w:ascii="Times New Roman" w:hAnsi="Times New Roman" w:cs="Times New Roman"/>
                      <w:snapToGrid w:val="0"/>
                      <w:color w:val="auto"/>
                      <w:sz w:val="18"/>
                      <w:szCs w:val="18"/>
                      <w:highlight w:val="none"/>
                    </w:rPr>
                    <w:t>供水</w:t>
                  </w:r>
                </w:p>
              </w:tc>
              <w:tc>
                <w:tcPr>
                  <w:tcW w:w="3039"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eastAsia="zh-CN"/>
                    </w:rPr>
                  </w:pPr>
                  <w:r>
                    <w:rPr>
                      <w:rFonts w:hint="eastAsia" w:cs="Times New Roman"/>
                      <w:snapToGrid w:val="0"/>
                      <w:color w:val="auto"/>
                      <w:sz w:val="18"/>
                      <w:szCs w:val="18"/>
                      <w:highlight w:val="none"/>
                      <w:lang w:eastAsia="zh-CN"/>
                    </w:rPr>
                    <w:t>企业用水目前由位于项目西南侧的新乡市新华造纸厂厂区内自备井提供</w:t>
                  </w:r>
                  <w:r>
                    <w:rPr>
                      <w:rFonts w:hint="default" w:ascii="Times New Roman" w:hAnsi="Times New Roman" w:cs="Times New Roman"/>
                      <w:snapToGrid w:val="0"/>
                      <w:color w:val="auto"/>
                      <w:sz w:val="18"/>
                      <w:szCs w:val="18"/>
                      <w:highlight w:val="none"/>
                      <w:lang w:eastAsia="zh-CN"/>
                    </w:rPr>
                    <w:t>，远期待区域实现集中供水后采用集中供水作为水源</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eastAsia="zh-CN"/>
                    </w:rPr>
                  </w:pPr>
                  <w:r>
                    <w:rPr>
                      <w:rFonts w:hint="eastAsia" w:cs="Times New Roman"/>
                      <w:snapToGrid w:val="0"/>
                      <w:color w:val="auto"/>
                      <w:sz w:val="18"/>
                      <w:szCs w:val="18"/>
                      <w:highlight w:val="none"/>
                      <w:lang w:eastAsia="zh-CN"/>
                    </w:rPr>
                    <w:t>利用现有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排水</w:t>
                  </w:r>
                </w:p>
              </w:tc>
              <w:tc>
                <w:tcPr>
                  <w:tcW w:w="3039"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eastAsia="zh-CN"/>
                    </w:rPr>
                    <w:t>生活污水经化粪池处理后，</w:t>
                  </w:r>
                  <w:r>
                    <w:rPr>
                      <w:rFonts w:hint="eastAsia" w:cs="Times New Roman"/>
                      <w:snapToGrid w:val="0"/>
                      <w:color w:val="auto"/>
                      <w:kern w:val="0"/>
                      <w:sz w:val="18"/>
                      <w:szCs w:val="18"/>
                      <w:highlight w:val="none"/>
                      <w:lang w:eastAsia="zh-CN"/>
                    </w:rPr>
                    <w:t>近期</w:t>
                  </w:r>
                  <w:r>
                    <w:rPr>
                      <w:rFonts w:hint="default" w:ascii="Times New Roman" w:hAnsi="Times New Roman" w:cs="Times New Roman"/>
                      <w:snapToGrid w:val="0"/>
                      <w:color w:val="auto"/>
                      <w:kern w:val="0"/>
                      <w:sz w:val="18"/>
                      <w:szCs w:val="18"/>
                      <w:highlight w:val="none"/>
                      <w:lang w:eastAsia="zh-CN"/>
                    </w:rPr>
                    <w:t>定期清运</w:t>
                  </w:r>
                  <w:r>
                    <w:rPr>
                      <w:rFonts w:hint="eastAsia" w:cs="Times New Roman"/>
                      <w:snapToGrid w:val="0"/>
                      <w:color w:val="auto"/>
                      <w:kern w:val="0"/>
                      <w:sz w:val="18"/>
                      <w:szCs w:val="18"/>
                      <w:highlight w:val="none"/>
                      <w:lang w:eastAsia="zh-CN"/>
                    </w:rPr>
                    <w:t>，</w:t>
                  </w:r>
                  <w:r>
                    <w:rPr>
                      <w:rFonts w:hint="default" w:ascii="Times New Roman" w:hAnsi="Times New Roman" w:cs="Times New Roman"/>
                      <w:snapToGrid w:val="0"/>
                      <w:color w:val="auto"/>
                      <w:kern w:val="0"/>
                      <w:sz w:val="18"/>
                      <w:szCs w:val="18"/>
                      <w:highlight w:val="none"/>
                      <w:lang w:eastAsia="zh-CN"/>
                    </w:rPr>
                    <w:t>远期待区域污水管网建成并接入规划建设的凤泉区污水处理厂后，经凤泉区污水处理厂进一步处理</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供电</w:t>
                  </w:r>
                </w:p>
              </w:tc>
              <w:tc>
                <w:tcPr>
                  <w:tcW w:w="3039"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color w:val="auto"/>
                      <w:sz w:val="18"/>
                      <w:szCs w:val="18"/>
                      <w:highlight w:val="none"/>
                      <w:lang w:eastAsia="zh-CN"/>
                    </w:rPr>
                    <w:t>市政供电管网</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利用租赁厂区内已建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环保工程</w:t>
                  </w:r>
                </w:p>
              </w:tc>
              <w:tc>
                <w:tcPr>
                  <w:tcW w:w="62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rPr>
                    <w:t>废气</w:t>
                  </w:r>
                  <w:r>
                    <w:rPr>
                      <w:rFonts w:hint="default" w:ascii="Times New Roman" w:hAnsi="Times New Roman" w:cs="Times New Roman"/>
                      <w:snapToGrid w:val="0"/>
                      <w:color w:val="auto"/>
                      <w:kern w:val="0"/>
                      <w:sz w:val="18"/>
                      <w:szCs w:val="18"/>
                      <w:highlight w:val="none"/>
                      <w:lang w:eastAsia="zh-CN"/>
                    </w:rPr>
                    <w:t>治理</w:t>
                  </w: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注塑工序非甲烷总烃废气</w:t>
                  </w:r>
                </w:p>
              </w:tc>
              <w:tc>
                <w:tcPr>
                  <w:tcW w:w="19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1套</w:t>
                  </w:r>
                  <w:r>
                    <w:rPr>
                      <w:rFonts w:hint="default" w:ascii="Times New Roman" w:hAnsi="Times New Roman" w:cs="Times New Roman"/>
                      <w:color w:val="auto"/>
                      <w:sz w:val="18"/>
                      <w:szCs w:val="18"/>
                      <w:highlight w:val="none"/>
                      <w:lang w:val="en-US" w:eastAsia="zh-CN"/>
                    </w:rPr>
                    <w:t>“UV光催化氧化+活性炭吸附”</w:t>
                  </w:r>
                  <w:r>
                    <w:rPr>
                      <w:rFonts w:hint="default" w:ascii="Times New Roman" w:hAnsi="Times New Roman" w:cs="Times New Roman"/>
                      <w:snapToGrid w:val="0"/>
                      <w:color w:val="auto"/>
                      <w:kern w:val="2"/>
                      <w:sz w:val="18"/>
                      <w:szCs w:val="18"/>
                      <w:highlight w:val="none"/>
                      <w:lang w:val="en-US" w:eastAsia="zh-CN" w:bidi="ar-SA"/>
                    </w:rPr>
                    <w:t>装置（TA001）+15m高排气筒（DA001）</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上料、破碎工序颗粒物废气</w:t>
                  </w:r>
                </w:p>
              </w:tc>
              <w:tc>
                <w:tcPr>
                  <w:tcW w:w="19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1套脉冲袋式除尘器（TA002）+15m高排气筒（DA002）</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废水治理</w:t>
                  </w: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生活污水</w:t>
                  </w:r>
                </w:p>
              </w:tc>
              <w:tc>
                <w:tcPr>
                  <w:tcW w:w="19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10m</w:t>
                  </w:r>
                  <w:r>
                    <w:rPr>
                      <w:rFonts w:hint="default" w:ascii="Times New Roman" w:hAnsi="Times New Roman" w:cs="Times New Roman"/>
                      <w:snapToGrid w:val="0"/>
                      <w:color w:val="auto"/>
                      <w:kern w:val="0"/>
                      <w:sz w:val="18"/>
                      <w:szCs w:val="18"/>
                      <w:highlight w:val="none"/>
                      <w:vertAlign w:val="superscript"/>
                      <w:lang w:val="en-US" w:eastAsia="zh-CN"/>
                    </w:rPr>
                    <w:t>3</w:t>
                  </w:r>
                  <w:r>
                    <w:rPr>
                      <w:rFonts w:hint="default" w:ascii="Times New Roman" w:hAnsi="Times New Roman" w:cs="Times New Roman"/>
                      <w:snapToGrid w:val="0"/>
                      <w:color w:val="auto"/>
                      <w:kern w:val="0"/>
                      <w:sz w:val="18"/>
                      <w:szCs w:val="18"/>
                      <w:highlight w:val="none"/>
                      <w:lang w:val="en-US" w:eastAsia="zh-CN"/>
                    </w:rPr>
                    <w:t>化粪池</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green"/>
                    </w:rPr>
                  </w:pPr>
                </w:p>
              </w:tc>
              <w:tc>
                <w:tcPr>
                  <w:tcW w:w="629"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固废处置</w:t>
                  </w: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除尘器集尘</w:t>
                  </w:r>
                </w:p>
              </w:tc>
              <w:tc>
                <w:tcPr>
                  <w:tcW w:w="199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1间20m</w:t>
                  </w:r>
                  <w:r>
                    <w:rPr>
                      <w:rFonts w:hint="default" w:ascii="Times New Roman" w:hAnsi="Times New Roman" w:cs="Times New Roman"/>
                      <w:snapToGrid w:val="0"/>
                      <w:color w:val="auto"/>
                      <w:sz w:val="18"/>
                      <w:szCs w:val="18"/>
                      <w:highlight w:val="none"/>
                      <w:vertAlign w:val="superscript"/>
                      <w:lang w:val="en-US" w:eastAsia="zh-CN"/>
                    </w:rPr>
                    <w:t>2</w:t>
                  </w:r>
                  <w:r>
                    <w:rPr>
                      <w:rFonts w:hint="default" w:ascii="Times New Roman" w:hAnsi="Times New Roman" w:cs="Times New Roman"/>
                      <w:snapToGrid w:val="0"/>
                      <w:color w:val="auto"/>
                      <w:sz w:val="18"/>
                      <w:szCs w:val="18"/>
                      <w:highlight w:val="none"/>
                      <w:lang w:val="en-US" w:eastAsia="zh-CN"/>
                    </w:rPr>
                    <w:t>一般固废暂存间</w:t>
                  </w:r>
                </w:p>
              </w:tc>
              <w:tc>
                <w:tcPr>
                  <w:tcW w:w="73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gree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原辅料废包装</w:t>
                  </w:r>
                </w:p>
              </w:tc>
              <w:tc>
                <w:tcPr>
                  <w:tcW w:w="19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p>
              </w:tc>
              <w:tc>
                <w:tcPr>
                  <w:tcW w:w="7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gree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不合格品</w:t>
                  </w:r>
                </w:p>
              </w:tc>
              <w:tc>
                <w:tcPr>
                  <w:tcW w:w="19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p>
              </w:tc>
              <w:tc>
                <w:tcPr>
                  <w:tcW w:w="7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gree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员工日常办公生活</w:t>
                  </w:r>
                </w:p>
              </w:tc>
              <w:tc>
                <w:tcPr>
                  <w:tcW w:w="19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垃圾收集箱若干，定期交由环卫部门清运</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gree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kern w:val="2"/>
                      <w:sz w:val="18"/>
                      <w:szCs w:val="18"/>
                      <w:highlight w:val="none"/>
                      <w:lang w:val="en-US" w:eastAsia="zh-CN" w:bidi="ar-SA"/>
                    </w:rPr>
                    <w:t>废活性炭</w:t>
                  </w:r>
                </w:p>
              </w:tc>
              <w:tc>
                <w:tcPr>
                  <w:tcW w:w="1991"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1间15m</w:t>
                  </w:r>
                  <w:r>
                    <w:rPr>
                      <w:rFonts w:hint="default" w:ascii="Times New Roman" w:hAnsi="Times New Roman" w:cs="Times New Roman"/>
                      <w:snapToGrid w:val="0"/>
                      <w:color w:val="auto"/>
                      <w:sz w:val="18"/>
                      <w:szCs w:val="18"/>
                      <w:highlight w:val="none"/>
                      <w:vertAlign w:val="superscript"/>
                      <w:lang w:val="en-US" w:eastAsia="zh-CN"/>
                    </w:rPr>
                    <w:t>2</w:t>
                  </w:r>
                  <w:r>
                    <w:rPr>
                      <w:rFonts w:hint="default" w:ascii="Times New Roman" w:hAnsi="Times New Roman" w:cs="Times New Roman"/>
                      <w:snapToGrid w:val="0"/>
                      <w:color w:val="auto"/>
                      <w:sz w:val="18"/>
                      <w:szCs w:val="18"/>
                      <w:highlight w:val="none"/>
                      <w:lang w:val="en-US" w:eastAsia="zh-CN"/>
                    </w:rPr>
                    <w:t>危险固废暂存间暂存，定期委托有资质危废单位回收处理</w:t>
                  </w:r>
                </w:p>
              </w:tc>
              <w:tc>
                <w:tcPr>
                  <w:tcW w:w="730"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green"/>
                    </w:rPr>
                  </w:pPr>
                </w:p>
              </w:tc>
              <w:tc>
                <w:tcPr>
                  <w:tcW w:w="6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4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废UV灯管</w:t>
                  </w:r>
                </w:p>
              </w:tc>
              <w:tc>
                <w:tcPr>
                  <w:tcW w:w="199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sz w:val="18"/>
                      <w:szCs w:val="18"/>
                      <w:highlight w:val="none"/>
                      <w:lang w:val="en-US" w:eastAsia="zh-CN"/>
                    </w:rPr>
                  </w:pPr>
                </w:p>
              </w:tc>
              <w:tc>
                <w:tcPr>
                  <w:tcW w:w="73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green"/>
                    </w:rPr>
                  </w:pPr>
                </w:p>
              </w:tc>
              <w:tc>
                <w:tcPr>
                  <w:tcW w:w="62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rPr>
                    <w:t>噪声</w:t>
                  </w:r>
                  <w:r>
                    <w:rPr>
                      <w:rFonts w:hint="default" w:ascii="Times New Roman" w:hAnsi="Times New Roman" w:cs="Times New Roman"/>
                      <w:snapToGrid w:val="0"/>
                      <w:color w:val="auto"/>
                      <w:kern w:val="0"/>
                      <w:sz w:val="18"/>
                      <w:szCs w:val="18"/>
                      <w:highlight w:val="none"/>
                      <w:lang w:eastAsia="zh-CN"/>
                    </w:rPr>
                    <w:t>治理</w:t>
                  </w:r>
                </w:p>
              </w:tc>
              <w:tc>
                <w:tcPr>
                  <w:tcW w:w="3039"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优先选用低噪声设备，</w:t>
                  </w:r>
                  <w:r>
                    <w:rPr>
                      <w:rFonts w:hint="default" w:ascii="Times New Roman" w:hAnsi="Times New Roman" w:cs="Times New Roman"/>
                      <w:snapToGrid w:val="0"/>
                      <w:color w:val="auto"/>
                      <w:kern w:val="0"/>
                      <w:sz w:val="18"/>
                      <w:szCs w:val="18"/>
                      <w:highlight w:val="none"/>
                    </w:rPr>
                    <w:t>合理布局、</w:t>
                  </w:r>
                  <w:r>
                    <w:rPr>
                      <w:rFonts w:hint="default" w:ascii="Times New Roman" w:hAnsi="Times New Roman" w:cs="Times New Roman"/>
                      <w:snapToGrid w:val="0"/>
                      <w:color w:val="auto"/>
                      <w:kern w:val="0"/>
                      <w:sz w:val="18"/>
                      <w:szCs w:val="18"/>
                      <w:highlight w:val="none"/>
                      <w:lang w:eastAsia="zh-CN"/>
                    </w:rPr>
                    <w:t>设置减振基础</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eastAsia="zh-CN"/>
                    </w:rPr>
                    <w:t>安装</w:t>
                  </w:r>
                  <w:r>
                    <w:rPr>
                      <w:rFonts w:hint="default" w:ascii="Times New Roman" w:hAnsi="Times New Roman" w:cs="Times New Roman"/>
                      <w:snapToGrid w:val="0"/>
                      <w:color w:val="auto"/>
                      <w:kern w:val="0"/>
                      <w:sz w:val="18"/>
                      <w:szCs w:val="18"/>
                      <w:highlight w:val="none"/>
                    </w:rPr>
                    <w:t>隔声等</w:t>
                  </w:r>
                  <w:r>
                    <w:rPr>
                      <w:rFonts w:hint="default" w:ascii="Times New Roman" w:hAnsi="Times New Roman" w:cs="Times New Roman"/>
                      <w:snapToGrid w:val="0"/>
                      <w:color w:val="auto"/>
                      <w:kern w:val="0"/>
                      <w:sz w:val="18"/>
                      <w:szCs w:val="18"/>
                      <w:highlight w:val="none"/>
                      <w:lang w:eastAsia="zh-CN"/>
                    </w:rPr>
                    <w:t>措施</w:t>
                  </w:r>
                </w:p>
              </w:tc>
              <w:tc>
                <w:tcPr>
                  <w:tcW w:w="73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新建</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3、</w:t>
            </w:r>
            <w:r>
              <w:rPr>
                <w:rFonts w:hint="default" w:ascii="Times New Roman" w:hAnsi="Times New Roman" w:cs="Times New Roman"/>
                <w:b/>
                <w:color w:val="auto"/>
                <w:kern w:val="0"/>
                <w:szCs w:val="21"/>
                <w:highlight w:val="none"/>
              </w:rPr>
              <w:t>本项目主要产品方案及生产规模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本项目产品均为塑料制品，包括电池密封圈和牙线棒，其中电池密封圈为锂电池中电解液密封组件，牙线棒为日常口腔护理中用于清理牙缝污物的产品，</w:t>
            </w:r>
            <w:r>
              <w:rPr>
                <w:rFonts w:hint="default" w:ascii="Times New Roman" w:hAnsi="Times New Roman" w:cs="Times New Roman"/>
                <w:bCs/>
                <w:color w:val="auto"/>
                <w:kern w:val="0"/>
                <w:szCs w:val="21"/>
                <w:highlight w:val="none"/>
              </w:rPr>
              <w:t>具体产品方案见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项目产品方案及规模一览表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1426"/>
              <w:gridCol w:w="1545"/>
              <w:gridCol w:w="37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default" w:ascii="Times New Roman" w:hAnsi="Times New Roman" w:cs="Times New Roman"/>
                      <w:color w:val="auto"/>
                      <w:sz w:val="18"/>
                      <w:szCs w:val="18"/>
                      <w:highlight w:val="none"/>
                      <w:lang w:val="en-US" w:eastAsia="zh-CN"/>
                    </w:rPr>
                    <w:t>产品名称</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default" w:ascii="Times New Roman" w:hAnsi="Times New Roman" w:cs="Times New Roman"/>
                      <w:color w:val="auto"/>
                      <w:sz w:val="18"/>
                      <w:szCs w:val="18"/>
                      <w:highlight w:val="none"/>
                      <w:lang w:val="en-US" w:eastAsia="zh-CN"/>
                    </w:rPr>
                    <w:t>产品型号</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lang w:val="en-US" w:eastAsia="zh-CN"/>
                    </w:rPr>
                    <w:t>生产规模（t/a）</w:t>
                  </w:r>
                </w:p>
              </w:tc>
              <w:tc>
                <w:tcPr>
                  <w:tcW w:w="2244" w:type="pct"/>
                  <w:tcBorders>
                    <w:left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color w:val="auto"/>
                      <w:kern w:val="0"/>
                      <w:sz w:val="18"/>
                      <w:szCs w:val="18"/>
                      <w:highlight w:val="none"/>
                      <w:vertAlign w:val="baseline"/>
                      <w:lang w:val="en-US" w:eastAsia="zh-CN"/>
                    </w:rPr>
                  </w:pPr>
                  <w:r>
                    <w:rPr>
                      <w:rFonts w:hint="default" w:ascii="Times New Roman" w:hAnsi="Times New Roman" w:cs="Times New Roman" w:eastAsiaTheme="minorEastAsia"/>
                      <w:color w:val="auto"/>
                      <w:sz w:val="18"/>
                      <w:szCs w:val="18"/>
                      <w:highlight w:val="none"/>
                      <w:lang w:val="en-US" w:eastAsia="zh-CN"/>
                    </w:rPr>
                    <w:t>电池密封圈</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18650型</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70</w:t>
                  </w:r>
                </w:p>
              </w:tc>
              <w:tc>
                <w:tcPr>
                  <w:tcW w:w="2244" w:type="pct"/>
                  <w:tcBorders>
                    <w:left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锂电池制作过程电解液密封组件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牙线棒</w:t>
                  </w:r>
                </w:p>
              </w:tc>
              <w:tc>
                <w:tcPr>
                  <w:tcW w:w="8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w:t>
                  </w:r>
                </w:p>
              </w:tc>
              <w:tc>
                <w:tcPr>
                  <w:tcW w:w="93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30</w:t>
                  </w:r>
                </w:p>
              </w:tc>
              <w:tc>
                <w:tcPr>
                  <w:tcW w:w="2244" w:type="pct"/>
                  <w:tcBorders>
                    <w:left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日常口腔护理中用于清理牙缝污物的产品</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4、</w:t>
            </w:r>
            <w:r>
              <w:rPr>
                <w:rFonts w:hint="default" w:ascii="Times New Roman" w:hAnsi="Times New Roman" w:cs="Times New Roman"/>
                <w:b/>
                <w:color w:val="auto"/>
                <w:kern w:val="0"/>
                <w:szCs w:val="21"/>
                <w:highlight w:val="none"/>
              </w:rPr>
              <w:t>主要原辅材料</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bCs/>
                <w:color w:val="auto"/>
                <w:kern w:val="0"/>
                <w:szCs w:val="21"/>
                <w:highlight w:val="none"/>
                <w:lang w:eastAsia="zh-CN"/>
              </w:rPr>
              <w:t>本项目原辅料主要为</w:t>
            </w:r>
            <w:r>
              <w:rPr>
                <w:rFonts w:hint="default" w:ascii="Times New Roman" w:hAnsi="Times New Roman" w:cs="Times New Roman"/>
                <w:bCs/>
                <w:color w:val="auto"/>
                <w:kern w:val="0"/>
                <w:szCs w:val="21"/>
                <w:highlight w:val="none"/>
                <w:lang w:val="en-US" w:eastAsia="zh-CN"/>
              </w:rPr>
              <w:t>尼龙PA66</w:t>
            </w:r>
            <w:r>
              <w:rPr>
                <w:rFonts w:hint="default" w:ascii="Times New Roman" w:hAnsi="Times New Roman" w:cs="Times New Roman"/>
                <w:bCs/>
                <w:color w:val="auto"/>
                <w:kern w:val="0"/>
                <w:szCs w:val="21"/>
                <w:highlight w:val="none"/>
                <w:lang w:eastAsia="zh-CN"/>
              </w:rPr>
              <w:t>，所需能源资源包括水和电，</w:t>
            </w:r>
            <w:r>
              <w:rPr>
                <w:rFonts w:hint="default" w:ascii="Times New Roman" w:hAnsi="Times New Roman" w:cs="Times New Roman"/>
                <w:bCs/>
                <w:color w:val="auto"/>
                <w:kern w:val="0"/>
                <w:szCs w:val="21"/>
                <w:highlight w:val="none"/>
              </w:rPr>
              <w:t>主要原辅材料</w:t>
            </w:r>
            <w:r>
              <w:rPr>
                <w:rFonts w:hint="default" w:ascii="Times New Roman" w:hAnsi="Times New Roman" w:cs="Times New Roman"/>
                <w:bCs/>
                <w:color w:val="auto"/>
                <w:kern w:val="0"/>
                <w:szCs w:val="21"/>
                <w:highlight w:val="none"/>
                <w:lang w:eastAsia="zh-CN"/>
              </w:rPr>
              <w:t>及能源资源</w:t>
            </w:r>
            <w:r>
              <w:rPr>
                <w:rFonts w:hint="default" w:ascii="Times New Roman" w:hAnsi="Times New Roman" w:cs="Times New Roman"/>
                <w:bCs/>
                <w:color w:val="auto"/>
                <w:kern w:val="0"/>
                <w:szCs w:val="21"/>
                <w:highlight w:val="none"/>
              </w:rPr>
              <w:t>消耗见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主要原辅料及能源消耗</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471"/>
              <w:gridCol w:w="1282"/>
              <w:gridCol w:w="886"/>
              <w:gridCol w:w="34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类别</w:t>
                  </w:r>
                </w:p>
              </w:tc>
              <w:tc>
                <w:tcPr>
                  <w:tcW w:w="147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名称</w:t>
                  </w:r>
                </w:p>
              </w:tc>
              <w:tc>
                <w:tcPr>
                  <w:tcW w:w="1282"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单位</w:t>
                  </w:r>
                </w:p>
              </w:tc>
              <w:tc>
                <w:tcPr>
                  <w:tcW w:w="88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数量</w:t>
                  </w:r>
                </w:p>
              </w:tc>
              <w:tc>
                <w:tcPr>
                  <w:tcW w:w="3483"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restart"/>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原辅材料</w:t>
                  </w:r>
                </w:p>
              </w:tc>
              <w:tc>
                <w:tcPr>
                  <w:tcW w:w="147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PA66尼龙</w:t>
                  </w:r>
                </w:p>
              </w:tc>
              <w:tc>
                <w:tcPr>
                  <w:tcW w:w="1282"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t/a</w:t>
                  </w:r>
                </w:p>
              </w:tc>
              <w:tc>
                <w:tcPr>
                  <w:tcW w:w="88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106</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外购，颗粒状，50kg密闭袋装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47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涤纶</w:t>
                  </w:r>
                  <w:r>
                    <w:rPr>
                      <w:rFonts w:hint="eastAsia" w:cs="Times New Roman"/>
                      <w:i w:val="0"/>
                      <w:iCs w:val="0"/>
                      <w:color w:val="auto"/>
                      <w:kern w:val="0"/>
                      <w:sz w:val="18"/>
                      <w:szCs w:val="18"/>
                      <w:highlight w:val="none"/>
                      <w:u w:val="none"/>
                      <w:lang w:val="en-US" w:eastAsia="zh-CN" w:bidi="ar"/>
                    </w:rPr>
                    <w:t>线</w:t>
                  </w:r>
                </w:p>
              </w:tc>
              <w:tc>
                <w:tcPr>
                  <w:tcW w:w="1282"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kg/a</w:t>
                  </w:r>
                </w:p>
              </w:tc>
              <w:tc>
                <w:tcPr>
                  <w:tcW w:w="88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30</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外购，500米/卷，5卷/盒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47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内包装袋</w:t>
                  </w:r>
                </w:p>
              </w:tc>
              <w:tc>
                <w:tcPr>
                  <w:tcW w:w="1282"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个/a</w:t>
                  </w:r>
                </w:p>
              </w:tc>
              <w:tc>
                <w:tcPr>
                  <w:tcW w:w="88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5000</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密封圈和牙线棒内包装材料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47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外包装盒</w:t>
                  </w:r>
                </w:p>
              </w:tc>
              <w:tc>
                <w:tcPr>
                  <w:tcW w:w="1282"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个/a</w:t>
                  </w:r>
                </w:p>
              </w:tc>
              <w:tc>
                <w:tcPr>
                  <w:tcW w:w="88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1000</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牙线棒外包装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471"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外包装箱</w:t>
                  </w:r>
                </w:p>
              </w:tc>
              <w:tc>
                <w:tcPr>
                  <w:tcW w:w="1282"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个/a</w:t>
                  </w:r>
                </w:p>
              </w:tc>
              <w:tc>
                <w:tcPr>
                  <w:tcW w:w="886" w:type="dxa"/>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1000</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密封圈外包装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restart"/>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能源资源</w:t>
                  </w:r>
                </w:p>
              </w:tc>
              <w:tc>
                <w:tcPr>
                  <w:tcW w:w="1471"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水</w:t>
                  </w:r>
                </w:p>
              </w:tc>
              <w:tc>
                <w:tcPr>
                  <w:tcW w:w="1282"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m</w:t>
                  </w:r>
                  <w:r>
                    <w:rPr>
                      <w:rFonts w:hint="default" w:ascii="Times New Roman" w:hAnsi="Times New Roman" w:cs="Times New Roman"/>
                      <w:b w:val="0"/>
                      <w:bCs w:val="0"/>
                      <w:color w:val="auto"/>
                      <w:sz w:val="18"/>
                      <w:szCs w:val="18"/>
                      <w:highlight w:val="none"/>
                      <w:vertAlign w:val="superscript"/>
                      <w:lang w:val="en-US" w:eastAsia="zh-CN"/>
                    </w:rPr>
                    <w:t>3</w:t>
                  </w:r>
                  <w:r>
                    <w:rPr>
                      <w:rFonts w:hint="default" w:ascii="Times New Roman" w:hAnsi="Times New Roman" w:cs="Times New Roman"/>
                      <w:b w:val="0"/>
                      <w:bCs w:val="0"/>
                      <w:color w:val="auto"/>
                      <w:sz w:val="18"/>
                      <w:szCs w:val="18"/>
                      <w:highlight w:val="none"/>
                      <w:vertAlign w:val="baseline"/>
                      <w:lang w:val="en-US" w:eastAsia="zh-CN"/>
                    </w:rPr>
                    <w:t>/a</w:t>
                  </w:r>
                </w:p>
              </w:tc>
              <w:tc>
                <w:tcPr>
                  <w:tcW w:w="886"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179.1</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自备水井，远期待区域实现集中供水后采用集中供水作为水源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p>
              </w:tc>
              <w:tc>
                <w:tcPr>
                  <w:tcW w:w="1471"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纯水</w:t>
                  </w:r>
                </w:p>
              </w:tc>
              <w:tc>
                <w:tcPr>
                  <w:tcW w:w="1282"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m</w:t>
                  </w:r>
                  <w:r>
                    <w:rPr>
                      <w:rFonts w:hint="default" w:ascii="Times New Roman" w:hAnsi="Times New Roman" w:cs="Times New Roman"/>
                      <w:b w:val="0"/>
                      <w:bCs w:val="0"/>
                      <w:color w:val="auto"/>
                      <w:sz w:val="18"/>
                      <w:szCs w:val="18"/>
                      <w:highlight w:val="none"/>
                      <w:vertAlign w:val="superscript"/>
                      <w:lang w:val="en-US" w:eastAsia="zh-CN"/>
                    </w:rPr>
                    <w:t>3</w:t>
                  </w:r>
                  <w:r>
                    <w:rPr>
                      <w:rFonts w:hint="default" w:ascii="Times New Roman" w:hAnsi="Times New Roman" w:cs="Times New Roman"/>
                      <w:b w:val="0"/>
                      <w:bCs w:val="0"/>
                      <w:color w:val="auto"/>
                      <w:sz w:val="18"/>
                      <w:szCs w:val="18"/>
                      <w:highlight w:val="none"/>
                      <w:vertAlign w:val="baseline"/>
                      <w:lang w:val="en-US" w:eastAsia="zh-CN"/>
                    </w:rPr>
                    <w:t>/a</w:t>
                  </w:r>
                </w:p>
              </w:tc>
              <w:tc>
                <w:tcPr>
                  <w:tcW w:w="886"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240</w:t>
                  </w:r>
                  <w:r>
                    <w:rPr>
                      <w:rFonts w:hint="eastAsia" w:cs="Times New Roman"/>
                      <w:b w:val="0"/>
                      <w:bCs w:val="0"/>
                      <w:color w:val="auto"/>
                      <w:sz w:val="18"/>
                      <w:szCs w:val="18"/>
                      <w:highlight w:val="none"/>
                      <w:vertAlign w:val="baseline"/>
                      <w:lang w:val="en-US" w:eastAsia="zh-CN"/>
                    </w:rPr>
                    <w:t>.9</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用于注塑设备模具冷却，工程采用闭式冷却水系统，为避免冷却水长期循环产生水垢，因此用水均为外购纯水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7" w:type="dxa"/>
                  <w:vMerge w:val="continue"/>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bCs/>
                      <w:color w:val="auto"/>
                      <w:sz w:val="18"/>
                      <w:szCs w:val="18"/>
                      <w:highlight w:val="green"/>
                      <w:vertAlign w:val="baseline"/>
                      <w:lang w:val="en-US" w:eastAsia="zh-CN"/>
                    </w:rPr>
                  </w:pPr>
                </w:p>
              </w:tc>
              <w:tc>
                <w:tcPr>
                  <w:tcW w:w="1471"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电</w:t>
                  </w:r>
                </w:p>
              </w:tc>
              <w:tc>
                <w:tcPr>
                  <w:tcW w:w="1282"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万kw</w:t>
                  </w:r>
                  <w:r>
                    <w:rPr>
                      <w:rFonts w:hint="default" w:ascii="Times New Roman" w:hAnsi="Times New Roman" w:eastAsia="宋体" w:cs="Times New Roman"/>
                      <w:b w:val="0"/>
                      <w:bCs w:val="0"/>
                      <w:color w:val="auto"/>
                      <w:sz w:val="18"/>
                      <w:szCs w:val="18"/>
                      <w:highlight w:val="none"/>
                      <w:vertAlign w:val="baseline"/>
                      <w:lang w:val="en-US" w:eastAsia="zh-CN"/>
                    </w:rPr>
                    <w:t>·</w:t>
                  </w:r>
                  <w:r>
                    <w:rPr>
                      <w:rFonts w:hint="default" w:ascii="Times New Roman" w:hAnsi="Times New Roman" w:cs="Times New Roman"/>
                      <w:b w:val="0"/>
                      <w:bCs w:val="0"/>
                      <w:color w:val="auto"/>
                      <w:sz w:val="18"/>
                      <w:szCs w:val="18"/>
                      <w:highlight w:val="none"/>
                      <w:vertAlign w:val="baseline"/>
                      <w:lang w:val="en-US" w:eastAsia="zh-CN"/>
                    </w:rPr>
                    <w:t>h/a</w:t>
                  </w:r>
                </w:p>
              </w:tc>
              <w:tc>
                <w:tcPr>
                  <w:tcW w:w="886"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300</w:t>
                  </w:r>
                </w:p>
              </w:tc>
              <w:tc>
                <w:tcPr>
                  <w:tcW w:w="3483" w:type="dxa"/>
                  <w:tcBorders>
                    <w:tl2br w:val="nil"/>
                    <w:tr2bl w:val="nil"/>
                  </w:tcBorders>
                  <w:vAlign w:val="center"/>
                </w:tcPr>
                <w:p>
                  <w:pPr>
                    <w:pStyle w:val="2"/>
                    <w:keepNext/>
                    <w:keepLines w:val="0"/>
                    <w:pageBreakBefore w:val="0"/>
                    <w:widowControl w:val="0"/>
                    <w:kinsoku/>
                    <w:wordWrap/>
                    <w:overflowPunct w:val="0"/>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市政供电管网</w:t>
                  </w:r>
                </w:p>
              </w:tc>
            </w:tr>
          </w:tbl>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理化性质一览表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474"/>
              <w:gridCol w:w="56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名称</w:t>
                  </w:r>
                </w:p>
              </w:tc>
              <w:tc>
                <w:tcPr>
                  <w:tcW w:w="887"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状态</w:t>
                  </w:r>
                </w:p>
              </w:tc>
              <w:tc>
                <w:tcPr>
                  <w:tcW w:w="3394"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vertAlign w:val="baseline"/>
                      <w:lang w:val="en-US" w:eastAsia="zh-CN"/>
                    </w:rPr>
                    <w:t>理化性质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tcBorders>
                    <w:tl2br w:val="nil"/>
                    <w:tr2bl w:val="nil"/>
                  </w:tcBorders>
                  <w:vAlign w:val="center"/>
                </w:tcPr>
                <w:p>
                  <w:pPr>
                    <w:keepNext w:val="0"/>
                    <w:keepLines w:val="0"/>
                    <w:pageBreakBefore w:val="0"/>
                    <w:widowControl/>
                    <w:suppressLineNumbers w:val="0"/>
                    <w:kinsoku/>
                    <w:wordWrap/>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PA66尼龙</w:t>
                  </w:r>
                </w:p>
              </w:tc>
              <w:tc>
                <w:tcPr>
                  <w:tcW w:w="887" w:type="pct"/>
                  <w:tcBorders>
                    <w:tl2br w:val="nil"/>
                    <w:tr2bl w:val="nil"/>
                  </w:tcBorders>
                  <w:vAlign w:val="center"/>
                </w:tcPr>
                <w:p>
                  <w:pPr>
                    <w:pStyle w:val="5"/>
                    <w:keepNext w:val="0"/>
                    <w:keepLines w:val="0"/>
                    <w:pageBreakBefore w:val="0"/>
                    <w:widowControl w:val="0"/>
                    <w:numPr>
                      <w:ilvl w:val="3"/>
                      <w:numId w:val="0"/>
                    </w:numPr>
                    <w:kinsoku/>
                    <w:wordWrap/>
                    <w:overflowPunct/>
                    <w:topLinePunct w:val="0"/>
                    <w:autoSpaceDE/>
                    <w:autoSpaceDN/>
                    <w:bidi w:val="0"/>
                    <w:adjustRightInd/>
                    <w:snapToGrid/>
                    <w:spacing w:before="0" w:beforeLines="0" w:after="0" w:line="320" w:lineRule="exact"/>
                    <w:jc w:val="center"/>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固态</w:t>
                  </w:r>
                </w:p>
              </w:tc>
              <w:tc>
                <w:tcPr>
                  <w:tcW w:w="3394" w:type="pct"/>
                  <w:tcBorders>
                    <w:tl2br w:val="nil"/>
                    <w:tr2bl w:val="nil"/>
                  </w:tcBorders>
                  <w:vAlign w:val="center"/>
                </w:tcPr>
                <w:p>
                  <w:pPr>
                    <w:pStyle w:val="5"/>
                    <w:keepNext w:val="0"/>
                    <w:keepLines w:val="0"/>
                    <w:pageBreakBefore w:val="0"/>
                    <w:widowControl w:val="0"/>
                    <w:numPr>
                      <w:ilvl w:val="3"/>
                      <w:numId w:val="0"/>
                    </w:numPr>
                    <w:kinsoku/>
                    <w:wordWrap w:val="0"/>
                    <w:overflowPunct/>
                    <w:topLinePunct w:val="0"/>
                    <w:autoSpaceDE/>
                    <w:autoSpaceDN/>
                    <w:bidi w:val="0"/>
                    <w:adjustRightInd/>
                    <w:snapToGrid/>
                    <w:spacing w:before="0" w:beforeLines="0" w:after="0" w:line="320" w:lineRule="exact"/>
                    <w:jc w:val="left"/>
                    <w:textAlignment w:val="auto"/>
                    <w:rPr>
                      <w:rFonts w:hint="default" w:ascii="Times New Roman" w:hAnsi="Times New Roman" w:eastAsia="宋体"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PA66塑胶原料为半透明或不透明乳白包或带黄色颗粒状结晶形聚合物，为聚己二酰己二胺，是一种热塑性树脂，一般是由己二酸和己二胺缩聚制的。密度：1.10-1.14g/cm</w:t>
                  </w:r>
                  <w:r>
                    <w:rPr>
                      <w:rFonts w:hint="default" w:ascii="Times New Roman" w:hAnsi="Times New Roman" w:cs="Times New Roman"/>
                      <w:b w:val="0"/>
                      <w:bCs w:val="0"/>
                      <w:color w:val="auto"/>
                      <w:sz w:val="18"/>
                      <w:szCs w:val="18"/>
                      <w:highlight w:val="none"/>
                      <w:vertAlign w:val="superscript"/>
                      <w:lang w:val="en-US" w:eastAsia="zh-CN"/>
                    </w:rPr>
                    <w:t>3</w:t>
                  </w:r>
                  <w:r>
                    <w:rPr>
                      <w:rFonts w:hint="default" w:ascii="Times New Roman" w:hAnsi="Times New Roman" w:cs="Times New Roman"/>
                      <w:b w:val="0"/>
                      <w:bCs w:val="0"/>
                      <w:color w:val="auto"/>
                      <w:sz w:val="18"/>
                      <w:szCs w:val="18"/>
                      <w:highlight w:val="none"/>
                      <w:vertAlign w:val="baseline"/>
                      <w:lang w:val="en-US" w:eastAsia="zh-CN"/>
                    </w:rPr>
                    <w:t>；拉伸强度：60.0-80.0MPA；洛氏硬度118；熔点252℃；脆化温度-30℃；热分解温度大于350℃；连续耐热80-120℃；冲击强度60-100kJ/m</w:t>
                  </w:r>
                  <w:r>
                    <w:rPr>
                      <w:rFonts w:hint="default" w:ascii="Times New Roman" w:hAnsi="Times New Roman" w:cs="Times New Roman"/>
                      <w:b w:val="0"/>
                      <w:bCs w:val="0"/>
                      <w:color w:val="auto"/>
                      <w:sz w:val="18"/>
                      <w:szCs w:val="18"/>
                      <w:highlight w:val="none"/>
                      <w:vertAlign w:val="superscript"/>
                      <w:lang w:val="en-US" w:eastAsia="zh-CN"/>
                    </w:rPr>
                    <w:t>2</w:t>
                  </w:r>
                  <w:r>
                    <w:rPr>
                      <w:rFonts w:hint="default" w:ascii="Times New Roman" w:hAnsi="Times New Roman" w:cs="Times New Roman"/>
                      <w:b w:val="0"/>
                      <w:bCs w:val="0"/>
                      <w:color w:val="auto"/>
                      <w:sz w:val="18"/>
                      <w:szCs w:val="18"/>
                      <w:highlight w:val="none"/>
                      <w:vertAlign w:val="baseline"/>
                      <w:lang w:val="en-US" w:eastAsia="zh-CN"/>
                    </w:rPr>
                    <w:t>；静弯曲强度1 00-120MPA；马丁耐热50-60℃；弯曲弹性模量2000~3000MPA；体积电阻率（1.83×1015）Ωcm；平衡吸水率2.5%；介电常数1.63。广泛用于制造机械、汽车、化学与电气装置的零件，如齿轮、滚子、滑轮、辊轴、泵体中叶轮、风扇叶片、高压密封围、阀座、垫片、衬套、各种把手、支撑架、电线包内层等。</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5、</w:t>
            </w:r>
            <w:r>
              <w:rPr>
                <w:rFonts w:hint="default" w:ascii="Times New Roman" w:hAnsi="Times New Roman" w:cs="Times New Roman"/>
                <w:b/>
                <w:color w:val="auto"/>
                <w:kern w:val="0"/>
                <w:szCs w:val="21"/>
                <w:highlight w:val="none"/>
              </w:rPr>
              <w:t>主要设备和装置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本项目设备主要包括注塑机、牙线棒自动生产机、破碎机等，具体</w:t>
            </w:r>
            <w:r>
              <w:rPr>
                <w:rFonts w:hint="default" w:ascii="Times New Roman" w:hAnsi="Times New Roman" w:cs="Times New Roman"/>
                <w:bCs/>
                <w:color w:val="auto"/>
                <w:kern w:val="0"/>
                <w:szCs w:val="21"/>
                <w:highlight w:val="none"/>
              </w:rPr>
              <w:t>设备情况见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工程工艺设备一览表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935"/>
              <w:gridCol w:w="1348"/>
              <w:gridCol w:w="698"/>
              <w:gridCol w:w="709"/>
              <w:gridCol w:w="27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序号</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设备名称</w:t>
                  </w:r>
                </w:p>
              </w:tc>
              <w:tc>
                <w:tcPr>
                  <w:tcW w:w="13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型号</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单位</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数量</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1</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注塑机</w:t>
                  </w:r>
                </w:p>
              </w:tc>
              <w:tc>
                <w:tcPr>
                  <w:tcW w:w="13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海天</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7</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锂电池密封圈注塑成型设备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2</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牙线自动</w:t>
                  </w:r>
                  <w:r>
                    <w:rPr>
                      <w:rFonts w:hint="default" w:ascii="Times New Roman" w:hAnsi="Times New Roman" w:cs="Times New Roman"/>
                      <w:b w:val="0"/>
                      <w:bCs w:val="0"/>
                      <w:i w:val="0"/>
                      <w:iCs w:val="0"/>
                      <w:color w:val="auto"/>
                      <w:kern w:val="0"/>
                      <w:sz w:val="18"/>
                      <w:szCs w:val="18"/>
                      <w:highlight w:val="none"/>
                      <w:u w:val="none"/>
                      <w:lang w:val="en-US" w:eastAsia="zh-CN" w:bidi="ar"/>
                    </w:rPr>
                    <w:t>注塑成型机</w:t>
                  </w:r>
                </w:p>
              </w:tc>
              <w:tc>
                <w:tcPr>
                  <w:tcW w:w="13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28穴</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2</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牙线棒注塑成型设备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3</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真空上料机</w:t>
                  </w:r>
                </w:p>
              </w:tc>
              <w:tc>
                <w:tcPr>
                  <w:tcW w:w="13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套</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9</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塑料颗粒自动上料设备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4</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粉碎机</w:t>
                  </w:r>
                </w:p>
              </w:tc>
              <w:tc>
                <w:tcPr>
                  <w:tcW w:w="13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利欣特180</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7</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不合格品破碎回用设备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SA"/>
                    </w:rPr>
                  </w:pPr>
                  <w:r>
                    <w:rPr>
                      <w:rFonts w:hint="default" w:ascii="Times New Roman" w:hAnsi="Times New Roman" w:cs="Times New Roman"/>
                      <w:b w:val="0"/>
                      <w:bCs w:val="0"/>
                      <w:color w:val="auto"/>
                      <w:kern w:val="0"/>
                      <w:sz w:val="18"/>
                      <w:szCs w:val="18"/>
                      <w:highlight w:val="none"/>
                      <w:vertAlign w:val="baseline"/>
                      <w:lang w:val="en-US" w:eastAsia="zh-CN"/>
                    </w:rPr>
                    <w:t>5</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cs="Times New Roman"/>
                      <w:b w:val="0"/>
                      <w:bCs w:val="0"/>
                      <w:i w:val="0"/>
                      <w:iCs w:val="0"/>
                      <w:color w:val="auto"/>
                      <w:kern w:val="0"/>
                      <w:sz w:val="18"/>
                      <w:szCs w:val="18"/>
                      <w:highlight w:val="none"/>
                      <w:u w:val="none"/>
                      <w:lang w:val="en-US" w:eastAsia="zh-CN" w:bidi="ar"/>
                    </w:rPr>
                    <w:t>工业</w:t>
                  </w:r>
                  <w:r>
                    <w:rPr>
                      <w:rFonts w:hint="default" w:ascii="Times New Roman" w:hAnsi="Times New Roman" w:cs="Times New Roman"/>
                      <w:b w:val="0"/>
                      <w:bCs w:val="0"/>
                      <w:i w:val="0"/>
                      <w:iCs w:val="0"/>
                      <w:color w:val="auto"/>
                      <w:kern w:val="0"/>
                      <w:sz w:val="18"/>
                      <w:szCs w:val="18"/>
                      <w:highlight w:val="none"/>
                      <w:u w:val="none"/>
                      <w:lang w:val="en-US" w:eastAsia="zh-CN" w:bidi="ar"/>
                    </w:rPr>
                    <w:t>循环冷却水</w:t>
                  </w:r>
                  <w:r>
                    <w:rPr>
                      <w:rFonts w:hint="eastAsia" w:cs="Times New Roman"/>
                      <w:b w:val="0"/>
                      <w:bCs w:val="0"/>
                      <w:i w:val="0"/>
                      <w:iCs w:val="0"/>
                      <w:color w:val="auto"/>
                      <w:kern w:val="0"/>
                      <w:sz w:val="18"/>
                      <w:szCs w:val="18"/>
                      <w:highlight w:val="none"/>
                      <w:u w:val="none"/>
                      <w:lang w:val="en-US" w:eastAsia="zh-CN" w:bidi="ar"/>
                    </w:rPr>
                    <w:t>箱</w:t>
                  </w:r>
                </w:p>
              </w:tc>
              <w:tc>
                <w:tcPr>
                  <w:tcW w:w="13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10t/h</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套</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0"/>
                      <w:sz w:val="18"/>
                      <w:szCs w:val="18"/>
                      <w:highlight w:val="none"/>
                      <w:u w:val="none"/>
                      <w:lang w:val="en-US" w:eastAsia="zh-CN" w:bidi="ar"/>
                    </w:rPr>
                    <w:t>1</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i w:val="0"/>
                      <w:iCs w:val="0"/>
                      <w:color w:val="auto"/>
                      <w:kern w:val="2"/>
                      <w:sz w:val="18"/>
                      <w:szCs w:val="18"/>
                      <w:highlight w:val="none"/>
                      <w:u w:val="none"/>
                      <w:lang w:val="en-US" w:eastAsia="zh-CN" w:bidi="ar-SA"/>
                    </w:rPr>
                  </w:pPr>
                  <w:r>
                    <w:rPr>
                      <w:rFonts w:hint="eastAsia" w:cs="Times New Roman"/>
                      <w:b w:val="0"/>
                      <w:bCs w:val="0"/>
                      <w:i w:val="0"/>
                      <w:iCs w:val="0"/>
                      <w:color w:val="auto"/>
                      <w:kern w:val="2"/>
                      <w:sz w:val="18"/>
                      <w:szCs w:val="18"/>
                      <w:highlight w:val="none"/>
                      <w:u w:val="none"/>
                      <w:lang w:val="en-US" w:eastAsia="zh-CN" w:bidi="ar-SA"/>
                    </w:rPr>
                    <w:t>风冷式内</w:t>
                  </w:r>
                  <w:r>
                    <w:rPr>
                      <w:rFonts w:hint="default" w:ascii="Times New Roman" w:hAnsi="Times New Roman" w:cs="Times New Roman"/>
                      <w:b w:val="0"/>
                      <w:bCs w:val="0"/>
                      <w:i w:val="0"/>
                      <w:iCs w:val="0"/>
                      <w:color w:val="auto"/>
                      <w:kern w:val="2"/>
                      <w:sz w:val="18"/>
                      <w:szCs w:val="18"/>
                      <w:highlight w:val="none"/>
                      <w:u w:val="none"/>
                      <w:lang w:val="en-US" w:eastAsia="zh-CN" w:bidi="ar-SA"/>
                    </w:rPr>
                    <w:t>循环冷却水系统</w:t>
                  </w:r>
                  <w:r>
                    <w:rPr>
                      <w:rFonts w:hint="eastAsia" w:cs="Times New Roman"/>
                      <w:b w:val="0"/>
                      <w:bCs w:val="0"/>
                      <w:i w:val="0"/>
                      <w:iCs w:val="0"/>
                      <w:color w:val="auto"/>
                      <w:kern w:val="2"/>
                      <w:sz w:val="18"/>
                      <w:szCs w:val="18"/>
                      <w:highlight w:val="none"/>
                      <w:u w:val="none"/>
                      <w:lang w:val="en-US" w:eastAsia="zh-CN" w:bidi="ar-SA"/>
                    </w:rPr>
                    <w:t>，内置有效容积1000L水罐，冷却水系统用水为纯水，箱体内部循环风2100m</w:t>
                  </w:r>
                  <w:r>
                    <w:rPr>
                      <w:rFonts w:hint="eastAsia" w:cs="Times New Roman"/>
                      <w:b w:val="0"/>
                      <w:bCs w:val="0"/>
                      <w:i w:val="0"/>
                      <w:iCs w:val="0"/>
                      <w:color w:val="auto"/>
                      <w:kern w:val="2"/>
                      <w:sz w:val="18"/>
                      <w:szCs w:val="18"/>
                      <w:highlight w:val="none"/>
                      <w:u w:val="none"/>
                      <w:vertAlign w:val="superscript"/>
                      <w:lang w:val="en-US" w:eastAsia="zh-CN" w:bidi="ar-SA"/>
                    </w:rPr>
                    <w:t>3</w:t>
                  </w:r>
                  <w:r>
                    <w:rPr>
                      <w:rFonts w:hint="eastAsia" w:cs="Times New Roman"/>
                      <w:b w:val="0"/>
                      <w:bCs w:val="0"/>
                      <w:i w:val="0"/>
                      <w:iCs w:val="0"/>
                      <w:color w:val="auto"/>
                      <w:kern w:val="2"/>
                      <w:sz w:val="18"/>
                      <w:szCs w:val="18"/>
                      <w:highlight w:val="none"/>
                      <w:u w:val="none"/>
                      <w:lang w:val="en-US" w:eastAsia="zh-CN" w:bidi="ar-SA"/>
                    </w:rPr>
                    <w: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SA"/>
                    </w:rPr>
                  </w:pPr>
                  <w:r>
                    <w:rPr>
                      <w:rFonts w:hint="default" w:ascii="Times New Roman" w:hAnsi="Times New Roman" w:cs="Times New Roman"/>
                      <w:b w:val="0"/>
                      <w:bCs w:val="0"/>
                      <w:color w:val="auto"/>
                      <w:kern w:val="0"/>
                      <w:sz w:val="18"/>
                      <w:szCs w:val="18"/>
                      <w:highlight w:val="none"/>
                      <w:vertAlign w:val="baseline"/>
                      <w:lang w:val="en-US" w:eastAsia="zh-CN"/>
                    </w:rPr>
                    <w:t>6</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真空泵</w:t>
                  </w:r>
                </w:p>
              </w:tc>
              <w:tc>
                <w:tcPr>
                  <w:tcW w:w="13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3</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SA"/>
                    </w:rPr>
                  </w:pPr>
                  <w:r>
                    <w:rPr>
                      <w:rFonts w:hint="default" w:ascii="Times New Roman" w:hAnsi="Times New Roman" w:cs="Times New Roman"/>
                      <w:b w:val="0"/>
                      <w:bCs w:val="0"/>
                      <w:color w:val="auto"/>
                      <w:kern w:val="0"/>
                      <w:sz w:val="18"/>
                      <w:szCs w:val="18"/>
                      <w:highlight w:val="none"/>
                      <w:vertAlign w:val="baseline"/>
                      <w:lang w:val="en-US" w:eastAsia="zh-CN" w:bidi="ar-SA"/>
                    </w:rPr>
                    <w:t>7</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空压机</w:t>
                  </w:r>
                </w:p>
              </w:tc>
              <w:tc>
                <w:tcPr>
                  <w:tcW w:w="13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2</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dxa"/>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bidi="ar-SA"/>
                    </w:rPr>
                  </w:pPr>
                  <w:r>
                    <w:rPr>
                      <w:rFonts w:hint="default" w:ascii="Times New Roman" w:hAnsi="Times New Roman" w:cs="Times New Roman"/>
                      <w:b w:val="0"/>
                      <w:bCs w:val="0"/>
                      <w:color w:val="auto"/>
                      <w:kern w:val="0"/>
                      <w:sz w:val="18"/>
                      <w:szCs w:val="18"/>
                      <w:highlight w:val="none"/>
                      <w:vertAlign w:val="baseline"/>
                      <w:lang w:val="en-US" w:eastAsia="zh-CN" w:bidi="ar-SA"/>
                    </w:rPr>
                    <w:t>8</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泵机</w:t>
                  </w:r>
                </w:p>
              </w:tc>
              <w:tc>
                <w:tcPr>
                  <w:tcW w:w="134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w:t>
                  </w:r>
                </w:p>
              </w:tc>
              <w:tc>
                <w:tcPr>
                  <w:tcW w:w="6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台</w:t>
                  </w:r>
                </w:p>
              </w:tc>
              <w:tc>
                <w:tcPr>
                  <w:tcW w:w="7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2</w:t>
                  </w:r>
                </w:p>
              </w:tc>
              <w:tc>
                <w:tcPr>
                  <w:tcW w:w="274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cs="Times New Roman"/>
                      <w:b w:val="0"/>
                      <w:bCs w:val="0"/>
                      <w:i w:val="0"/>
                      <w:iCs w:val="0"/>
                      <w:color w:val="auto"/>
                      <w:kern w:val="2"/>
                      <w:sz w:val="18"/>
                      <w:szCs w:val="18"/>
                      <w:highlight w:val="none"/>
                      <w:u w:val="none"/>
                      <w:lang w:val="en-US" w:eastAsia="zh-CN" w:bidi="ar-SA"/>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6、</w:t>
            </w:r>
            <w:r>
              <w:rPr>
                <w:rFonts w:hint="default" w:ascii="Times New Roman" w:hAnsi="Times New Roman" w:cs="Times New Roman"/>
                <w:b/>
                <w:color w:val="auto"/>
                <w:kern w:val="0"/>
                <w:szCs w:val="21"/>
                <w:highlight w:val="none"/>
              </w:rPr>
              <w:t>厂区平面布置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eastAsia="zh-CN"/>
              </w:rPr>
              <w:t>本项目租赁现有厂区内厂房</w:t>
            </w:r>
            <w:r>
              <w:rPr>
                <w:rFonts w:hint="default" w:ascii="Times New Roman" w:hAnsi="Times New Roman" w:cs="Times New Roman"/>
                <w:bCs/>
                <w:color w:val="auto"/>
                <w:kern w:val="0"/>
                <w:sz w:val="21"/>
                <w:szCs w:val="21"/>
                <w:highlight w:val="none"/>
                <w:lang w:val="en-US" w:eastAsia="zh-CN"/>
              </w:rPr>
              <w:t>进行建设（租赁协议见附件三）</w:t>
            </w:r>
            <w:r>
              <w:rPr>
                <w:rFonts w:hint="default" w:ascii="Times New Roman" w:hAnsi="Times New Roman" w:cs="Times New Roman"/>
                <w:bCs/>
                <w:color w:val="auto"/>
                <w:kern w:val="0"/>
                <w:szCs w:val="21"/>
                <w:highlight w:val="none"/>
                <w:lang w:eastAsia="zh-CN"/>
              </w:rPr>
              <w:t>，租赁厂区占地面积</w:t>
            </w:r>
            <w:r>
              <w:rPr>
                <w:rFonts w:hint="default" w:ascii="Times New Roman" w:hAnsi="Times New Roman" w:cs="Times New Roman"/>
                <w:bCs/>
                <w:color w:val="auto"/>
                <w:kern w:val="0"/>
                <w:szCs w:val="21"/>
                <w:highlight w:val="none"/>
                <w:lang w:val="en-US" w:eastAsia="zh-CN"/>
              </w:rPr>
              <w:t>800平方米，总建筑面积1900平方米。</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lang w:val="en-US" w:eastAsia="zh-CN"/>
              </w:rPr>
              <w:t>本项目生产车间位于租赁厂房南侧，呈“L”型建设，生产车间共2层，车间内一层区域由西向南分别设置为原料区、货梯间、注塑生产区、破碎区，车间内二层区域由西向南分别设置为一般固废暂存间、危险固废暂存间、成品区、货梯间、废气治理设施；办公用房位于厂区东北侧。车间</w:t>
            </w:r>
            <w:r>
              <w:rPr>
                <w:rFonts w:hint="default" w:ascii="Times New Roman" w:hAnsi="Times New Roman" w:cs="Times New Roman"/>
                <w:bCs/>
                <w:color w:val="auto"/>
                <w:kern w:val="0"/>
                <w:sz w:val="21"/>
                <w:szCs w:val="21"/>
                <w:highlight w:val="none"/>
              </w:rPr>
              <w:t>平面布置见附图</w:t>
            </w:r>
            <w:r>
              <w:rPr>
                <w:rFonts w:hint="default" w:ascii="Times New Roman" w:hAnsi="Times New Roman" w:cs="Times New Roman"/>
                <w:bCs/>
                <w:color w:val="auto"/>
                <w:kern w:val="0"/>
                <w:sz w:val="21"/>
                <w:szCs w:val="21"/>
                <w:highlight w:val="none"/>
                <w:lang w:eastAsia="zh-CN"/>
              </w:rPr>
              <w:t>三</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工程车间内</w:t>
            </w:r>
            <w:r>
              <w:rPr>
                <w:rFonts w:hint="default" w:ascii="Times New Roman" w:hAnsi="Times New Roman" w:cs="Times New Roman"/>
                <w:bCs/>
                <w:color w:val="auto"/>
                <w:kern w:val="0"/>
                <w:szCs w:val="21"/>
                <w:highlight w:val="none"/>
              </w:rPr>
              <w:t>工艺流程顺畅，总体布置合理紧凑，</w:t>
            </w:r>
            <w:r>
              <w:rPr>
                <w:rFonts w:hint="default" w:ascii="Times New Roman" w:hAnsi="Times New Roman" w:cs="Times New Roman"/>
                <w:bCs/>
                <w:color w:val="auto"/>
                <w:kern w:val="0"/>
                <w:szCs w:val="21"/>
                <w:highlight w:val="none"/>
                <w:lang w:eastAsia="zh-CN"/>
              </w:rPr>
              <w:t>各</w:t>
            </w:r>
            <w:r>
              <w:rPr>
                <w:rFonts w:hint="default" w:ascii="Times New Roman" w:hAnsi="Times New Roman" w:cs="Times New Roman"/>
                <w:bCs/>
                <w:color w:val="auto"/>
                <w:kern w:val="0"/>
                <w:szCs w:val="21"/>
                <w:highlight w:val="none"/>
              </w:rPr>
              <w:t>功能分区</w:t>
            </w:r>
            <w:r>
              <w:rPr>
                <w:rFonts w:hint="default" w:ascii="Times New Roman" w:hAnsi="Times New Roman" w:cs="Times New Roman"/>
                <w:bCs/>
                <w:color w:val="auto"/>
                <w:kern w:val="0"/>
                <w:szCs w:val="21"/>
                <w:highlight w:val="none"/>
                <w:lang w:eastAsia="zh-CN"/>
              </w:rPr>
              <w:t>分区明确</w:t>
            </w:r>
            <w:r>
              <w:rPr>
                <w:rFonts w:hint="default" w:ascii="Times New Roman" w:hAnsi="Times New Roman" w:cs="Times New Roman"/>
                <w:bCs/>
                <w:color w:val="auto"/>
                <w:kern w:val="0"/>
                <w:szCs w:val="21"/>
                <w:highlight w:val="none"/>
              </w:rPr>
              <w:t>，能保证各功能分区之间既相互独立，又联系紧密，</w:t>
            </w:r>
            <w:r>
              <w:rPr>
                <w:rFonts w:hint="default" w:ascii="Times New Roman" w:hAnsi="Times New Roman" w:cs="Times New Roman"/>
                <w:bCs/>
                <w:color w:val="auto"/>
                <w:kern w:val="0"/>
                <w:szCs w:val="21"/>
                <w:highlight w:val="none"/>
                <w:lang w:eastAsia="zh-CN"/>
              </w:rPr>
              <w:t>平面布局较为合理</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7、</w:t>
            </w:r>
            <w:r>
              <w:rPr>
                <w:rFonts w:hint="default" w:ascii="Times New Roman" w:hAnsi="Times New Roman" w:cs="Times New Roman"/>
                <w:b/>
                <w:color w:val="auto"/>
                <w:kern w:val="0"/>
                <w:szCs w:val="21"/>
                <w:highlight w:val="none"/>
              </w:rPr>
              <w:t>主要公辅设施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val="en-US" w:eastAsia="zh-CN"/>
              </w:rPr>
              <w:t>7.1</w:t>
            </w:r>
            <w:r>
              <w:rPr>
                <w:rFonts w:hint="default" w:ascii="Times New Roman" w:hAnsi="Times New Roman" w:cs="Times New Roman"/>
                <w:b/>
                <w:bCs/>
                <w:color w:val="auto"/>
                <w:kern w:val="0"/>
                <w:szCs w:val="21"/>
                <w:highlight w:val="none"/>
              </w:rPr>
              <w:t>给</w:t>
            </w:r>
            <w:r>
              <w:rPr>
                <w:rFonts w:hint="default" w:ascii="Times New Roman" w:hAnsi="Times New Roman" w:cs="Times New Roman"/>
                <w:b/>
                <w:bCs/>
                <w:color w:val="auto"/>
                <w:kern w:val="0"/>
                <w:szCs w:val="21"/>
                <w:highlight w:val="none"/>
                <w:lang w:eastAsia="zh-CN"/>
              </w:rPr>
              <w:t>排水</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7.1.1</w:t>
            </w:r>
            <w:r>
              <w:rPr>
                <w:rFonts w:hint="default" w:ascii="Times New Roman" w:hAnsi="Times New Roman" w:cs="Times New Roman"/>
                <w:b/>
                <w:bCs/>
                <w:color w:val="auto"/>
                <w:kern w:val="0"/>
                <w:szCs w:val="21"/>
                <w:highlight w:val="none"/>
                <w:lang w:eastAsia="zh-CN"/>
              </w:rPr>
              <w:t>给</w:t>
            </w:r>
            <w:r>
              <w:rPr>
                <w:rFonts w:hint="default" w:ascii="Times New Roman" w:hAnsi="Times New Roman" w:cs="Times New Roman"/>
                <w:b/>
                <w:bCs/>
                <w:color w:val="auto"/>
                <w:kern w:val="0"/>
                <w:szCs w:val="21"/>
                <w:highlight w:val="none"/>
              </w:rPr>
              <w:t>水系统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本项目用水包括生活用水和设备冷却用水，用水量共计为</w:t>
            </w:r>
            <w:r>
              <w:rPr>
                <w:rFonts w:hint="default" w:ascii="Times New Roman" w:hAnsi="Times New Roman" w:cs="Times New Roman"/>
                <w:bCs/>
                <w:color w:val="auto"/>
                <w:kern w:val="0"/>
                <w:szCs w:val="21"/>
                <w:highlight w:val="none"/>
                <w:lang w:val="en-US" w:eastAsia="zh-CN"/>
              </w:rPr>
              <w:t>1.4m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lang w:val="en-US" w:eastAsia="zh-CN"/>
              </w:rPr>
              <w:t>420m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/a</w:t>
            </w:r>
            <w:r>
              <w:rPr>
                <w:rFonts w:hint="default" w:ascii="Times New Roman" w:hAnsi="Times New Roman" w:cs="Times New Roman"/>
                <w:bCs/>
                <w:color w:val="auto"/>
                <w:kern w:val="0"/>
                <w:szCs w:val="21"/>
                <w:highlight w:val="none"/>
                <w:lang w:eastAsia="zh-CN"/>
              </w:rPr>
              <w:t>），其中生活用水均由位于项目西南侧的新乡市新华造纸厂厂区内自备井提供，设备冷却水均为外购纯水。根据企业提供资料，新乡市新华造纸厂</w:t>
            </w:r>
            <w:r>
              <w:rPr>
                <w:rFonts w:hint="eastAsia" w:cs="Times New Roman"/>
                <w:bCs/>
                <w:color w:val="auto"/>
                <w:kern w:val="0"/>
                <w:szCs w:val="21"/>
                <w:highlight w:val="none"/>
                <w:lang w:eastAsia="zh-CN"/>
              </w:rPr>
              <w:t>厂区共</w:t>
            </w:r>
            <w:r>
              <w:rPr>
                <w:rFonts w:hint="eastAsia" w:cs="Times New Roman"/>
                <w:bCs/>
                <w:color w:val="auto"/>
                <w:kern w:val="0"/>
                <w:szCs w:val="21"/>
                <w:highlight w:val="none"/>
                <w:lang w:val="en-US" w:eastAsia="zh-CN"/>
              </w:rPr>
              <w:t>2个自备井，单眼自备井供水能力为100</w:t>
            </w:r>
            <w:r>
              <w:rPr>
                <w:rFonts w:hint="default" w:ascii="Times New Roman" w:hAnsi="Times New Roman" w:cs="Times New Roman"/>
                <w:bCs/>
                <w:color w:val="auto"/>
                <w:kern w:val="0"/>
                <w:szCs w:val="21"/>
                <w:highlight w:val="none"/>
                <w:lang w:val="en-US" w:eastAsia="zh-CN"/>
              </w:rPr>
              <w:t>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w:t>
            </w:r>
            <w:r>
              <w:rPr>
                <w:rFonts w:hint="eastAsia" w:cs="Times New Roman"/>
                <w:bCs/>
                <w:color w:val="auto"/>
                <w:kern w:val="0"/>
                <w:szCs w:val="21"/>
                <w:highlight w:val="none"/>
                <w:lang w:val="en-US" w:eastAsia="zh-CN"/>
              </w:rPr>
              <w:t>h（2个自备井最大供水能力为4800</w:t>
            </w:r>
            <w:r>
              <w:rPr>
                <w:rFonts w:hint="default" w:ascii="Times New Roman" w:hAnsi="Times New Roman" w:cs="Times New Roman"/>
                <w:bCs/>
                <w:color w:val="auto"/>
                <w:kern w:val="0"/>
                <w:szCs w:val="21"/>
                <w:highlight w:val="none"/>
                <w:lang w:val="en-US" w:eastAsia="zh-CN"/>
              </w:rPr>
              <w:t>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w:t>
            </w:r>
            <w:r>
              <w:rPr>
                <w:rFonts w:hint="eastAsia" w:cs="Times New Roman"/>
                <w:bCs/>
                <w:color w:val="auto"/>
                <w:kern w:val="0"/>
                <w:szCs w:val="21"/>
                <w:highlight w:val="none"/>
                <w:lang w:val="en-US" w:eastAsia="zh-CN"/>
              </w:rPr>
              <w:t>d），目前</w:t>
            </w:r>
            <w:r>
              <w:rPr>
                <w:rFonts w:hint="default" w:ascii="Times New Roman" w:hAnsi="Times New Roman" w:cs="Times New Roman"/>
                <w:bCs/>
                <w:color w:val="auto"/>
                <w:kern w:val="0"/>
                <w:szCs w:val="21"/>
                <w:highlight w:val="none"/>
                <w:lang w:val="en-US" w:eastAsia="zh-CN"/>
              </w:rPr>
              <w:t>尚有</w:t>
            </w:r>
            <w:r>
              <w:rPr>
                <w:rFonts w:hint="eastAsia" w:cs="Times New Roman"/>
                <w:bCs/>
                <w:color w:val="auto"/>
                <w:kern w:val="0"/>
                <w:szCs w:val="21"/>
                <w:highlight w:val="none"/>
                <w:lang w:val="en-US" w:eastAsia="zh-CN"/>
              </w:rPr>
              <w:t>248</w:t>
            </w:r>
            <w:r>
              <w:rPr>
                <w:rFonts w:hint="default" w:ascii="Times New Roman" w:hAnsi="Times New Roman" w:cs="Times New Roman"/>
                <w:bCs/>
                <w:color w:val="auto"/>
                <w:kern w:val="0"/>
                <w:szCs w:val="21"/>
                <w:highlight w:val="none"/>
                <w:lang w:val="en-US" w:eastAsia="zh-CN"/>
              </w:rPr>
              <w:t>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w:t>
            </w:r>
            <w:r>
              <w:rPr>
                <w:rFonts w:hint="eastAsia" w:cs="Times New Roman"/>
                <w:bCs/>
                <w:color w:val="auto"/>
                <w:kern w:val="0"/>
                <w:szCs w:val="21"/>
                <w:highlight w:val="none"/>
                <w:lang w:val="en-US" w:eastAsia="zh-CN"/>
              </w:rPr>
              <w:t>d</w:t>
            </w:r>
            <w:r>
              <w:rPr>
                <w:rFonts w:hint="default" w:ascii="Times New Roman" w:hAnsi="Times New Roman" w:cs="Times New Roman"/>
                <w:bCs/>
                <w:color w:val="auto"/>
                <w:kern w:val="0"/>
                <w:szCs w:val="21"/>
                <w:highlight w:val="none"/>
                <w:lang w:val="en-US" w:eastAsia="zh-CN"/>
              </w:rPr>
              <w:t>余量，因此</w:t>
            </w:r>
            <w:r>
              <w:rPr>
                <w:rFonts w:hint="default" w:ascii="Times New Roman" w:hAnsi="Times New Roman" w:cs="Times New Roman"/>
                <w:bCs/>
                <w:color w:val="auto"/>
                <w:kern w:val="0"/>
                <w:szCs w:val="21"/>
                <w:highlight w:val="none"/>
              </w:rPr>
              <w:t>可以满足</w:t>
            </w:r>
            <w:r>
              <w:rPr>
                <w:rFonts w:hint="default" w:ascii="Times New Roman" w:hAnsi="Times New Roman" w:cs="Times New Roman"/>
                <w:bCs/>
                <w:color w:val="auto"/>
                <w:kern w:val="0"/>
                <w:szCs w:val="21"/>
                <w:highlight w:val="none"/>
                <w:lang w:eastAsia="zh-CN"/>
              </w:rPr>
              <w:t>本项目</w:t>
            </w:r>
            <w:r>
              <w:rPr>
                <w:rFonts w:hint="default" w:ascii="Times New Roman" w:hAnsi="Times New Roman" w:cs="Times New Roman"/>
                <w:bCs/>
                <w:color w:val="auto"/>
                <w:kern w:val="0"/>
                <w:szCs w:val="21"/>
                <w:highlight w:val="none"/>
              </w:rPr>
              <w:t>的</w:t>
            </w:r>
            <w:r>
              <w:rPr>
                <w:rFonts w:hint="default" w:ascii="Times New Roman" w:hAnsi="Times New Roman" w:cs="Times New Roman"/>
                <w:bCs/>
                <w:color w:val="auto"/>
                <w:kern w:val="0"/>
                <w:szCs w:val="21"/>
                <w:highlight w:val="none"/>
                <w:lang w:eastAsia="zh-CN"/>
              </w:rPr>
              <w:t>生活</w:t>
            </w:r>
            <w:r>
              <w:rPr>
                <w:rFonts w:hint="default" w:ascii="Times New Roman" w:hAnsi="Times New Roman" w:cs="Times New Roman"/>
                <w:bCs/>
                <w:color w:val="auto"/>
                <w:kern w:val="0"/>
                <w:szCs w:val="21"/>
                <w:highlight w:val="none"/>
              </w:rPr>
              <w:t>用水</w:t>
            </w:r>
            <w:r>
              <w:rPr>
                <w:rFonts w:hint="default" w:ascii="Times New Roman" w:hAnsi="Times New Roman" w:cs="Times New Roman"/>
                <w:bCs/>
                <w:color w:val="auto"/>
                <w:kern w:val="0"/>
                <w:szCs w:val="21"/>
                <w:highlight w:val="none"/>
                <w:lang w:eastAsia="zh-CN"/>
              </w:rPr>
              <w:t>需求。评价</w:t>
            </w:r>
            <w:r>
              <w:rPr>
                <w:rFonts w:hint="default" w:ascii="Times New Roman" w:hAnsi="Times New Roman" w:cs="Times New Roman"/>
                <w:bCs/>
                <w:color w:val="auto"/>
                <w:kern w:val="0"/>
                <w:szCs w:val="21"/>
                <w:highlight w:val="none"/>
                <w:lang w:val="en-US" w:eastAsia="zh-CN"/>
              </w:rPr>
              <w:t>要求企业采用自备井作为供水水源期间应严格按照《河南省地下水管理办法》相关要求执行，</w:t>
            </w:r>
            <w:r>
              <w:rPr>
                <w:rFonts w:hint="default" w:ascii="Times New Roman" w:hAnsi="Times New Roman" w:cs="Times New Roman"/>
                <w:bCs/>
                <w:color w:val="auto"/>
                <w:kern w:val="0"/>
                <w:szCs w:val="21"/>
                <w:highlight w:val="none"/>
                <w:lang w:eastAsia="zh-CN"/>
              </w:rPr>
              <w:t>远期待区域实现集中供水后企业采用集中供水作为水源，厂区自备水井停用。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7.1.2</w:t>
            </w:r>
            <w:r>
              <w:rPr>
                <w:rFonts w:hint="default" w:ascii="Times New Roman" w:hAnsi="Times New Roman" w:cs="Times New Roman"/>
                <w:b/>
                <w:bCs/>
                <w:color w:val="auto"/>
                <w:kern w:val="0"/>
                <w:szCs w:val="21"/>
                <w:highlight w:val="none"/>
              </w:rPr>
              <w:t>排水系统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本项目外排废水主要为生活污水，生活污水量约为</w:t>
            </w:r>
            <w:r>
              <w:rPr>
                <w:rFonts w:hint="default" w:ascii="Times New Roman" w:hAnsi="Times New Roman" w:cs="Times New Roman"/>
                <w:color w:val="auto"/>
                <w:sz w:val="21"/>
                <w:szCs w:val="21"/>
                <w:highlight w:val="none"/>
                <w:lang w:val="en-US" w:eastAsia="zh-CN"/>
              </w:rPr>
              <w:t>0.48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d（144</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default" w:ascii="Times New Roman" w:hAnsi="Times New Roman" w:cs="Times New Roman"/>
                <w:bCs/>
                <w:color w:val="auto"/>
                <w:kern w:val="0"/>
                <w:szCs w:val="21"/>
                <w:highlight w:val="none"/>
                <w:lang w:eastAsia="zh-CN"/>
              </w:rPr>
              <w:t>，经厂区化粪池处理后，</w:t>
            </w:r>
            <w:r>
              <w:rPr>
                <w:rFonts w:hint="eastAsia" w:cs="Times New Roman"/>
                <w:bCs/>
                <w:color w:val="auto"/>
                <w:kern w:val="0"/>
                <w:szCs w:val="21"/>
                <w:highlight w:val="none"/>
                <w:lang w:eastAsia="zh-CN"/>
              </w:rPr>
              <w:t>近期</w:t>
            </w:r>
            <w:r>
              <w:rPr>
                <w:rFonts w:hint="default" w:ascii="Times New Roman" w:hAnsi="Times New Roman" w:cs="Times New Roman"/>
                <w:bCs/>
                <w:color w:val="auto"/>
                <w:kern w:val="0"/>
                <w:szCs w:val="21"/>
                <w:highlight w:val="none"/>
                <w:lang w:eastAsia="zh-CN"/>
              </w:rPr>
              <w:t>定期清运；远期待区域污水管网建成并接入规划建设的凤泉区污水处理厂后，经凤泉区污水处理厂进一步处理。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7.2</w:t>
            </w:r>
            <w:r>
              <w:rPr>
                <w:rFonts w:hint="default" w:ascii="Times New Roman" w:hAnsi="Times New Roman" w:cs="Times New Roman"/>
                <w:b/>
                <w:bCs/>
                <w:color w:val="auto"/>
                <w:kern w:val="0"/>
                <w:szCs w:val="21"/>
                <w:highlight w:val="none"/>
              </w:rPr>
              <w:t>输供电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本项目所需年用电量为</w:t>
            </w:r>
            <w:r>
              <w:rPr>
                <w:rFonts w:hint="default" w:ascii="Times New Roman" w:hAnsi="Times New Roman" w:cs="Times New Roman"/>
                <w:bCs/>
                <w:color w:val="auto"/>
                <w:kern w:val="0"/>
                <w:szCs w:val="21"/>
                <w:highlight w:val="none"/>
                <w:lang w:val="en-US" w:eastAsia="zh-CN"/>
              </w:rPr>
              <w:t>300万kW‧h</w:t>
            </w:r>
            <w:r>
              <w:rPr>
                <w:rFonts w:hint="default" w:ascii="Times New Roman" w:hAnsi="Times New Roman" w:cs="Times New Roman"/>
                <w:bCs/>
                <w:color w:val="auto"/>
                <w:kern w:val="0"/>
                <w:szCs w:val="21"/>
                <w:highlight w:val="none"/>
                <w:lang w:eastAsia="zh-CN"/>
              </w:rPr>
              <w:t>，由租赁厂区现有配电设施提供，来源由区域市政供电管网</w:t>
            </w:r>
            <w:r>
              <w:rPr>
                <w:rFonts w:hint="default" w:ascii="Times New Roman" w:hAnsi="Times New Roman" w:cs="Times New Roman"/>
                <w:bCs/>
                <w:color w:val="auto"/>
                <w:kern w:val="0"/>
                <w:szCs w:val="21"/>
                <w:highlight w:val="none"/>
              </w:rPr>
              <w:t>供给</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供电可满足本项目</w:t>
            </w:r>
            <w:r>
              <w:rPr>
                <w:rFonts w:hint="default" w:ascii="Times New Roman" w:hAnsi="Times New Roman" w:cs="Times New Roman"/>
                <w:bCs/>
                <w:color w:val="auto"/>
                <w:kern w:val="0"/>
                <w:szCs w:val="21"/>
                <w:highlight w:val="none"/>
                <w:lang w:eastAsia="zh-CN"/>
              </w:rPr>
              <w:t>日常生产需求</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bCs w:val="0"/>
                <w:color w:val="auto"/>
                <w:kern w:val="0"/>
                <w:szCs w:val="21"/>
                <w:highlight w:val="none"/>
                <w:lang w:val="en-US" w:eastAsia="zh-CN"/>
              </w:rPr>
              <w:t>8、</w:t>
            </w:r>
            <w:r>
              <w:rPr>
                <w:rFonts w:hint="default" w:ascii="Times New Roman" w:hAnsi="Times New Roman" w:cs="Times New Roman"/>
                <w:b/>
                <w:bCs w:val="0"/>
                <w:color w:val="auto"/>
                <w:kern w:val="0"/>
                <w:sz w:val="21"/>
                <w:szCs w:val="21"/>
                <w:highlight w:val="none"/>
              </w:rPr>
              <w:t>工作制度与劳动定员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本项目劳动定员</w:t>
            </w:r>
            <w:r>
              <w:rPr>
                <w:rFonts w:hint="default" w:ascii="Times New Roman" w:hAnsi="Times New Roman" w:cs="Times New Roman"/>
                <w:color w:val="auto"/>
                <w:sz w:val="21"/>
                <w:szCs w:val="21"/>
                <w:highlight w:val="none"/>
                <w:lang w:val="en-US" w:eastAsia="zh-CN"/>
              </w:rPr>
              <w:t>15人，均不在厂区内食宿</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年工作日</w:t>
            </w:r>
            <w:r>
              <w:rPr>
                <w:rFonts w:hint="default" w:ascii="Times New Roman" w:hAnsi="Times New Roman" w:cs="Times New Roman"/>
                <w:color w:val="auto"/>
                <w:sz w:val="21"/>
                <w:szCs w:val="21"/>
                <w:highlight w:val="none"/>
                <w:lang w:val="en-US" w:eastAsia="zh-CN"/>
              </w:rPr>
              <w:t>300</w:t>
            </w:r>
            <w:r>
              <w:rPr>
                <w:rFonts w:hint="default" w:ascii="Times New Roman" w:hAnsi="Times New Roman" w:cs="Times New Roman"/>
                <w:color w:val="auto"/>
                <w:sz w:val="21"/>
                <w:szCs w:val="21"/>
                <w:highlight w:val="none"/>
              </w:rPr>
              <w:t>天</w:t>
            </w:r>
            <w:r>
              <w:rPr>
                <w:rFonts w:hint="default" w:ascii="Times New Roman" w:hAnsi="Times New Roman" w:cs="Times New Roman"/>
                <w:color w:val="auto"/>
                <w:sz w:val="21"/>
                <w:szCs w:val="21"/>
                <w:highlight w:val="none"/>
                <w:lang w:eastAsia="zh-CN"/>
              </w:rPr>
              <w:t>，每天</w:t>
            </w:r>
            <w:r>
              <w:rPr>
                <w:rFonts w:hint="default" w:ascii="Times New Roman" w:hAnsi="Times New Roman" w:cs="Times New Roman"/>
                <w:color w:val="auto"/>
                <w:sz w:val="21"/>
                <w:szCs w:val="21"/>
                <w:highlight w:val="none"/>
                <w:lang w:val="en-US" w:eastAsia="zh-CN"/>
              </w:rPr>
              <w:t>1班制，</w:t>
            </w:r>
            <w:r>
              <w:rPr>
                <w:rFonts w:hint="default" w:ascii="Times New Roman" w:hAnsi="Times New Roman" w:cs="Times New Roman"/>
                <w:color w:val="auto"/>
                <w:sz w:val="21"/>
                <w:szCs w:val="21"/>
                <w:highlight w:val="none"/>
              </w:rPr>
              <w:t>每</w:t>
            </w:r>
            <w:r>
              <w:rPr>
                <w:rFonts w:hint="default" w:ascii="Times New Roman" w:hAnsi="Times New Roman" w:cs="Times New Roman"/>
                <w:color w:val="auto"/>
                <w:sz w:val="21"/>
                <w:szCs w:val="21"/>
                <w:highlight w:val="none"/>
                <w:lang w:eastAsia="zh-CN"/>
              </w:rPr>
              <w:t>班</w:t>
            </w:r>
            <w:r>
              <w:rPr>
                <w:rFonts w:hint="default" w:ascii="Times New Roman" w:hAnsi="Times New Roman" w:cs="Times New Roman"/>
                <w:color w:val="auto"/>
                <w:sz w:val="21"/>
                <w:szCs w:val="21"/>
                <w:highlight w:val="none"/>
              </w:rPr>
              <w:t>8h。</w:t>
            </w:r>
          </w:p>
          <w:p>
            <w:pPr>
              <w:pStyle w:val="2"/>
              <w:rPr>
                <w:rFonts w:hint="default" w:ascii="Times New Roman" w:hAnsi="Times New Roman" w:cs="Times New Roman"/>
                <w:color w:val="auto"/>
                <w:sz w:val="21"/>
                <w:szCs w:val="21"/>
                <w:highlight w:val="none"/>
              </w:rPr>
            </w:pPr>
          </w:p>
          <w:p>
            <w:pPr>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rPr>
                <w:rFonts w:hint="default" w:ascii="Times New Roman" w:hAnsi="Times New Roman" w:cs="Times New Roman"/>
                <w:color w:val="auto"/>
                <w:sz w:val="21"/>
                <w:szCs w:val="21"/>
                <w:highlight w:val="none"/>
              </w:rPr>
            </w:pPr>
          </w:p>
          <w:p>
            <w:pPr>
              <w:pStyle w:val="2"/>
              <w:rPr>
                <w:rFonts w:hint="default" w:ascii="Times New Roman" w:hAnsi="Times New Roman" w:cs="Times New Roman"/>
                <w:color w:val="auto"/>
                <w:sz w:val="21"/>
                <w:szCs w:val="21"/>
                <w:highlight w:val="none"/>
              </w:rPr>
            </w:pPr>
          </w:p>
          <w:p>
            <w:pPr>
              <w:rPr>
                <w:rFonts w:hint="default" w:ascii="Times New Roman" w:hAnsi="Times New Roman" w:cs="Times New Roman"/>
                <w:color w:val="auto"/>
                <w:sz w:val="21"/>
                <w:szCs w:val="21"/>
                <w:highlight w:val="none"/>
              </w:rPr>
            </w:pPr>
          </w:p>
          <w:p>
            <w:pPr>
              <w:bidi w:val="0"/>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388" w:type="pct"/>
            <w:noWrap w:val="0"/>
            <w:vAlign w:val="center"/>
          </w:tcPr>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firstLine="0" w:firstLineChars="0"/>
              <w:jc w:val="center"/>
              <w:textAlignment w:val="auto"/>
              <w:rPr>
                <w:rFonts w:hint="default" w:ascii="Times New Roman" w:hAnsi="Times New Roman" w:cs="Times New Roman"/>
                <w:color w:val="auto"/>
                <w:sz w:val="21"/>
                <w:szCs w:val="21"/>
                <w:highlight w:val="green"/>
              </w:rPr>
            </w:pPr>
            <w:r>
              <w:rPr>
                <w:rFonts w:hint="default" w:ascii="Times New Roman" w:hAnsi="Times New Roman" w:cs="Times New Roman"/>
                <w:color w:val="auto"/>
                <w:sz w:val="21"/>
                <w:szCs w:val="21"/>
                <w:highlight w:val="none"/>
              </w:rPr>
              <w:t>工艺流程和产排污环节</w:t>
            </w:r>
          </w:p>
        </w:tc>
        <w:tc>
          <w:tcPr>
            <w:tcW w:w="4611" w:type="pct"/>
            <w:noWrap w:val="0"/>
            <w:vAlign w:val="top"/>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color w:val="auto"/>
                <w:kern w:val="0"/>
                <w:sz w:val="21"/>
                <w:szCs w:val="21"/>
                <w:highlight w:val="none"/>
                <w:lang w:val="en-US" w:eastAsia="zh-CN" w:bidi="ar-SA"/>
              </w:rPr>
            </w:pPr>
            <w:r>
              <w:rPr>
                <w:rFonts w:hint="default" w:ascii="Times New Roman" w:hAnsi="Times New Roman" w:cs="Times New Roman"/>
                <w:b/>
                <w:color w:val="auto"/>
                <w:kern w:val="0"/>
                <w:sz w:val="21"/>
                <w:szCs w:val="21"/>
                <w:highlight w:val="none"/>
                <w:lang w:val="en-US" w:eastAsia="zh-CN" w:bidi="ar-SA"/>
              </w:rPr>
              <w:t>1、施工期工艺流程及产污环节</w:t>
            </w:r>
          </w:p>
          <w:p>
            <w:pPr>
              <w:keepNext w:val="0"/>
              <w:keepLines w:val="0"/>
              <w:pageBreakBefore w:val="0"/>
              <w:widowControl w:val="0"/>
              <w:tabs>
                <w:tab w:val="left" w:pos="889"/>
              </w:tabs>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bCs/>
                <w:color w:val="auto"/>
                <w:kern w:val="0"/>
                <w:sz w:val="21"/>
                <w:szCs w:val="21"/>
                <w:highlight w:val="none"/>
                <w:lang w:val="en-US" w:eastAsia="zh-CN" w:bidi="ar-SA"/>
              </w:rPr>
              <w:t>工程</w:t>
            </w:r>
            <w:r>
              <w:rPr>
                <w:rFonts w:hint="default" w:ascii="Times New Roman" w:hAnsi="Times New Roman" w:cs="Times New Roman"/>
                <w:bCs/>
                <w:color w:val="auto"/>
                <w:kern w:val="0"/>
                <w:sz w:val="21"/>
                <w:szCs w:val="21"/>
                <w:highlight w:val="none"/>
                <w:lang w:val="en-US" w:eastAsia="zh-CN" w:bidi="ar-SA"/>
              </w:rPr>
              <w:t>租赁现有厂区及厂房进行建设，</w:t>
            </w:r>
            <w:r>
              <w:rPr>
                <w:rFonts w:hint="default" w:ascii="Times New Roman" w:hAnsi="Times New Roman" w:eastAsia="宋体" w:cs="Times New Roman"/>
                <w:bCs/>
                <w:color w:val="auto"/>
                <w:kern w:val="0"/>
                <w:sz w:val="21"/>
                <w:szCs w:val="21"/>
                <w:highlight w:val="none"/>
                <w:lang w:val="en-US" w:eastAsia="zh-CN" w:bidi="ar-SA"/>
              </w:rPr>
              <w:t>施工期主要为生产设备的安装以及车间装修等</w:t>
            </w:r>
            <w:r>
              <w:rPr>
                <w:rFonts w:hint="default" w:ascii="Times New Roman" w:hAnsi="Times New Roman" w:cs="Times New Roman"/>
                <w:bCs/>
                <w:color w:val="auto"/>
                <w:kern w:val="0"/>
                <w:sz w:val="21"/>
                <w:szCs w:val="21"/>
                <w:highlight w:val="none"/>
                <w:lang w:val="en-US" w:eastAsia="zh-CN" w:bidi="ar-SA"/>
              </w:rPr>
              <w:t>，</w:t>
            </w:r>
            <w:r>
              <w:rPr>
                <w:rFonts w:hint="default" w:ascii="Times New Roman" w:hAnsi="Times New Roman" w:cs="Times New Roman"/>
                <w:color w:val="auto"/>
                <w:szCs w:val="21"/>
                <w:highlight w:val="none"/>
              </w:rPr>
              <w:t>施工工艺及产污环节如图1。</w:t>
            </w:r>
          </w:p>
          <w:p>
            <w:pPr>
              <w:bidi w:val="0"/>
              <w:ind w:left="0" w:leftChars="0" w:right="0" w:rightChars="0" w:firstLine="0" w:firstLineChars="0"/>
              <w:jc w:val="center"/>
              <w:rPr>
                <w:rFonts w:hint="default" w:ascii="Times New Roman" w:hAnsi="Times New Roman" w:cs="Times New Roman"/>
                <w:b/>
                <w:color w:val="auto"/>
                <w:kern w:val="0"/>
                <w:szCs w:val="21"/>
                <w:highlight w:val="none"/>
                <w:lang w:val="en-US" w:eastAsia="zh-CN"/>
              </w:rPr>
            </w:pPr>
            <w:r>
              <w:rPr>
                <w:rFonts w:hint="default" w:ascii="Times New Roman" w:hAnsi="Times New Roman" w:eastAsia="黑体" w:cs="Times New Roman"/>
                <w:color w:val="auto"/>
                <w:szCs w:val="21"/>
                <w:highlight w:val="none"/>
              </w:rPr>
              <w:object>
                <v:shape id="_x0000_i1025" o:spt="75" type="#_x0000_t75" style="height:159.3pt;width:256.25pt;" o:ole="t" filled="f" o:preferrelative="t" stroked="t" coordsize="21600,21600">
                  <v:path/>
                  <v:fill on="f" focussize="0,0"/>
                  <v:stroke color="#000000" joinstyle="miter"/>
                  <v:imagedata r:id="rId17" o:title=""/>
                  <o:lock v:ext="edit" aspectratio="t"/>
                  <w10:wrap type="none"/>
                  <w10:anchorlock/>
                </v:shape>
                <o:OLEObject Type="Embed" ProgID="Visio.Drawing.11" ShapeID="_x0000_i1025" DrawAspect="Content" ObjectID="_1468075725" r:id="rId16">
                  <o:LockedField>false</o:LockedField>
                </o:OLEObject>
              </w:object>
            </w:r>
          </w:p>
          <w:p>
            <w:pPr>
              <w:pStyle w:val="28"/>
              <w:keepNext w:val="0"/>
              <w:keepLines w:val="0"/>
              <w:pageBreakBefore w:val="0"/>
              <w:widowControl w:val="0"/>
              <w:numPr>
                <w:ilvl w:val="0"/>
                <w:numId w:val="5"/>
              </w:numPr>
              <w:kinsoku/>
              <w:wordWrap/>
              <w:overflowPunct/>
              <w:topLinePunct w:val="0"/>
              <w:bidi w:val="0"/>
              <w:adjustRightInd/>
              <w:snapToGrid/>
              <w:spacing w:line="360" w:lineRule="auto"/>
              <w:ind w:left="900" w:leftChars="0" w:hanging="420" w:firstLineChars="0"/>
              <w:textAlignment w:val="auto"/>
              <w:rPr>
                <w:rFonts w:hint="default" w:ascii="Times New Roman" w:hAnsi="Times New Roman" w:eastAsia="黑体" w:cs="Times New Roman"/>
                <w:b w:val="0"/>
                <w:bCs/>
                <w:color w:val="auto"/>
                <w:kern w:val="2"/>
                <w:sz w:val="21"/>
                <w:szCs w:val="24"/>
                <w:highlight w:val="none"/>
                <w:lang w:val="en-US" w:eastAsia="zh-CN" w:bidi="ar-SA"/>
              </w:rPr>
            </w:pPr>
            <w:r>
              <w:rPr>
                <w:rFonts w:hint="default" w:ascii="Times New Roman" w:hAnsi="Times New Roman" w:eastAsia="黑体" w:cs="Times New Roman"/>
                <w:b w:val="0"/>
                <w:bCs/>
                <w:color w:val="auto"/>
                <w:kern w:val="2"/>
                <w:sz w:val="21"/>
                <w:szCs w:val="24"/>
                <w:highlight w:val="none"/>
                <w:lang w:val="en-US" w:eastAsia="zh-CN" w:bidi="ar-SA"/>
              </w:rPr>
              <w:t>施工期施工工序及产污环节图</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工程施工期主要包括厂房装修、设备安装、调试等，在施工期场区厂房装修和设备安装调试期间将产生较多污染物，以装修粉尘、运输车辆尾气、施工噪声、废弃装修材料及施工废水等为主。主要产污环节如下：</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（1）废气：主要为施工过程设备、装修材料运输车辆尾气，以及装修用的墙纸、涂料油漆等会在室内释放出</w:t>
            </w:r>
            <w:r>
              <w:rPr>
                <w:rFonts w:hint="eastAsia" w:cs="Times New Roman"/>
                <w:color w:val="auto"/>
                <w:highlight w:val="none"/>
                <w:lang w:val="en-US" w:eastAsia="zh-CN"/>
              </w:rPr>
              <w:t>少量</w:t>
            </w:r>
            <w:r>
              <w:rPr>
                <w:rFonts w:hint="default" w:ascii="Times New Roman" w:hAnsi="Times New Roman" w:cs="Times New Roman"/>
                <w:color w:val="auto"/>
                <w:highlight w:val="none"/>
                <w:lang w:val="en-US" w:eastAsia="zh-CN"/>
              </w:rPr>
              <w:t>的甲醛、挥发性有机物等有害污染；</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（2）废水：主要为施工废水和施工人员生活污水（施工人员不在项目区食宿</w:t>
            </w:r>
            <w:r>
              <w:rPr>
                <w:rFonts w:hint="eastAsia" w:cs="Times New Roman"/>
                <w:color w:val="auto"/>
                <w:highlight w:val="none"/>
                <w:lang w:val="en-US" w:eastAsia="zh-CN"/>
              </w:rPr>
              <w:t>，仅洗漱废水和入厕冲洗废水</w:t>
            </w:r>
            <w:r>
              <w:rPr>
                <w:rFonts w:hint="default" w:ascii="Times New Roman" w:hAnsi="Times New Roman" w:cs="Times New Roman"/>
                <w:color w:val="auto"/>
                <w:highlight w:val="none"/>
                <w:lang w:val="en-US"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（3）固废：施工期固废主要为</w:t>
            </w:r>
            <w:r>
              <w:rPr>
                <w:rFonts w:hint="default" w:ascii="Times New Roman" w:hAnsi="Times New Roman" w:cs="Times New Roman"/>
                <w:color w:val="auto"/>
                <w:sz w:val="21"/>
                <w:szCs w:val="21"/>
                <w:highlight w:val="none"/>
                <w:lang w:val="en-US" w:eastAsia="zh-CN"/>
              </w:rPr>
              <w:t>废包装材料、废装修材料和施工人员生活垃圾</w:t>
            </w:r>
            <w:r>
              <w:rPr>
                <w:rFonts w:hint="default" w:ascii="Times New Roman" w:hAnsi="Times New Roman" w:cs="Times New Roman"/>
                <w:color w:val="auto"/>
                <w:highlight w:val="none"/>
                <w:lang w:val="en-US" w:eastAsia="zh-CN"/>
              </w:rPr>
              <w:t>；</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（4）噪声：施工期噪声主要来源于施工现场各类机械设备和物料运输的交通噪声。</w:t>
            </w: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pStyle w:val="2"/>
              <w:rPr>
                <w:rFonts w:hint="default"/>
                <w:color w:val="auto"/>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bidi w:val="0"/>
              <w:rPr>
                <w:rFonts w:hint="default" w:ascii="Times New Roman" w:hAnsi="Times New Roman" w:cs="Times New Roman"/>
                <w:color w:val="auto"/>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cs="Times New Roman"/>
                <w:b/>
                <w:color w:val="auto"/>
                <w:kern w:val="0"/>
                <w:szCs w:val="21"/>
                <w:highlight w:val="none"/>
                <w:lang w:val="en-US" w:eastAsia="zh-CN"/>
              </w:rPr>
              <w:t>2、营运期</w:t>
            </w:r>
            <w:r>
              <w:rPr>
                <w:rFonts w:hint="default" w:ascii="Times New Roman" w:hAnsi="Times New Roman" w:cs="Times New Roman"/>
                <w:b/>
                <w:color w:val="auto"/>
                <w:kern w:val="0"/>
                <w:szCs w:val="21"/>
                <w:highlight w:val="none"/>
              </w:rPr>
              <w:t>工程工艺流程及产污环节</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产品包括锂电池密封圈和牙线棒，其生产工艺基本一致，均是通过注塑机注塑成型，不同之处在于两类产品生产所用模具不同，以及牙线棒生产过程需通过牙线棒注塑机上附带牙线机将涤纶线拉入模具中，其余生产工艺均一致。具体工艺介绍如下：</w:t>
            </w:r>
          </w:p>
          <w:p>
            <w:pPr>
              <w:bidi w:val="0"/>
              <w:ind w:left="0" w:leftChars="0" w:right="0" w:rightChars="0" w:firstLine="0" w:firstLineChars="0"/>
              <w:jc w:val="center"/>
              <w:rPr>
                <w:rFonts w:hint="default" w:ascii="Times New Roman" w:hAnsi="Times New Roman" w:cs="Times New Roman"/>
                <w:color w:val="auto"/>
                <w:highlight w:val="green"/>
                <w:lang w:val="en-US" w:eastAsia="zh-CN"/>
              </w:rPr>
            </w:pPr>
            <w:r>
              <w:rPr>
                <w:rFonts w:hint="default" w:ascii="Times New Roman" w:hAnsi="Times New Roman" w:eastAsia="宋体" w:cs="Times New Roman"/>
                <w:color w:val="auto"/>
                <w:lang w:eastAsia="zh-CN"/>
              </w:rPr>
              <w:object>
                <v:shape id="_x0000_i1026" o:spt="75" type="#_x0000_t75" style="height:379.9pt;width:365.65pt;" o:ole="t" filled="f" o:preferrelative="t" stroked="t" coordsize="21600,21600">
                  <v:path/>
                  <v:fill on="f" focussize="0,0"/>
                  <v:stroke color="#000000" joinstyle="miter"/>
                  <v:imagedata r:id="rId19" o:title=""/>
                  <o:lock v:ext="edit" aspectratio="t"/>
                  <w10:wrap type="none"/>
                  <w10:anchorlock/>
                </v:shape>
                <o:OLEObject Type="Embed" ProgID="Visio.Drawing.15" ShapeID="_x0000_i1026" DrawAspect="Content" ObjectID="_1468075726" r:id="rId18">
                  <o:LockedField>false</o:LockedField>
                </o:OLEObject>
              </w:object>
            </w:r>
          </w:p>
          <w:p>
            <w:pPr>
              <w:pStyle w:val="28"/>
              <w:keepNext w:val="0"/>
              <w:keepLines w:val="0"/>
              <w:pageBreakBefore w:val="0"/>
              <w:widowControl w:val="0"/>
              <w:numPr>
                <w:ilvl w:val="0"/>
                <w:numId w:val="5"/>
              </w:numPr>
              <w:kinsoku/>
              <w:wordWrap/>
              <w:overflowPunct/>
              <w:topLinePunct w:val="0"/>
              <w:bidi w:val="0"/>
              <w:adjustRightInd/>
              <w:snapToGrid/>
              <w:spacing w:line="360" w:lineRule="auto"/>
              <w:ind w:left="900" w:leftChars="0" w:hanging="420" w:firstLineChars="0"/>
              <w:textAlignment w:val="auto"/>
              <w:rPr>
                <w:rFonts w:hint="default" w:ascii="Times New Roman" w:hAnsi="Times New Roman" w:eastAsia="黑体" w:cs="Times New Roman"/>
                <w:b w:val="0"/>
                <w:bCs/>
                <w:color w:val="auto"/>
                <w:kern w:val="2"/>
                <w:sz w:val="21"/>
                <w:szCs w:val="24"/>
                <w:highlight w:val="none"/>
                <w:lang w:val="en-US" w:eastAsia="zh-CN" w:bidi="ar-SA"/>
              </w:rPr>
            </w:pPr>
            <w:r>
              <w:rPr>
                <w:rFonts w:hint="default" w:ascii="Times New Roman" w:hAnsi="Times New Roman" w:eastAsia="黑体" w:cs="Times New Roman"/>
                <w:b w:val="0"/>
                <w:bCs/>
                <w:color w:val="auto"/>
                <w:kern w:val="2"/>
                <w:sz w:val="21"/>
                <w:szCs w:val="24"/>
                <w:highlight w:val="none"/>
                <w:lang w:val="en-US" w:eastAsia="zh-CN" w:bidi="ar-SA"/>
              </w:rPr>
              <w:t>工艺流程及产污环节图</w:t>
            </w:r>
          </w:p>
          <w:p>
            <w:pPr>
              <w:pStyle w:val="32"/>
              <w:numPr>
                <w:ilvl w:val="0"/>
                <w:numId w:val="0"/>
              </w:numPr>
              <w:ind w:leftChars="20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工艺流程叙述如下：</w:t>
            </w:r>
          </w:p>
          <w:p>
            <w:pPr>
              <w:pStyle w:val="32"/>
              <w:numPr>
                <w:ilvl w:val="0"/>
                <w:numId w:val="0"/>
              </w:numPr>
              <w:ind w:left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（1）上料</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项目原料为PA66尼龙颗粒，均为密封袋装，上料过程首先通过真空负压吸料装置将原辅料计量后吸入注塑机内。其中牙线棒生产时需通过牙线棒注塑机上附带的牙线机将涤纶线拉入至模具之间。</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该工序产污环节为：上料、混合工序配套抽真空上料装置的抽真空尾气，各类机械设备、风机噪声，原辅材料使用后废包装。</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（2）加热熔融</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热过程（即塑化）通过挤出机炮筒中的加热圈对炮筒内层料腔进行加热，使料腔内物料受热融化呈熔融状态，同时料腔中物料在旋转螺杆的作用下不断被推挤向前并压实，物料在加热和螺杆剪切的双重作用下逐渐塑化、熔融和均化塑化工段加热温度为160℃~200℃，加热时间约30min。</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该工序产污环节为：挤出过程产生的废气。</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（3）注塑成型、</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加热熔融后的物料借助注塑机螺杆推力，将熔融状态的塑料注射填充至闭合好的模具内。模具将熔融塑化的塑料型胚包裹，产品在模具内基本成型。</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该工序产污环节为：挤出、注塑工序产生的废气。</w:t>
            </w:r>
          </w:p>
          <w:p>
            <w:pPr>
              <w:numPr>
                <w:ilvl w:val="0"/>
                <w:numId w:val="0"/>
              </w:numPr>
              <w:bidi w:val="0"/>
              <w:ind w:left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（4）冷却脱模</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产品在模具内基本成型后，将冷却水引入模具冷却水管道，经过一段时间的间接冷却（冷却后产品温度约50℃），形成需要的产品。该工序冷却水使用后由模具出水口经管道流入配套</w:t>
            </w:r>
            <w:r>
              <w:rPr>
                <w:rFonts w:hint="eastAsia" w:cs="Times New Roman"/>
                <w:color w:val="auto"/>
                <w:lang w:val="en-US" w:eastAsia="zh-CN"/>
              </w:rPr>
              <w:t>工业</w:t>
            </w:r>
            <w:r>
              <w:rPr>
                <w:rFonts w:hint="default" w:ascii="Times New Roman" w:hAnsi="Times New Roman" w:cs="Times New Roman"/>
                <w:color w:val="auto"/>
                <w:lang w:val="en-US" w:eastAsia="zh-CN"/>
              </w:rPr>
              <w:t>循环冷却水</w:t>
            </w:r>
            <w:r>
              <w:rPr>
                <w:rFonts w:hint="eastAsia" w:cs="Times New Roman"/>
                <w:color w:val="auto"/>
                <w:lang w:val="en-US" w:eastAsia="zh-CN"/>
              </w:rPr>
              <w:t>箱</w:t>
            </w:r>
            <w:r>
              <w:rPr>
                <w:rFonts w:hint="default" w:ascii="Times New Roman" w:hAnsi="Times New Roman" w:cs="Times New Roman"/>
                <w:color w:val="auto"/>
                <w:lang w:val="en-US" w:eastAsia="zh-CN"/>
              </w:rPr>
              <w:t>进行冷却。</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该工序产污环节为：冷却工序产生的废气。</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（5）检验包装</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人工检验产品是否合格，合格品包装后入库待售，不合格品则经设置的破碎机破碎后回用于生产。</w:t>
            </w:r>
            <w:r>
              <w:rPr>
                <w:rFonts w:hint="eastAsia" w:cs="Times New Roman"/>
                <w:color w:val="auto"/>
                <w:lang w:val="en-US" w:eastAsia="zh-CN"/>
              </w:rPr>
              <w:t>本项目牙线棒类产品均为代加工产品，制作完成后根据订单情况交由委</w:t>
            </w:r>
            <w:r>
              <w:rPr>
                <w:rFonts w:hint="eastAsia" w:cs="Times New Roman"/>
                <w:color w:val="auto"/>
                <w:highlight w:val="none"/>
                <w:lang w:val="en-US" w:eastAsia="zh-CN"/>
              </w:rPr>
              <w:t>托的医疗器具厂进行整体消毒、分类包装等后续工序</w:t>
            </w:r>
            <w:r>
              <w:rPr>
                <w:rFonts w:hint="eastAsia" w:cs="Times New Roman"/>
                <w:color w:val="auto"/>
                <w:lang w:val="en-US" w:eastAsia="zh-CN"/>
              </w:rPr>
              <w:t>，本项目厂区内不设置消毒工序。</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该工序产污环节为：检验出的不合格品。</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（6）破碎</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项目检验出的不合格品均通过设置的破碎机破碎后，回用于生产。</w:t>
            </w:r>
          </w:p>
          <w:p>
            <w:pPr>
              <w:numPr>
                <w:ilvl w:val="0"/>
                <w:numId w:val="0"/>
              </w:numPr>
              <w:ind w:left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该工序产污环节为：破碎机破碎过程粉尘，破碎机设备运行噪声。</w:t>
            </w:r>
          </w:p>
          <w:p>
            <w:pPr>
              <w:numPr>
                <w:ilvl w:val="0"/>
                <w:numId w:val="6"/>
              </w:numPr>
              <w:bidi w:val="0"/>
              <w:rPr>
                <w:rFonts w:hint="eastAsia"/>
                <w:color w:val="auto"/>
                <w:lang w:val="en-US" w:eastAsia="zh-CN"/>
              </w:rPr>
            </w:pPr>
            <w:r>
              <w:rPr>
                <w:rFonts w:hint="eastAsia"/>
                <w:color w:val="auto"/>
                <w:lang w:val="en-US" w:eastAsia="zh-CN"/>
              </w:rPr>
              <w:t>模具维修</w:t>
            </w:r>
          </w:p>
          <w:p>
            <w:pPr>
              <w:bidi w:val="0"/>
              <w:rPr>
                <w:rFonts w:hint="default"/>
                <w:color w:val="auto"/>
                <w:lang w:val="en-US" w:eastAsia="zh-CN"/>
              </w:rPr>
            </w:pPr>
            <w:r>
              <w:rPr>
                <w:rFonts w:hint="eastAsia"/>
                <w:color w:val="auto"/>
                <w:lang w:val="en-US" w:eastAsia="zh-CN"/>
              </w:rPr>
              <w:t>项目每台注塑机配套2~3套模具，每半年定期对常用模具进行1次保养维修，保养维修工作均交由模具厂进行处理，主要根据模具损耗情况进行机台省模、烧焊、补纹等处理，本项目厂区不设置保养维修工序。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b/>
                <w:color w:val="auto"/>
                <w:kern w:val="0"/>
                <w:sz w:val="21"/>
                <w:szCs w:val="21"/>
                <w:highlight w:val="none"/>
                <w:lang w:val="en-US" w:eastAsia="zh-CN"/>
              </w:rPr>
            </w:pPr>
            <w:r>
              <w:rPr>
                <w:rFonts w:hint="eastAsia" w:cs="Times New Roman"/>
                <w:b/>
                <w:color w:val="auto"/>
                <w:kern w:val="0"/>
                <w:sz w:val="21"/>
                <w:szCs w:val="21"/>
                <w:highlight w:val="none"/>
                <w:lang w:val="en-US" w:eastAsia="zh-CN"/>
              </w:rPr>
              <w:t>3、</w:t>
            </w:r>
            <w:r>
              <w:rPr>
                <w:rFonts w:hint="default" w:ascii="Times New Roman" w:hAnsi="Times New Roman" w:cs="Times New Roman"/>
                <w:b/>
                <w:color w:val="auto"/>
                <w:kern w:val="0"/>
                <w:sz w:val="21"/>
                <w:szCs w:val="21"/>
                <w:highlight w:val="none"/>
                <w:lang w:val="en-US" w:eastAsia="zh-CN"/>
              </w:rPr>
              <w:t>水平衡</w:t>
            </w:r>
          </w:p>
          <w:p>
            <w:pPr>
              <w:pStyle w:val="2"/>
              <w:numPr>
                <w:ilvl w:val="0"/>
                <w:numId w:val="0"/>
              </w:numPr>
              <w:ind w:left="0" w:leftChars="0" w:right="0" w:rightChars="0" w:firstLine="0" w:firstLineChars="0"/>
              <w:jc w:val="center"/>
              <w:rPr>
                <w:rFonts w:hint="default" w:ascii="Times New Roman" w:hAnsi="Times New Roman" w:cs="Times New Roman" w:eastAsiaTheme="majorEastAsia"/>
                <w:bCs/>
                <w:color w:val="auto"/>
                <w:sz w:val="24"/>
                <w:szCs w:val="24"/>
                <w:highlight w:val="none"/>
                <w:lang w:eastAsia="zh-CN"/>
              </w:rPr>
            </w:pPr>
            <w:r>
              <w:rPr>
                <w:rFonts w:hint="default" w:ascii="Times New Roman" w:hAnsi="Times New Roman" w:cs="Times New Roman" w:eastAsiaTheme="majorEastAsia"/>
                <w:bCs/>
                <w:color w:val="auto"/>
                <w:sz w:val="24"/>
                <w:szCs w:val="24"/>
                <w:highlight w:val="none"/>
                <w:lang w:eastAsia="zh-CN"/>
              </w:rPr>
              <w:object>
                <v:shape id="_x0000_i1027" o:spt="75" type="#_x0000_t75" style="height:161.25pt;width:368.4pt;" o:ole="t" filled="f" o:preferrelative="t" stroked="t" coordsize="21600,21600">
                  <v:path/>
                  <v:fill on="f" focussize="0,0"/>
                  <v:stroke color="#000000" joinstyle="miter"/>
                  <v:imagedata r:id="rId21" o:title=""/>
                  <o:lock v:ext="edit" aspectratio="t"/>
                  <w10:wrap type="none"/>
                  <w10:anchorlock/>
                </v:shape>
                <o:OLEObject Type="Embed" ProgID="Visio.Drawing.15" ShapeID="_x0000_i1027" DrawAspect="Content" ObjectID="_1468075727" r:id="rId20">
                  <o:LockedField>false</o:LockedField>
                </o:OLEObject>
              </w:object>
            </w:r>
          </w:p>
          <w:p>
            <w:pPr>
              <w:pStyle w:val="28"/>
              <w:keepNext w:val="0"/>
              <w:keepLines w:val="0"/>
              <w:pageBreakBefore w:val="0"/>
              <w:widowControl w:val="0"/>
              <w:numPr>
                <w:ilvl w:val="0"/>
                <w:numId w:val="5"/>
              </w:numPr>
              <w:kinsoku/>
              <w:wordWrap/>
              <w:overflowPunct/>
              <w:topLinePunct w:val="0"/>
              <w:bidi w:val="0"/>
              <w:adjustRightInd/>
              <w:snapToGrid/>
              <w:spacing w:line="360" w:lineRule="auto"/>
              <w:ind w:left="900" w:leftChars="0" w:hanging="420" w:firstLineChars="0"/>
              <w:textAlignment w:val="auto"/>
              <w:rPr>
                <w:rFonts w:hint="default" w:ascii="Times New Roman" w:hAnsi="Times New Roman" w:eastAsia="黑体" w:cs="Times New Roman"/>
                <w:b w:val="0"/>
                <w:bCs/>
                <w:color w:val="auto"/>
                <w:kern w:val="2"/>
                <w:sz w:val="21"/>
                <w:szCs w:val="24"/>
                <w:highlight w:val="none"/>
                <w:lang w:val="en-US" w:eastAsia="zh-CN" w:bidi="ar-SA"/>
              </w:rPr>
            </w:pPr>
            <w:r>
              <w:rPr>
                <w:rFonts w:hint="default" w:ascii="Times New Roman" w:hAnsi="Times New Roman" w:eastAsia="黑体" w:cs="Times New Roman"/>
                <w:b w:val="0"/>
                <w:bCs/>
                <w:color w:val="auto"/>
                <w:kern w:val="2"/>
                <w:sz w:val="21"/>
                <w:szCs w:val="24"/>
                <w:highlight w:val="none"/>
                <w:lang w:val="en-US" w:eastAsia="zh-CN" w:bidi="ar-SA"/>
              </w:rPr>
              <w:t>项目水平衡图 单位：t/d</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4、</w:t>
            </w:r>
            <w:r>
              <w:rPr>
                <w:rFonts w:hint="default" w:ascii="Times New Roman" w:hAnsi="Times New Roman" w:eastAsia="宋体" w:cs="Times New Roman"/>
                <w:b/>
                <w:color w:val="auto"/>
                <w:kern w:val="0"/>
                <w:sz w:val="21"/>
                <w:szCs w:val="21"/>
                <w:highlight w:val="none"/>
              </w:rPr>
              <w:t>本项目产污环节分析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根据上述工艺分析，拟建工程生产过程中产污环节分析详见</w:t>
            </w:r>
            <w:r>
              <w:rPr>
                <w:rFonts w:hint="default" w:ascii="Times New Roman" w:hAnsi="Times New Roman" w:eastAsia="宋体" w:cs="Times New Roman"/>
                <w:bCs/>
                <w:color w:val="auto"/>
                <w:kern w:val="0"/>
                <w:sz w:val="21"/>
                <w:szCs w:val="21"/>
                <w:highlight w:val="none"/>
                <w:lang w:eastAsia="zh-CN"/>
              </w:rPr>
              <w:t>下表</w:t>
            </w:r>
            <w:r>
              <w:rPr>
                <w:rFonts w:hint="default" w:ascii="Times New Roman" w:hAnsi="Times New Roman" w:eastAsia="宋体" w:cs="Times New Roman"/>
                <w:bCs/>
                <w:color w:val="auto"/>
                <w:kern w:val="0"/>
                <w:sz w:val="21"/>
                <w:szCs w:val="21"/>
                <w:highlight w:val="none"/>
              </w:rPr>
              <w:t>。</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项目产污节点一览表</w:t>
            </w:r>
          </w:p>
          <w:tbl>
            <w:tblPr>
              <w:tblStyle w:val="22"/>
              <w:tblW w:w="4995"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1805"/>
              <w:gridCol w:w="1457"/>
              <w:gridCol w:w="2410"/>
              <w:gridCol w:w="19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tcBorders>
                    <w:top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类别</w:t>
                  </w:r>
                </w:p>
              </w:tc>
              <w:tc>
                <w:tcPr>
                  <w:tcW w:w="108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污染源名称</w:t>
                  </w:r>
                </w:p>
              </w:tc>
              <w:tc>
                <w:tcPr>
                  <w:tcW w:w="8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污染因子</w:t>
                  </w:r>
                </w:p>
              </w:tc>
              <w:tc>
                <w:tcPr>
                  <w:tcW w:w="2618" w:type="pct"/>
                  <w:gridSpan w:val="2"/>
                  <w:tcBorders>
                    <w:top w:val="single" w:color="auto" w:sz="6" w:space="0"/>
                    <w:left w:val="single" w:color="auto" w:sz="6"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治理措施</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restart"/>
                  <w:tcBorders>
                    <w:top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废气</w:t>
                  </w:r>
                </w:p>
              </w:tc>
              <w:tc>
                <w:tcPr>
                  <w:tcW w:w="1087"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注塑、冷却工序</w:t>
                  </w:r>
                </w:p>
              </w:tc>
              <w:tc>
                <w:tcPr>
                  <w:tcW w:w="877"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非甲烷总烃</w:t>
                  </w:r>
                </w:p>
              </w:tc>
              <w:tc>
                <w:tcPr>
                  <w:tcW w:w="1451"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二次密闭间+注塑机设备高温挤出和冷却工段上方设置顶吸式集气罩</w:t>
                  </w:r>
                </w:p>
              </w:tc>
              <w:tc>
                <w:tcPr>
                  <w:tcW w:w="1167" w:type="pct"/>
                  <w:tcBorders>
                    <w:top w:val="single" w:color="auto" w:sz="6" w:space="0"/>
                    <w:left w:val="single" w:color="auto" w:sz="4"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1套“UV光催化氧化+活性炭吸附”+15m高排气筒</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087"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上料混合工序</w:t>
                  </w:r>
                </w:p>
              </w:tc>
              <w:tc>
                <w:tcPr>
                  <w:tcW w:w="877" w:type="pct"/>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颗粒物</w:t>
                  </w:r>
                </w:p>
              </w:tc>
              <w:tc>
                <w:tcPr>
                  <w:tcW w:w="1451"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eastAsiaTheme="minorEastAsia"/>
                      <w:color w:val="auto"/>
                      <w:kern w:val="2"/>
                      <w:sz w:val="18"/>
                      <w:szCs w:val="18"/>
                      <w:highlight w:val="none"/>
                      <w:lang w:val="en-US" w:eastAsia="zh-CN" w:bidi="ar-SA"/>
                    </w:rPr>
                    <w:t>二次密闭间+</w:t>
                  </w:r>
                  <w:r>
                    <w:rPr>
                      <w:rFonts w:hint="default" w:ascii="Times New Roman" w:hAnsi="Times New Roman" w:cs="Times New Roman" w:eastAsiaTheme="minorEastAsia"/>
                      <w:color w:val="auto"/>
                      <w:kern w:val="2"/>
                      <w:sz w:val="18"/>
                      <w:szCs w:val="18"/>
                      <w:highlight w:val="none"/>
                      <w:lang w:val="en-US" w:eastAsia="zh-CN" w:bidi="ar-SA"/>
                    </w:rPr>
                    <w:t>真空上料机的抽真空尾气管道直接</w:t>
                  </w:r>
                  <w:r>
                    <w:rPr>
                      <w:rFonts w:hint="eastAsia" w:cs="Times New Roman" w:eastAsiaTheme="minorEastAsia"/>
                      <w:color w:val="auto"/>
                      <w:kern w:val="2"/>
                      <w:sz w:val="18"/>
                      <w:szCs w:val="18"/>
                      <w:highlight w:val="none"/>
                      <w:lang w:val="en-US" w:eastAsia="zh-CN" w:bidi="ar-SA"/>
                    </w:rPr>
                    <w:t>引入</w:t>
                  </w:r>
                  <w:r>
                    <w:rPr>
                      <w:rFonts w:hint="default" w:ascii="Times New Roman" w:hAnsi="Times New Roman" w:cs="Times New Roman" w:eastAsiaTheme="minorEastAsia"/>
                      <w:color w:val="auto"/>
                      <w:kern w:val="2"/>
                      <w:sz w:val="18"/>
                      <w:szCs w:val="18"/>
                      <w:highlight w:val="none"/>
                      <w:lang w:val="en-US" w:eastAsia="zh-CN" w:bidi="ar-SA"/>
                    </w:rPr>
                    <w:t>废气治理设施</w:t>
                  </w:r>
                </w:p>
              </w:tc>
              <w:tc>
                <w:tcPr>
                  <w:tcW w:w="1167" w:type="pct"/>
                  <w:vMerge w:val="restart"/>
                  <w:tcBorders>
                    <w:top w:val="single" w:color="auto" w:sz="6" w:space="0"/>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1套脉冲袋式除尘器+15m高排气筒</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087"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破碎工序</w:t>
                  </w:r>
                </w:p>
              </w:tc>
              <w:tc>
                <w:tcPr>
                  <w:tcW w:w="877" w:type="pct"/>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颗粒物</w:t>
                  </w:r>
                </w:p>
              </w:tc>
              <w:tc>
                <w:tcPr>
                  <w:tcW w:w="1451" w:type="pc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二次密闭间+集气罩</w:t>
                  </w:r>
                </w:p>
              </w:tc>
              <w:tc>
                <w:tcPr>
                  <w:tcW w:w="1167" w:type="pct"/>
                  <w:vMerge w:val="continue"/>
                  <w:tcBorders>
                    <w:left w:val="single" w:color="auto" w:sz="4" w:space="0"/>
                    <w:bottom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green"/>
                      <w:lang w:val="en-US" w:eastAsia="zh-CN" w:bidi="ar-SA"/>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废水</w:t>
                  </w:r>
                </w:p>
              </w:tc>
              <w:tc>
                <w:tcPr>
                  <w:tcW w:w="1087" w:type="pct"/>
                  <w:tcBorders>
                    <w:top w:val="single" w:color="auto" w:sz="6"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生活污水</w:t>
                  </w:r>
                </w:p>
              </w:tc>
              <w:tc>
                <w:tcPr>
                  <w:tcW w:w="877" w:type="pct"/>
                  <w:tcBorders>
                    <w:top w:val="single" w:color="auto" w:sz="4" w:space="0"/>
                    <w:left w:val="single" w:color="auto" w:sz="6"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COD、SS、NH</w:t>
                  </w:r>
                  <w:r>
                    <w:rPr>
                      <w:rFonts w:hint="default" w:ascii="Times New Roman" w:hAnsi="Times New Roman" w:cs="Times New Roman" w:eastAsiaTheme="minorEastAsia"/>
                      <w:color w:val="auto"/>
                      <w:sz w:val="18"/>
                      <w:szCs w:val="18"/>
                      <w:highlight w:val="none"/>
                      <w:vertAlign w:val="subscript"/>
                      <w:lang w:val="en-US" w:eastAsia="zh-CN"/>
                    </w:rPr>
                    <w:t>3</w:t>
                  </w:r>
                  <w:r>
                    <w:rPr>
                      <w:rFonts w:hint="default" w:ascii="Times New Roman" w:hAnsi="Times New Roman" w:cs="Times New Roman" w:eastAsiaTheme="minorEastAsia"/>
                      <w:color w:val="auto"/>
                      <w:sz w:val="18"/>
                      <w:szCs w:val="18"/>
                      <w:highlight w:val="none"/>
                      <w:lang w:val="en-US" w:eastAsia="zh-CN"/>
                    </w:rPr>
                    <w:t>-N、TP、TN</w:t>
                  </w:r>
                </w:p>
              </w:tc>
              <w:tc>
                <w:tcPr>
                  <w:tcW w:w="2618" w:type="pct"/>
                  <w:gridSpan w:val="2"/>
                  <w:tcBorders>
                    <w:top w:val="single" w:color="auto" w:sz="6" w:space="0"/>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化粪池处理后，前期定期清运，远期待区域污水管网建成并接入新乡市凤泉区污水处理厂进一步处理。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restart"/>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固废</w:t>
                  </w:r>
                </w:p>
              </w:tc>
              <w:tc>
                <w:tcPr>
                  <w:tcW w:w="1087"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除尘器清理</w:t>
                  </w:r>
                </w:p>
              </w:tc>
              <w:tc>
                <w:tcPr>
                  <w:tcW w:w="877" w:type="pct"/>
                  <w:tcBorders>
                    <w:top w:val="single" w:color="auto" w:sz="4" w:space="0"/>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集尘</w:t>
                  </w:r>
                </w:p>
              </w:tc>
              <w:tc>
                <w:tcPr>
                  <w:tcW w:w="2618" w:type="pct"/>
                  <w:gridSpan w:val="2"/>
                  <w:vMerge w:val="restart"/>
                  <w:tcBorders>
                    <w:top w:val="single" w:color="auto" w:sz="6"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暂存后</w:t>
                  </w:r>
                  <w:r>
                    <w:rPr>
                      <w:rFonts w:hint="default" w:ascii="Times New Roman" w:hAnsi="Times New Roman" w:cs="Times New Roman" w:eastAsiaTheme="minorEastAsia"/>
                      <w:b w:val="0"/>
                      <w:bCs w:val="0"/>
                      <w:color w:val="auto"/>
                      <w:sz w:val="18"/>
                      <w:szCs w:val="18"/>
                      <w:highlight w:val="none"/>
                      <w:u w:val="none"/>
                      <w:lang w:eastAsia="zh-CN"/>
                    </w:rPr>
                    <w:t>，定期外售废品回收单位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087"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原辅材料使用</w:t>
                  </w:r>
                </w:p>
              </w:tc>
              <w:tc>
                <w:tcPr>
                  <w:tcW w:w="877" w:type="pct"/>
                  <w:tcBorders>
                    <w:top w:val="single" w:color="auto" w:sz="4" w:space="0"/>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废包装材料</w:t>
                  </w:r>
                </w:p>
              </w:tc>
              <w:tc>
                <w:tcPr>
                  <w:tcW w:w="2618" w:type="pct"/>
                  <w:gridSpan w:val="2"/>
                  <w:vMerge w:val="continue"/>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087" w:type="pct"/>
                  <w:tcBorders>
                    <w:top w:val="single" w:color="auto" w:sz="6" w:space="0"/>
                    <w:left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产品检验</w:t>
                  </w:r>
                </w:p>
              </w:tc>
              <w:tc>
                <w:tcPr>
                  <w:tcW w:w="877" w:type="pct"/>
                  <w:tcBorders>
                    <w:top w:val="single" w:color="auto" w:sz="6" w:space="0"/>
                    <w:left w:val="single" w:color="auto" w:sz="6"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不合格品</w:t>
                  </w:r>
                </w:p>
              </w:tc>
              <w:tc>
                <w:tcPr>
                  <w:tcW w:w="2618" w:type="pct"/>
                  <w:gridSpan w:val="2"/>
                  <w:tcBorders>
                    <w:top w:val="single" w:color="auto" w:sz="4" w:space="0"/>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暂存后</w:t>
                  </w:r>
                  <w:r>
                    <w:rPr>
                      <w:rFonts w:hint="default" w:ascii="Times New Roman" w:hAnsi="Times New Roman" w:cs="Times New Roman" w:eastAsiaTheme="minorEastAsia"/>
                      <w:b w:val="0"/>
                      <w:bCs w:val="0"/>
                      <w:color w:val="auto"/>
                      <w:sz w:val="18"/>
                      <w:szCs w:val="18"/>
                      <w:highlight w:val="none"/>
                      <w:u w:val="none"/>
                      <w:lang w:eastAsia="zh-CN"/>
                    </w:rPr>
                    <w:t>，经破碎机破碎后回用于生产</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087"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员工日常办公生活</w:t>
                  </w:r>
                </w:p>
              </w:tc>
              <w:tc>
                <w:tcPr>
                  <w:tcW w:w="877"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生活垃圾</w:t>
                  </w:r>
                </w:p>
              </w:tc>
              <w:tc>
                <w:tcPr>
                  <w:tcW w:w="2618" w:type="pct"/>
                  <w:gridSpan w:val="2"/>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eastAsiaTheme="minorEastAsia"/>
                      <w:b w:val="0"/>
                      <w:bCs w:val="0"/>
                      <w:color w:val="auto"/>
                      <w:sz w:val="18"/>
                      <w:szCs w:val="18"/>
                      <w:highlight w:val="none"/>
                      <w:u w:val="none"/>
                      <w:lang w:eastAsia="zh-CN"/>
                    </w:rPr>
                    <w:t>垃圾收集箱收集后，定期委托环卫部门清运处理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087" w:type="pct"/>
                  <w:vMerge w:val="restart"/>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废气治理设施</w:t>
                  </w:r>
                </w:p>
              </w:tc>
              <w:tc>
                <w:tcPr>
                  <w:tcW w:w="877" w:type="pct"/>
                  <w:tcBorders>
                    <w:top w:val="single" w:color="auto" w:sz="4" w:space="0"/>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废UV灯管</w:t>
                  </w:r>
                </w:p>
              </w:tc>
              <w:tc>
                <w:tcPr>
                  <w:tcW w:w="2618" w:type="pct"/>
                  <w:gridSpan w:val="2"/>
                  <w:vMerge w:val="restart"/>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危险固废暂存间暂存后，定期委托有资质的危废处置单位回收处理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green"/>
                    </w:rPr>
                  </w:pPr>
                </w:p>
              </w:tc>
              <w:tc>
                <w:tcPr>
                  <w:tcW w:w="1087" w:type="pct"/>
                  <w:vMerge w:val="continue"/>
                  <w:tcBorders>
                    <w:left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p>
              </w:tc>
              <w:tc>
                <w:tcPr>
                  <w:tcW w:w="877"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废活性炭</w:t>
                  </w:r>
                </w:p>
              </w:tc>
              <w:tc>
                <w:tcPr>
                  <w:tcW w:w="2618" w:type="pct"/>
                  <w:gridSpan w:val="2"/>
                  <w:vMerge w:val="continue"/>
                  <w:tcBorders>
                    <w:left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color w:val="auto"/>
                      <w:sz w:val="18"/>
                      <w:szCs w:val="18"/>
                      <w:highlight w:val="green"/>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restart"/>
                  <w:tcBorders>
                    <w:top w:val="single" w:color="auto" w:sz="4"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噪声</w:t>
                  </w:r>
                </w:p>
              </w:tc>
              <w:tc>
                <w:tcPr>
                  <w:tcW w:w="108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生产机械设备运行</w:t>
                  </w:r>
                </w:p>
              </w:tc>
              <w:tc>
                <w:tcPr>
                  <w:tcW w:w="8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机械噪声</w:t>
                  </w:r>
                </w:p>
              </w:tc>
              <w:tc>
                <w:tcPr>
                  <w:tcW w:w="2618" w:type="pct"/>
                  <w:gridSpan w:val="2"/>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室内布置，设置减振基础</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6" w:type="pct"/>
                  <w:vMerge w:val="continue"/>
                  <w:tcBorders>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rPr>
                  </w:pPr>
                </w:p>
              </w:tc>
              <w:tc>
                <w:tcPr>
                  <w:tcW w:w="108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eastAsia" w:cs="Times New Roman" w:eastAsiaTheme="minorEastAsia"/>
                      <w:color w:val="auto"/>
                      <w:sz w:val="18"/>
                      <w:szCs w:val="18"/>
                      <w:highlight w:val="none"/>
                      <w:lang w:eastAsia="zh-CN"/>
                    </w:rPr>
                    <w:t>风机、</w:t>
                  </w:r>
                  <w:r>
                    <w:rPr>
                      <w:rFonts w:hint="default" w:ascii="Times New Roman" w:hAnsi="Times New Roman" w:cs="Times New Roman" w:eastAsiaTheme="minorEastAsia"/>
                      <w:color w:val="auto"/>
                      <w:sz w:val="18"/>
                      <w:szCs w:val="18"/>
                      <w:highlight w:val="none"/>
                      <w:lang w:eastAsia="zh-CN"/>
                    </w:rPr>
                    <w:t>空压机</w:t>
                  </w:r>
                </w:p>
              </w:tc>
              <w:tc>
                <w:tcPr>
                  <w:tcW w:w="87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空气动力噪声</w:t>
                  </w:r>
                </w:p>
              </w:tc>
              <w:tc>
                <w:tcPr>
                  <w:tcW w:w="2618" w:type="pct"/>
                  <w:gridSpan w:val="2"/>
                  <w:tcBorders>
                    <w:top w:val="single" w:color="auto" w:sz="4" w:space="0"/>
                    <w:left w:val="single" w:color="auto" w:sz="6" w:space="0"/>
                    <w:bottom w:val="single" w:color="auto" w:sz="4" w:space="0"/>
                  </w:tcBorders>
                  <w:noWrap w:val="0"/>
                  <w:vAlign w:val="center"/>
                </w:tcPr>
                <w:p>
                  <w:pPr>
                    <w:keepNext w:val="0"/>
                    <w:keepLines w:val="0"/>
                    <w:pageBreakBefore w:val="0"/>
                    <w:widowControl w:val="0"/>
                    <w:kinsoku/>
                    <w:wordWrap/>
                    <w:overflowPunct/>
                    <w:topLinePunct w:val="0"/>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lang w:eastAsia="zh-CN"/>
                    </w:rPr>
                    <w:t>安装隔声装置，厂房隔声</w:t>
                  </w:r>
                </w:p>
              </w:tc>
            </w:tr>
          </w:tbl>
          <w:p>
            <w:pPr>
              <w:bidi w:val="0"/>
              <w:rPr>
                <w:rFonts w:hint="default"/>
                <w:color w:val="auto"/>
                <w:lang w:eastAsia="zh-CN"/>
              </w:rPr>
            </w:pPr>
            <w:r>
              <w:rPr>
                <w:rFonts w:hint="eastAsia"/>
                <w:color w:val="auto"/>
                <w:lang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0" w:hRule="atLeast"/>
          <w:jc w:val="center"/>
        </w:trPr>
        <w:tc>
          <w:tcPr>
            <w:tcW w:w="388" w:type="pct"/>
            <w:noWrap w:val="0"/>
            <w:vAlign w:val="center"/>
          </w:tcPr>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firstLine="0" w:firstLineChars="0"/>
              <w:jc w:val="center"/>
              <w:textAlignment w:val="auto"/>
              <w:rPr>
                <w:rFonts w:hint="default" w:ascii="Times New Roman" w:hAnsi="Times New Roman" w:cs="Times New Roman"/>
                <w:color w:val="auto"/>
                <w:sz w:val="21"/>
                <w:szCs w:val="21"/>
                <w:highlight w:val="green"/>
              </w:rPr>
            </w:pPr>
            <w:r>
              <w:rPr>
                <w:rFonts w:hint="default" w:ascii="Times New Roman" w:hAnsi="Times New Roman" w:cs="Times New Roman"/>
                <w:bCs/>
                <w:color w:val="auto"/>
                <w:kern w:val="2"/>
                <w:sz w:val="21"/>
                <w:szCs w:val="21"/>
                <w:highlight w:val="none"/>
              </w:rPr>
              <w:t>与项目有关的原有环境污染问题</w:t>
            </w:r>
          </w:p>
        </w:tc>
        <w:tc>
          <w:tcPr>
            <w:tcW w:w="4611" w:type="pct"/>
            <w:noWrap w:val="0"/>
            <w:vAlign w:val="center"/>
          </w:tcPr>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highlight w:val="green"/>
                <w:lang w:eastAsia="zh-CN"/>
              </w:rPr>
            </w:pPr>
            <w:r>
              <w:rPr>
                <w:rFonts w:hint="default" w:ascii="Times New Roman" w:hAnsi="Times New Roman" w:eastAsia="宋体" w:cs="Times New Roman"/>
                <w:bCs/>
                <w:color w:val="auto"/>
                <w:kern w:val="2"/>
                <w:sz w:val="21"/>
                <w:szCs w:val="21"/>
                <w:highlight w:val="none"/>
                <w:lang w:val="en-US" w:eastAsia="zh-CN" w:bidi="ar-SA"/>
              </w:rPr>
              <w:t>本项目为新建项目，系租</w:t>
            </w:r>
            <w:r>
              <w:rPr>
                <w:rFonts w:hint="default" w:ascii="Times New Roman" w:hAnsi="Times New Roman" w:cs="Times New Roman"/>
                <w:bCs/>
                <w:color w:val="auto"/>
                <w:kern w:val="2"/>
                <w:sz w:val="21"/>
                <w:szCs w:val="21"/>
                <w:highlight w:val="none"/>
                <w:lang w:val="en-US" w:eastAsia="zh-CN" w:bidi="ar-SA"/>
              </w:rPr>
              <w:t>现有厂区及厂房进行建设（租赁协议见附件三）</w:t>
            </w:r>
            <w:r>
              <w:rPr>
                <w:rFonts w:hint="default" w:ascii="Times New Roman" w:hAnsi="Times New Roman" w:eastAsia="宋体" w:cs="Times New Roman"/>
                <w:bCs/>
                <w:color w:val="auto"/>
                <w:kern w:val="2"/>
                <w:sz w:val="21"/>
                <w:szCs w:val="21"/>
                <w:highlight w:val="none"/>
                <w:lang w:val="en-US" w:eastAsia="zh-CN" w:bidi="ar-SA"/>
              </w:rPr>
              <w:t>，根据现场勘查，</w:t>
            </w:r>
            <w:r>
              <w:rPr>
                <w:rFonts w:hint="default" w:ascii="Times New Roman" w:hAnsi="Times New Roman" w:cs="Times New Roman"/>
                <w:bCs/>
                <w:color w:val="auto"/>
                <w:kern w:val="2"/>
                <w:sz w:val="21"/>
                <w:szCs w:val="21"/>
                <w:highlight w:val="none"/>
                <w:lang w:val="en-US" w:eastAsia="zh-CN" w:bidi="ar-SA"/>
              </w:rPr>
              <w:t>项目</w:t>
            </w:r>
            <w:r>
              <w:rPr>
                <w:rFonts w:hint="default" w:ascii="Times New Roman" w:hAnsi="Times New Roman" w:eastAsia="宋体" w:cs="Times New Roman"/>
                <w:bCs/>
                <w:color w:val="auto"/>
                <w:kern w:val="2"/>
                <w:sz w:val="21"/>
                <w:szCs w:val="21"/>
                <w:highlight w:val="none"/>
                <w:lang w:val="en-US" w:eastAsia="zh-CN" w:bidi="ar-SA"/>
              </w:rPr>
              <w:t>所租厂房</w:t>
            </w:r>
            <w:r>
              <w:rPr>
                <w:rFonts w:hint="default" w:ascii="Times New Roman" w:hAnsi="Times New Roman" w:cs="Times New Roman"/>
                <w:bCs/>
                <w:color w:val="auto"/>
                <w:kern w:val="2"/>
                <w:sz w:val="21"/>
                <w:szCs w:val="21"/>
                <w:highlight w:val="none"/>
                <w:lang w:val="en-US" w:eastAsia="zh-CN" w:bidi="ar-SA"/>
              </w:rPr>
              <w:t>目前</w:t>
            </w:r>
            <w:r>
              <w:rPr>
                <w:rFonts w:hint="default" w:ascii="Times New Roman" w:hAnsi="Times New Roman" w:eastAsia="宋体" w:cs="Times New Roman"/>
                <w:bCs/>
                <w:color w:val="auto"/>
                <w:kern w:val="2"/>
                <w:sz w:val="21"/>
                <w:szCs w:val="21"/>
                <w:highlight w:val="none"/>
                <w:lang w:val="en-US" w:eastAsia="zh-CN" w:bidi="ar-SA"/>
              </w:rPr>
              <w:t>为空，不存在与本项目有关的原有污染情况和环境问题。</w:t>
            </w:r>
          </w:p>
        </w:tc>
      </w:tr>
    </w:tbl>
    <w:p>
      <w:pPr>
        <w:pStyle w:val="17"/>
        <w:jc w:val="center"/>
        <w:rPr>
          <w:rFonts w:hint="default" w:ascii="Times New Roman" w:hAnsi="Times New Roman" w:eastAsia="黑体" w:cs="Times New Roman"/>
          <w:snapToGrid w:val="0"/>
          <w:color w:val="auto"/>
          <w:sz w:val="36"/>
          <w:szCs w:val="36"/>
          <w:highlight w:val="green"/>
        </w:rPr>
        <w:sectPr>
          <w:pgSz w:w="11906" w:h="16838"/>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现状</w:t>
            </w:r>
          </w:p>
        </w:tc>
        <w:tc>
          <w:tcPr>
            <w:tcW w:w="81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rPr>
              <w:t>项目所在地属空气环境质量二类功能区，环境空气质量应执行《环境空气质量标准》（GB3095-2012）二级标准。</w:t>
            </w: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2022</w:t>
            </w:r>
            <w:r>
              <w:rPr>
                <w:rFonts w:hint="default" w:ascii="Times New Roman" w:hAnsi="Times New Roman" w:cs="Times New Roman"/>
                <w:color w:val="auto"/>
                <w:sz w:val="21"/>
                <w:szCs w:val="21"/>
                <w:highlight w:val="none"/>
              </w:rPr>
              <w:t>年环境质量</w:t>
            </w:r>
            <w:r>
              <w:rPr>
                <w:rFonts w:hint="default" w:ascii="Times New Roman" w:hAnsi="Times New Roman" w:cs="Times New Roman"/>
                <w:color w:val="auto"/>
                <w:sz w:val="21"/>
                <w:szCs w:val="21"/>
                <w:highlight w:val="none"/>
                <w:lang w:eastAsia="zh-CN"/>
              </w:rPr>
              <w:t>状况公报</w:t>
            </w:r>
            <w:r>
              <w:rPr>
                <w:rFonts w:hint="default" w:ascii="Times New Roman" w:hAnsi="Times New Roman" w:cs="Times New Roman"/>
                <w:color w:val="auto"/>
                <w:sz w:val="21"/>
                <w:szCs w:val="21"/>
                <w:highlight w:val="none"/>
              </w:rPr>
              <w:t>》，区域空气质量现状数据如下表所示。</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区域空气质量现状评价表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885"/>
              <w:gridCol w:w="1683"/>
              <w:gridCol w:w="1094"/>
              <w:gridCol w:w="1094"/>
              <w:gridCol w:w="1094"/>
              <w:gridCol w:w="1097"/>
              <w:gridCol w:w="10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年评价指标</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现状浓度/（μg/m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标准值/（μg/m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占标率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超标倍数</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10</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89</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127.1</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27.1</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2.5</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50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35</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142.9</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42.9</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16.7</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2</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30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75</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第95百分位浓度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r>
                    <w:rPr>
                      <w:rFonts w:hint="default" w:ascii="Times New Roman" w:hAnsi="Times New Roman"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4mg/m</w:t>
                  </w:r>
                  <w:r>
                    <w:rPr>
                      <w:rFonts w:hint="default" w:ascii="Times New Roman" w:hAnsi="Times New Roman" w:eastAsia="宋体" w:cs="Times New Roman"/>
                      <w:color w:val="auto"/>
                      <w:sz w:val="18"/>
                      <w:szCs w:val="18"/>
                      <w:highlight w:val="none"/>
                      <w:vertAlign w:val="superscript"/>
                    </w:rPr>
                    <w:t>3</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35</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2"/>
                      <w:w w:val="101"/>
                      <w:position w:val="2"/>
                      <w:sz w:val="18"/>
                      <w:szCs w:val="18"/>
                      <w:highlight w:val="none"/>
                    </w:rPr>
                    <w:t>/</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O</w:t>
                  </w:r>
                  <w:r>
                    <w:rPr>
                      <w:rFonts w:hint="default" w:ascii="Times New Roman" w:hAnsi="Times New Roman" w:eastAsia="宋体" w:cs="Times New Roman"/>
                      <w:color w:val="auto"/>
                      <w:sz w:val="18"/>
                      <w:szCs w:val="18"/>
                      <w:highlight w:val="none"/>
                      <w:vertAlign w:val="subscript"/>
                    </w:rPr>
                    <w:t>3</w:t>
                  </w:r>
                </w:p>
              </w:tc>
              <w:tc>
                <w:tcPr>
                  <w:tcW w:w="105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第90百分位浓度</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182</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160</w:t>
                  </w:r>
                </w:p>
              </w:tc>
              <w:tc>
                <w:tcPr>
                  <w:tcW w:w="68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113.8</w:t>
                  </w:r>
                </w:p>
              </w:tc>
              <w:tc>
                <w:tcPr>
                  <w:tcW w:w="687"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13.8</w:t>
                  </w:r>
                </w:p>
              </w:tc>
              <w:tc>
                <w:tcPr>
                  <w:tcW w:w="643"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超标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由上表可知，其中PM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目前，新乡市正在实施《新乡市深入打好秋冬季重污染天气消除、夏季臭氧污染防治和柴油货车污染治理攻坚战实施方案》（新环攻坚办〔2023〕</w:t>
            </w:r>
            <w:r>
              <w:rPr>
                <w:rFonts w:hint="default" w:ascii="Times New Roman" w:hAnsi="Times New Roman" w:cs="Times New Roman"/>
                <w:b w:val="0"/>
                <w:bCs w:val="0"/>
                <w:color w:val="auto"/>
                <w:sz w:val="21"/>
                <w:szCs w:val="21"/>
                <w:highlight w:val="none"/>
                <w:u w:val="none"/>
                <w:lang w:val="en-US" w:eastAsia="zh-CN"/>
              </w:rPr>
              <w:t>7</w:t>
            </w:r>
            <w:r>
              <w:rPr>
                <w:rFonts w:hint="default" w:ascii="Times New Roman" w:hAnsi="Times New Roman" w:cs="Times New Roman"/>
                <w:b w:val="0"/>
                <w:bCs w:val="0"/>
                <w:color w:val="auto"/>
                <w:sz w:val="21"/>
                <w:szCs w:val="21"/>
                <w:highlight w:val="none"/>
                <w:u w:val="none"/>
                <w:lang w:eastAsia="zh-CN"/>
              </w:rPr>
              <w:t>3号）等一系列措施，将不断改善区域大气环境质量。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 w:val="0"/>
                <w:bCs w:val="0"/>
                <w:color w:val="auto"/>
                <w:spacing w:val="-4"/>
                <w:sz w:val="21"/>
                <w:szCs w:val="21"/>
                <w:highlight w:val="none"/>
                <w:u w:val="none"/>
              </w:rPr>
            </w:pPr>
            <w:r>
              <w:rPr>
                <w:rFonts w:hint="default" w:ascii="Times New Roman" w:hAnsi="Times New Roman" w:cs="Times New Roman"/>
                <w:b w:val="0"/>
                <w:bCs w:val="0"/>
                <w:color w:val="auto"/>
                <w:sz w:val="21"/>
                <w:szCs w:val="21"/>
                <w:highlight w:val="none"/>
                <w:u w:val="none"/>
                <w:lang w:eastAsia="zh-CN"/>
              </w:rPr>
              <w:t>距离项目最近的地表水体为南侧</w:t>
            </w:r>
            <w:r>
              <w:rPr>
                <w:rFonts w:hint="default" w:ascii="Times New Roman" w:hAnsi="Times New Roman" w:cs="Times New Roman"/>
                <w:b w:val="0"/>
                <w:bCs w:val="0"/>
                <w:color w:val="auto"/>
                <w:sz w:val="21"/>
                <w:szCs w:val="21"/>
                <w:highlight w:val="none"/>
                <w:u w:val="none"/>
                <w:lang w:val="en-US" w:eastAsia="zh-CN"/>
              </w:rPr>
              <w:t>725m处的民生渠，根据《新乡市生态环境局关于下达2022年地表水环境质量暂定目标的函》，民生渠水体功能类别为</w:t>
            </w:r>
            <w:r>
              <w:rPr>
                <w:rFonts w:hint="default" w:ascii="Times New Roman" w:hAnsi="Times New Roman" w:cs="Times New Roman"/>
                <w:b w:val="0"/>
                <w:bCs w:val="0"/>
                <w:color w:val="auto"/>
                <w:sz w:val="21"/>
                <w:szCs w:val="21"/>
                <w:highlight w:val="none"/>
                <w:u w:val="none"/>
                <w:lang w:val="en-US" w:eastAsia="zh-CN"/>
              </w:rPr>
              <w:fldChar w:fldCharType="begin"/>
            </w:r>
            <w:r>
              <w:rPr>
                <w:rFonts w:hint="default" w:ascii="Times New Roman" w:hAnsi="Times New Roman" w:cs="Times New Roman"/>
                <w:b w:val="0"/>
                <w:bCs w:val="0"/>
                <w:color w:val="auto"/>
                <w:sz w:val="21"/>
                <w:szCs w:val="21"/>
                <w:highlight w:val="none"/>
                <w:u w:val="none"/>
                <w:lang w:val="en-US" w:eastAsia="zh-CN"/>
              </w:rPr>
              <w:instrText xml:space="preserve"> = 4 \* ROMAN \* MERGEFORMAT </w:instrText>
            </w:r>
            <w:r>
              <w:rPr>
                <w:rFonts w:hint="default" w:ascii="Times New Roman" w:hAnsi="Times New Roman" w:cs="Times New Roman"/>
                <w:b w:val="0"/>
                <w:bCs w:val="0"/>
                <w:color w:val="auto"/>
                <w:sz w:val="21"/>
                <w:szCs w:val="21"/>
                <w:highlight w:val="none"/>
                <w:u w:val="none"/>
                <w:lang w:val="en-US" w:eastAsia="zh-CN"/>
              </w:rPr>
              <w:fldChar w:fldCharType="separate"/>
            </w:r>
            <w:r>
              <w:rPr>
                <w:rFonts w:hint="default" w:ascii="Times New Roman" w:hAnsi="Times New Roman" w:cs="Times New Roman"/>
                <w:color w:val="auto"/>
              </w:rPr>
              <w:t>IV</w:t>
            </w:r>
            <w:r>
              <w:rPr>
                <w:rFonts w:hint="default" w:ascii="Times New Roman" w:hAnsi="Times New Roman" w:cs="Times New Roman"/>
                <w:b w:val="0"/>
                <w:bCs w:val="0"/>
                <w:color w:val="auto"/>
                <w:sz w:val="21"/>
                <w:szCs w:val="21"/>
                <w:highlight w:val="none"/>
                <w:u w:val="none"/>
                <w:lang w:val="en-US" w:eastAsia="zh-CN"/>
              </w:rPr>
              <w:fldChar w:fldCharType="end"/>
            </w:r>
            <w:r>
              <w:rPr>
                <w:rFonts w:hint="default" w:ascii="Times New Roman" w:hAnsi="Times New Roman" w:cs="Times New Roman"/>
                <w:b w:val="0"/>
                <w:bCs w:val="0"/>
                <w:color w:val="auto"/>
                <w:sz w:val="21"/>
                <w:szCs w:val="21"/>
                <w:highlight w:val="none"/>
                <w:u w:val="none"/>
                <w:lang w:val="en-US" w:eastAsia="zh-CN"/>
              </w:rPr>
              <w:t>类标准。根据新乡市环境监测站对民生渠入共渠口断面的监测2023年5月均值数据见下表</w:t>
            </w:r>
            <w:r>
              <w:rPr>
                <w:rFonts w:hint="default" w:ascii="Times New Roman" w:hAnsi="Times New Roman" w:cs="Times New Roman"/>
                <w:b w:val="0"/>
                <w:bCs w:val="0"/>
                <w:color w:val="auto"/>
                <w:sz w:val="21"/>
                <w:szCs w:val="21"/>
                <w:highlight w:val="none"/>
                <w:u w:val="none"/>
                <w:lang w:eastAsia="zh-CN"/>
              </w:rPr>
              <w:t>。</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民生渠入共渠口断面监测数据监测数据</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973"/>
              <w:gridCol w:w="2000"/>
              <w:gridCol w:w="2000"/>
              <w:gridCol w:w="2001"/>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2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监测因子</w:t>
                  </w:r>
                </w:p>
              </w:tc>
              <w:tc>
                <w:tcPr>
                  <w:tcW w:w="12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rPr>
                    <w:t>COD</w:t>
                  </w:r>
                  <w:r>
                    <w:rPr>
                      <w:rFonts w:hint="default" w:ascii="Times New Roman" w:hAnsi="Times New Roman" w:cs="Times New Roman"/>
                      <w:b w:val="0"/>
                      <w:bCs/>
                      <w:color w:val="auto"/>
                      <w:sz w:val="18"/>
                      <w:szCs w:val="18"/>
                      <w:highlight w:val="none"/>
                      <w:lang w:eastAsia="zh-CN"/>
                    </w:rPr>
                    <w:t>（</w:t>
                  </w:r>
                  <w:r>
                    <w:rPr>
                      <w:rFonts w:hint="default" w:ascii="Times New Roman" w:hAnsi="Times New Roman" w:cs="Times New Roman"/>
                      <w:b w:val="0"/>
                      <w:bCs/>
                      <w:color w:val="auto"/>
                      <w:sz w:val="18"/>
                      <w:szCs w:val="18"/>
                      <w:highlight w:val="none"/>
                      <w:lang w:val="en-US" w:eastAsia="zh-CN"/>
                    </w:rPr>
                    <w:t>mg/L</w:t>
                  </w:r>
                  <w:r>
                    <w:rPr>
                      <w:rFonts w:hint="default" w:ascii="Times New Roman" w:hAnsi="Times New Roman" w:cs="Times New Roman"/>
                      <w:b w:val="0"/>
                      <w:bCs/>
                      <w:color w:val="auto"/>
                      <w:sz w:val="18"/>
                      <w:szCs w:val="18"/>
                      <w:highlight w:val="none"/>
                      <w:lang w:eastAsia="zh-CN"/>
                    </w:rPr>
                    <w:t>）</w:t>
                  </w:r>
                </w:p>
              </w:tc>
              <w:tc>
                <w:tcPr>
                  <w:tcW w:w="12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NH</w:t>
                  </w:r>
                  <w:r>
                    <w:rPr>
                      <w:rFonts w:hint="default" w:ascii="Times New Roman" w:hAnsi="Times New Roman" w:cs="Times New Roman"/>
                      <w:b w:val="0"/>
                      <w:bCs/>
                      <w:color w:val="auto"/>
                      <w:sz w:val="18"/>
                      <w:szCs w:val="18"/>
                      <w:highlight w:val="none"/>
                      <w:vertAlign w:val="subscript"/>
                    </w:rPr>
                    <w:t>3</w:t>
                  </w:r>
                  <w:r>
                    <w:rPr>
                      <w:rFonts w:hint="default" w:ascii="Times New Roman" w:hAnsi="Times New Roman" w:cs="Times New Roman"/>
                      <w:b w:val="0"/>
                      <w:bCs/>
                      <w:color w:val="auto"/>
                      <w:sz w:val="18"/>
                      <w:szCs w:val="18"/>
                      <w:highlight w:val="none"/>
                    </w:rPr>
                    <w:t>-N</w:t>
                  </w:r>
                  <w:r>
                    <w:rPr>
                      <w:rFonts w:hint="default" w:ascii="Times New Roman" w:hAnsi="Times New Roman" w:cs="Times New Roman"/>
                      <w:b w:val="0"/>
                      <w:bCs/>
                      <w:color w:val="auto"/>
                      <w:sz w:val="18"/>
                      <w:szCs w:val="18"/>
                      <w:highlight w:val="none"/>
                      <w:lang w:eastAsia="zh-CN"/>
                    </w:rPr>
                    <w:t>（</w:t>
                  </w:r>
                  <w:r>
                    <w:rPr>
                      <w:rFonts w:hint="default" w:ascii="Times New Roman" w:hAnsi="Times New Roman" w:cs="Times New Roman"/>
                      <w:b w:val="0"/>
                      <w:bCs/>
                      <w:color w:val="auto"/>
                      <w:sz w:val="18"/>
                      <w:szCs w:val="18"/>
                      <w:highlight w:val="none"/>
                      <w:lang w:val="en-US" w:eastAsia="zh-CN"/>
                    </w:rPr>
                    <w:t>mg/L</w:t>
                  </w:r>
                  <w:r>
                    <w:rPr>
                      <w:rFonts w:hint="default" w:ascii="Times New Roman" w:hAnsi="Times New Roman" w:cs="Times New Roman"/>
                      <w:b w:val="0"/>
                      <w:bCs/>
                      <w:color w:val="auto"/>
                      <w:sz w:val="18"/>
                      <w:szCs w:val="18"/>
                      <w:highlight w:val="none"/>
                      <w:lang w:eastAsia="zh-CN"/>
                    </w:rPr>
                    <w:t>）</w:t>
                  </w:r>
                </w:p>
              </w:tc>
              <w:tc>
                <w:tcPr>
                  <w:tcW w:w="12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TP</w:t>
                  </w:r>
                  <w:r>
                    <w:rPr>
                      <w:rFonts w:hint="default" w:ascii="Times New Roman" w:hAnsi="Times New Roman" w:cs="Times New Roman"/>
                      <w:b w:val="0"/>
                      <w:bCs/>
                      <w:color w:val="auto"/>
                      <w:sz w:val="18"/>
                      <w:szCs w:val="18"/>
                      <w:highlight w:val="none"/>
                      <w:lang w:eastAsia="zh-CN"/>
                    </w:rPr>
                    <w:t>（</w:t>
                  </w:r>
                  <w:r>
                    <w:rPr>
                      <w:rFonts w:hint="default" w:ascii="Times New Roman" w:hAnsi="Times New Roman" w:cs="Times New Roman"/>
                      <w:b w:val="0"/>
                      <w:bCs/>
                      <w:color w:val="auto"/>
                      <w:sz w:val="18"/>
                      <w:szCs w:val="18"/>
                      <w:highlight w:val="none"/>
                      <w:lang w:val="en-US" w:eastAsia="zh-CN"/>
                    </w:rPr>
                    <w:t>mg/L</w:t>
                  </w:r>
                  <w:r>
                    <w:rPr>
                      <w:rFonts w:hint="default" w:ascii="Times New Roman" w:hAnsi="Times New Roman" w:cs="Times New Roman"/>
                      <w:b w:val="0"/>
                      <w:bCs/>
                      <w:color w:val="auto"/>
                      <w:sz w:val="18"/>
                      <w:szCs w:val="18"/>
                      <w:highlight w:val="none"/>
                      <w:lang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2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监测数据</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28.8</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0.9</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2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断面标准</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rPr>
                    <w:t>30</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rPr>
                    <w:t>1.5</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rPr>
                    <w:t>0.3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2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达标情况</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color w:val="auto"/>
                      <w:sz w:val="18"/>
                      <w:szCs w:val="18"/>
                      <w:highlight w:val="none"/>
                      <w:lang w:eastAsia="zh-CN"/>
                    </w:rPr>
                    <w:t>达标</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lang w:eastAsia="zh-CN"/>
                    </w:rPr>
                    <w:t>达标</w:t>
                  </w:r>
                </w:p>
              </w:tc>
              <w:tc>
                <w:tcPr>
                  <w:tcW w:w="20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color w:val="auto"/>
                      <w:sz w:val="18"/>
                      <w:szCs w:val="18"/>
                      <w:highlight w:val="none"/>
                      <w:lang w:eastAsia="zh-CN"/>
                    </w:rPr>
                    <w:t>达标</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 w:val="0"/>
                <w:bCs w:val="0"/>
                <w:color w:val="auto"/>
                <w:sz w:val="21"/>
                <w:szCs w:val="21"/>
                <w:highlight w:val="none"/>
                <w:u w:val="none"/>
              </w:rPr>
              <w:t>根据上表监测数据显示，</w:t>
            </w:r>
            <w:r>
              <w:rPr>
                <w:rFonts w:hint="default" w:ascii="Times New Roman" w:hAnsi="Times New Roman" w:cs="Times New Roman"/>
                <w:b w:val="0"/>
                <w:bCs w:val="0"/>
                <w:color w:val="auto"/>
                <w:sz w:val="21"/>
                <w:szCs w:val="21"/>
                <w:highlight w:val="none"/>
                <w:u w:val="none"/>
                <w:lang w:eastAsia="zh-CN"/>
              </w:rPr>
              <w:t>目前民生渠入共渠口断面COD、NH</w:t>
            </w:r>
            <w:r>
              <w:rPr>
                <w:rFonts w:hint="default" w:ascii="Times New Roman" w:hAnsi="Times New Roman" w:cs="Times New Roman"/>
                <w:b w:val="0"/>
                <w:bCs w:val="0"/>
                <w:color w:val="auto"/>
                <w:sz w:val="21"/>
                <w:szCs w:val="21"/>
                <w:highlight w:val="none"/>
                <w:u w:val="none"/>
                <w:vertAlign w:val="subscript"/>
                <w:lang w:eastAsia="zh-CN"/>
              </w:rPr>
              <w:t>3</w:t>
            </w:r>
            <w:r>
              <w:rPr>
                <w:rFonts w:hint="default" w:ascii="Times New Roman" w:hAnsi="Times New Roman" w:cs="Times New Roman"/>
                <w:b w:val="0"/>
                <w:bCs w:val="0"/>
                <w:color w:val="auto"/>
                <w:sz w:val="21"/>
                <w:szCs w:val="21"/>
                <w:highlight w:val="none"/>
                <w:u w:val="none"/>
                <w:lang w:eastAsia="zh-CN"/>
              </w:rPr>
              <w:t>-N、TP浓度均能够满足《地表水环境质量标准》（GB3838-2002）</w:t>
            </w:r>
            <w:r>
              <w:rPr>
                <w:rFonts w:hint="default" w:ascii="Times New Roman" w:hAnsi="Times New Roman" w:cs="Times New Roman"/>
                <w:b w:val="0"/>
                <w:bCs w:val="0"/>
                <w:color w:val="auto"/>
                <w:sz w:val="21"/>
                <w:szCs w:val="21"/>
                <w:highlight w:val="none"/>
                <w:u w:val="none"/>
                <w:lang w:eastAsia="zh-CN"/>
              </w:rPr>
              <w:fldChar w:fldCharType="begin"/>
            </w:r>
            <w:r>
              <w:rPr>
                <w:rFonts w:hint="default" w:ascii="Times New Roman" w:hAnsi="Times New Roman" w:cs="Times New Roman"/>
                <w:b w:val="0"/>
                <w:bCs w:val="0"/>
                <w:color w:val="auto"/>
                <w:sz w:val="21"/>
                <w:szCs w:val="21"/>
                <w:highlight w:val="none"/>
                <w:u w:val="none"/>
                <w:lang w:eastAsia="zh-CN"/>
              </w:rPr>
              <w:instrText xml:space="preserve"> = 4 \* ROMAN \* MERGEFORMAT </w:instrText>
            </w:r>
            <w:r>
              <w:rPr>
                <w:rFonts w:hint="default" w:ascii="Times New Roman" w:hAnsi="Times New Roman" w:cs="Times New Roman"/>
                <w:b w:val="0"/>
                <w:bCs w:val="0"/>
                <w:color w:val="auto"/>
                <w:sz w:val="21"/>
                <w:szCs w:val="21"/>
                <w:highlight w:val="none"/>
                <w:u w:val="none"/>
                <w:lang w:eastAsia="zh-CN"/>
              </w:rPr>
              <w:fldChar w:fldCharType="separate"/>
            </w:r>
            <w:r>
              <w:rPr>
                <w:rFonts w:hint="default" w:ascii="Times New Roman" w:hAnsi="Times New Roman" w:cs="Times New Roman"/>
                <w:color w:val="auto"/>
              </w:rPr>
              <w:t>IV</w:t>
            </w:r>
            <w:r>
              <w:rPr>
                <w:rFonts w:hint="default" w:ascii="Times New Roman" w:hAnsi="Times New Roman" w:cs="Times New Roman"/>
                <w:b w:val="0"/>
                <w:bCs w:val="0"/>
                <w:color w:val="auto"/>
                <w:sz w:val="21"/>
                <w:szCs w:val="21"/>
                <w:highlight w:val="none"/>
                <w:u w:val="none"/>
                <w:lang w:eastAsia="zh-CN"/>
              </w:rPr>
              <w:fldChar w:fldCharType="end"/>
            </w:r>
            <w:r>
              <w:rPr>
                <w:rFonts w:hint="default" w:ascii="Times New Roman" w:hAnsi="Times New Roman" w:cs="Times New Roman"/>
                <w:b w:val="0"/>
                <w:bCs w:val="0"/>
                <w:color w:val="auto"/>
                <w:sz w:val="21"/>
                <w:szCs w:val="21"/>
                <w:highlight w:val="none"/>
                <w:u w:val="none"/>
                <w:lang w:eastAsia="zh-CN"/>
              </w:rPr>
              <w:t>类水质要求</w:t>
            </w:r>
            <w:r>
              <w:rPr>
                <w:rFonts w:hint="default" w:ascii="Times New Roman" w:hAnsi="Times New Roman" w:cs="Times New Roman"/>
                <w:color w:val="auto"/>
                <w:kern w:val="0"/>
                <w:sz w:val="21"/>
                <w:szCs w:val="21"/>
                <w:highlight w:val="none"/>
                <w:lang w:eastAsia="zh-CN"/>
              </w:rPr>
              <w:t>。目前新乡市正在推进实施《新乡市2023年碧水保卫战实施方案》（</w:t>
            </w:r>
            <w:r>
              <w:rPr>
                <w:rFonts w:hint="default" w:ascii="Times New Roman" w:hAnsi="Times New Roman" w:cs="Times New Roman"/>
                <w:b w:val="0"/>
                <w:bCs w:val="0"/>
                <w:color w:val="auto"/>
                <w:sz w:val="21"/>
                <w:szCs w:val="21"/>
                <w:highlight w:val="none"/>
                <w:u w:val="none"/>
                <w:lang w:eastAsia="zh-CN"/>
              </w:rPr>
              <w:t>新环攻坚办〔2023〕</w:t>
            </w:r>
            <w:r>
              <w:rPr>
                <w:rFonts w:hint="default" w:ascii="Times New Roman" w:hAnsi="Times New Roman" w:cs="Times New Roman"/>
                <w:b w:val="0"/>
                <w:bCs w:val="0"/>
                <w:color w:val="auto"/>
                <w:sz w:val="21"/>
                <w:szCs w:val="21"/>
                <w:highlight w:val="none"/>
                <w:u w:val="none"/>
                <w:lang w:val="en-US" w:eastAsia="zh-CN"/>
              </w:rPr>
              <w:t>66</w:t>
            </w:r>
            <w:r>
              <w:rPr>
                <w:rFonts w:hint="default" w:ascii="Times New Roman" w:hAnsi="Times New Roman" w:cs="Times New Roman"/>
                <w:b w:val="0"/>
                <w:bCs w:val="0"/>
                <w:color w:val="auto"/>
                <w:sz w:val="21"/>
                <w:szCs w:val="21"/>
                <w:highlight w:val="none"/>
                <w:u w:val="none"/>
                <w:lang w:eastAsia="zh-CN"/>
              </w:rPr>
              <w:t>号</w:t>
            </w:r>
            <w:r>
              <w:rPr>
                <w:rFonts w:hint="default" w:ascii="Times New Roman" w:hAnsi="Times New Roman" w:cs="Times New Roman"/>
                <w:color w:val="auto"/>
                <w:kern w:val="0"/>
                <w:sz w:val="21"/>
                <w:szCs w:val="21"/>
                <w:highlight w:val="none"/>
                <w:lang w:eastAsia="zh-CN"/>
              </w:rPr>
              <w:t>）等一系列方案，将进一步改善新乡市水环境质量。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声环境质量现状</w:t>
            </w:r>
          </w:p>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根据声环境功能区划，项目所在区域属于</w:t>
            </w:r>
            <w:r>
              <w:rPr>
                <w:rFonts w:hint="default" w:ascii="Times New Roman" w:hAnsi="Times New Roman" w:cs="Times New Roman"/>
                <w:color w:val="auto"/>
                <w:kern w:val="0"/>
                <w:sz w:val="21"/>
                <w:szCs w:val="21"/>
                <w:highlight w:val="none"/>
                <w:lang w:val="en-US" w:eastAsia="zh-CN"/>
              </w:rPr>
              <w:t>3</w:t>
            </w:r>
            <w:r>
              <w:rPr>
                <w:rFonts w:hint="default" w:ascii="Times New Roman" w:hAnsi="Times New Roman" w:cs="Times New Roman"/>
                <w:color w:val="auto"/>
                <w:kern w:val="0"/>
                <w:sz w:val="21"/>
                <w:szCs w:val="21"/>
                <w:highlight w:val="none"/>
                <w:lang w:eastAsia="zh-CN"/>
              </w:rPr>
              <w:t>类声环境功能区，应当执行《声环境质量标准》（GB3096-2008）</w:t>
            </w:r>
            <w:r>
              <w:rPr>
                <w:rFonts w:hint="default" w:ascii="Times New Roman" w:hAnsi="Times New Roman" w:cs="Times New Roman"/>
                <w:color w:val="auto"/>
                <w:kern w:val="0"/>
                <w:sz w:val="21"/>
                <w:szCs w:val="21"/>
                <w:highlight w:val="none"/>
                <w:lang w:val="en-US" w:eastAsia="zh-CN"/>
              </w:rPr>
              <w:t>3</w:t>
            </w:r>
            <w:r>
              <w:rPr>
                <w:rFonts w:hint="default" w:ascii="Times New Roman" w:hAnsi="Times New Roman" w:cs="Times New Roman"/>
                <w:color w:val="auto"/>
                <w:kern w:val="0"/>
                <w:sz w:val="21"/>
                <w:szCs w:val="21"/>
                <w:highlight w:val="none"/>
                <w:lang w:eastAsia="zh-CN"/>
              </w:rPr>
              <w:t>类标准（昼间≤6</w:t>
            </w: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eastAsia="zh-CN"/>
              </w:rPr>
              <w:t>dB（A）夜间≤5</w:t>
            </w: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eastAsia="zh-CN"/>
              </w:rPr>
              <w:t>dB（A））。根据《建设项目环境影响报告表编制技术指南（污染影响类）（试行）》，厂界外周边50米范围内存在声环境保护目标的建设项目，应监测保护目标声环境质量现状并评价达标情况。根据现场踏勘，厂界外周边50米范围内不存在声环境保护目标，故未监测保护目标声环境质量现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4、地下水、土壤环境质量现状</w:t>
            </w:r>
          </w:p>
          <w:p>
            <w:pPr>
              <w:bidi w:val="0"/>
              <w:rPr>
                <w:rFonts w:hint="default" w:ascii="Times New Roman" w:hAnsi="Times New Roman" w:cs="Times New Roman"/>
                <w:color w:val="auto"/>
              </w:rPr>
            </w:pPr>
            <w:r>
              <w:rPr>
                <w:rFonts w:hint="default" w:ascii="Times New Roman" w:hAnsi="Times New Roman" w:cs="Times New Roman"/>
                <w:color w:val="auto"/>
              </w:rPr>
              <w:t>根据《建设项目环境影响报告表编制技术指南（污染影响类）》（试行），地下水、土壤原则上不开展环境质量现状调查。建设项目存在土壤、地下水环境污染途径的，应结合污染源、保护目标分布情况开展现状调查以留作背景值。</w:t>
            </w:r>
          </w:p>
          <w:p>
            <w:pPr>
              <w:bidi w:val="0"/>
              <w:rPr>
                <w:rFonts w:hint="default" w:ascii="Times New Roman" w:hAnsi="Times New Roman" w:cs="Times New Roman"/>
                <w:b/>
                <w:color w:val="auto"/>
                <w:sz w:val="21"/>
                <w:szCs w:val="21"/>
                <w:highlight w:val="none"/>
              </w:rPr>
            </w:pPr>
            <w:r>
              <w:rPr>
                <w:rFonts w:hint="default" w:ascii="Times New Roman" w:hAnsi="Times New Roman" w:cs="Times New Roman"/>
                <w:color w:val="auto"/>
              </w:rPr>
              <w:t>本项目在现有厂房内进行建设，生产车间内已硬化，且本项目不涉及有毒、有害原料使用</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项目生产过程产生的废气污染物主要为颗粒物和非甲烷总烃，产生的颗粒物废气采用脉冲袋式除尘器处理后，经15m高排气筒排放；产生的非甲烷总烃废气采用“</w:t>
            </w:r>
            <w:r>
              <w:rPr>
                <w:rFonts w:hint="default" w:ascii="Times New Roman" w:hAnsi="Times New Roman" w:cs="Times New Roman"/>
                <w:color w:val="auto"/>
                <w:highlight w:val="none"/>
                <w:lang w:val="en-US" w:eastAsia="zh-CN"/>
              </w:rPr>
              <w:t>UV光催化氧化+活性炭吸附</w:t>
            </w:r>
            <w:r>
              <w:rPr>
                <w:rFonts w:hint="default" w:ascii="Times New Roman" w:hAnsi="Times New Roman" w:cs="Times New Roman"/>
                <w:color w:val="auto"/>
                <w:highlight w:val="none"/>
                <w:lang w:eastAsia="zh-CN"/>
              </w:rPr>
              <w:t>”装置处理后，经15m高排气筒达标排放。项目外排废水主要为生活污水，经化粪池处理后，近期定期清运，远期排入新乡市凤泉区污水处理厂进一步处理。项目</w:t>
            </w:r>
            <w:r>
              <w:rPr>
                <w:rFonts w:hint="default" w:ascii="Times New Roman" w:hAnsi="Times New Roman" w:cs="Times New Roman"/>
                <w:color w:val="auto"/>
                <w:highlight w:val="none"/>
              </w:rPr>
              <w:t>不存在地下水、土壤污染途径，因此本次评价不再进行地下水、土壤质量现状调查。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、生态环境质量现状</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根据调查，评价区域内生态环境主要以人工生态环境为主，主要植被为人工栽培的树木以及农作物，区域内无珍稀野生植被和野生动物。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8"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目标</w:t>
            </w:r>
          </w:p>
        </w:tc>
        <w:tc>
          <w:tcPr>
            <w:tcW w:w="819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项目租赁新乡市凤泉区陈堡工业区</w:t>
            </w:r>
            <w:r>
              <w:rPr>
                <w:rFonts w:hint="default" w:ascii="Times New Roman" w:hAnsi="Times New Roman" w:cs="Times New Roman"/>
                <w:color w:val="auto"/>
                <w:kern w:val="0"/>
                <w:szCs w:val="21"/>
                <w:highlight w:val="none"/>
                <w:lang w:eastAsia="zh-CN"/>
              </w:rPr>
              <w:t>现有厂区及厂房</w:t>
            </w:r>
            <w:r>
              <w:rPr>
                <w:rFonts w:hint="default" w:ascii="Times New Roman" w:hAnsi="Times New Roman" w:cs="Times New Roman"/>
                <w:color w:val="auto"/>
                <w:kern w:val="0"/>
                <w:szCs w:val="21"/>
                <w:highlight w:val="none"/>
              </w:rPr>
              <w:t>进行建设，租赁协议见附件三。根据现场勘查，项目</w:t>
            </w:r>
            <w:r>
              <w:rPr>
                <w:rFonts w:hint="default" w:ascii="Times New Roman" w:hAnsi="Times New Roman" w:cs="Times New Roman"/>
                <w:color w:val="auto"/>
                <w:kern w:val="0"/>
                <w:szCs w:val="21"/>
                <w:highlight w:val="none"/>
                <w:lang w:eastAsia="zh-CN"/>
              </w:rPr>
              <w:t>厂区</w:t>
            </w:r>
            <w:r>
              <w:rPr>
                <w:rFonts w:hint="default" w:ascii="Times New Roman" w:hAnsi="Times New Roman" w:cs="Times New Roman"/>
                <w:color w:val="auto"/>
                <w:kern w:val="0"/>
                <w:szCs w:val="21"/>
                <w:highlight w:val="none"/>
              </w:rPr>
              <w:t>北侧隔路为</w:t>
            </w:r>
            <w:r>
              <w:rPr>
                <w:rFonts w:hint="default" w:ascii="Times New Roman" w:hAnsi="Times New Roman" w:cs="Times New Roman"/>
                <w:color w:val="auto"/>
                <w:kern w:val="0"/>
                <w:szCs w:val="21"/>
                <w:highlight w:val="none"/>
                <w:lang w:eastAsia="zh-CN"/>
              </w:rPr>
              <w:t>河南奥创机械设备有限公司、新乡市西贝机械有限公司、新乡市利华新能源有限公司，东侧为河南九牛新能源科技有限公司、新乡市伟鹏油脂有限公司，南侧为新乡市明哲电源材料有限公司，西侧为新乡市宏泰混凝土有限公司。距离项目最近居民点为西北侧</w:t>
            </w:r>
            <w:r>
              <w:rPr>
                <w:rFonts w:hint="default" w:ascii="Times New Roman" w:hAnsi="Times New Roman" w:cs="Times New Roman"/>
                <w:color w:val="auto"/>
                <w:kern w:val="0"/>
                <w:szCs w:val="21"/>
                <w:highlight w:val="none"/>
                <w:lang w:val="en-US" w:eastAsia="zh-CN"/>
              </w:rPr>
              <w:t>520</w:t>
            </w:r>
            <w:r>
              <w:rPr>
                <w:rFonts w:hint="default" w:ascii="Times New Roman" w:hAnsi="Times New Roman" w:cs="Times New Roman"/>
                <w:color w:val="auto"/>
                <w:kern w:val="0"/>
                <w:szCs w:val="21"/>
                <w:highlight w:val="none"/>
              </w:rPr>
              <w:t>m的</w:t>
            </w:r>
            <w:r>
              <w:rPr>
                <w:rFonts w:hint="default" w:ascii="Times New Roman" w:hAnsi="Times New Roman" w:cs="Times New Roman"/>
                <w:color w:val="auto"/>
                <w:kern w:val="0"/>
                <w:szCs w:val="21"/>
                <w:highlight w:val="none"/>
                <w:lang w:eastAsia="zh-CN"/>
              </w:rPr>
              <w:t>陈堡村</w:t>
            </w:r>
            <w:r>
              <w:rPr>
                <w:rFonts w:hint="default" w:ascii="Times New Roman" w:hAnsi="Times New Roman" w:cs="Times New Roman"/>
                <w:color w:val="auto"/>
                <w:kern w:val="0"/>
                <w:szCs w:val="21"/>
                <w:highlight w:val="none"/>
              </w:rPr>
              <w:t>，距离项目最近的地表水体为</w:t>
            </w:r>
            <w:r>
              <w:rPr>
                <w:rFonts w:hint="default" w:ascii="Times New Roman" w:hAnsi="Times New Roman" w:cs="Times New Roman"/>
                <w:color w:val="auto"/>
                <w:kern w:val="0"/>
                <w:szCs w:val="21"/>
                <w:highlight w:val="none"/>
                <w:lang w:eastAsia="zh-CN"/>
              </w:rPr>
              <w:t>南</w:t>
            </w:r>
            <w:r>
              <w:rPr>
                <w:rFonts w:hint="default" w:ascii="Times New Roman" w:hAnsi="Times New Roman" w:cs="Times New Roman"/>
                <w:color w:val="auto"/>
                <w:kern w:val="0"/>
                <w:szCs w:val="21"/>
                <w:highlight w:val="none"/>
                <w:lang w:val="en-US" w:eastAsia="zh-CN"/>
              </w:rPr>
              <w:t>725</w:t>
            </w:r>
            <w:r>
              <w:rPr>
                <w:rFonts w:hint="default" w:ascii="Times New Roman" w:hAnsi="Times New Roman" w:cs="Times New Roman"/>
                <w:color w:val="auto"/>
                <w:kern w:val="0"/>
                <w:szCs w:val="21"/>
                <w:highlight w:val="none"/>
              </w:rPr>
              <w:t>m处的</w:t>
            </w:r>
            <w:r>
              <w:rPr>
                <w:rFonts w:hint="default" w:ascii="Times New Roman" w:hAnsi="Times New Roman" w:cs="Times New Roman"/>
                <w:color w:val="auto"/>
                <w:kern w:val="0"/>
                <w:szCs w:val="21"/>
                <w:highlight w:val="none"/>
                <w:lang w:eastAsia="zh-CN"/>
              </w:rPr>
              <w:t>民生渠</w:t>
            </w:r>
            <w:r>
              <w:rPr>
                <w:rFonts w:hint="default" w:ascii="Times New Roman" w:hAnsi="Times New Roman" w:cs="Times New Roman"/>
                <w:color w:val="auto"/>
                <w:kern w:val="0"/>
                <w:szCs w:val="21"/>
                <w:highlight w:val="none"/>
              </w:rPr>
              <w:t>。</w:t>
            </w:r>
            <w:r>
              <w:rPr>
                <w:rFonts w:hint="default" w:ascii="Times New Roman" w:hAnsi="Times New Roman" w:eastAsia="宋体" w:cs="Times New Roman"/>
                <w:color w:val="auto"/>
                <w:kern w:val="0"/>
                <w:szCs w:val="21"/>
                <w:highlight w:val="none"/>
                <w:lang w:eastAsia="zh-CN"/>
              </w:rPr>
              <w:t>项目周边环境</w:t>
            </w:r>
            <w:r>
              <w:rPr>
                <w:rFonts w:hint="default" w:ascii="Times New Roman" w:hAnsi="Times New Roman" w:cs="Times New Roman"/>
                <w:color w:val="auto"/>
                <w:kern w:val="0"/>
                <w:szCs w:val="21"/>
                <w:highlight w:val="none"/>
                <w:lang w:eastAsia="zh-CN"/>
              </w:rPr>
              <w:t>详见附图二。</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根据现场调查，拟建项目环境保护目标详见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项目主要环境保护目标一览表</w:t>
            </w:r>
          </w:p>
          <w:tbl>
            <w:tblPr>
              <w:tblStyle w:val="22"/>
              <w:tblW w:w="5000"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2187"/>
              <w:gridCol w:w="1144"/>
              <w:gridCol w:w="1072"/>
              <w:gridCol w:w="2370"/>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环境要素</w:t>
                  </w:r>
                </w:p>
              </w:tc>
              <w:tc>
                <w:tcPr>
                  <w:tcW w:w="1371"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环境保护对象名称</w:t>
                  </w:r>
                </w:p>
              </w:tc>
              <w:tc>
                <w:tcPr>
                  <w:tcW w:w="717"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方位</w:t>
                  </w:r>
                </w:p>
              </w:tc>
              <w:tc>
                <w:tcPr>
                  <w:tcW w:w="672"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距离（m）</w:t>
                  </w:r>
                </w:p>
              </w:tc>
              <w:tc>
                <w:tcPr>
                  <w:tcW w:w="1486"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保护目标及保护等级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环境空气</w:t>
                  </w:r>
                </w:p>
              </w:tc>
              <w:tc>
                <w:tcPr>
                  <w:tcW w:w="2760" w:type="pct"/>
                  <w:gridSpan w:val="3"/>
                  <w:noWrap w:val="0"/>
                  <w:vAlign w:val="center"/>
                </w:tcPr>
                <w:p>
                  <w:pPr>
                    <w:pStyle w:val="38"/>
                    <w:keepNext w:val="0"/>
                    <w:pageBreakBefore w:val="0"/>
                    <w:kinsoku/>
                    <w:wordWrap/>
                    <w:overflowPunct/>
                    <w:topLinePunct w:val="0"/>
                    <w:autoSpaceDE/>
                    <w:autoSpaceDN/>
                    <w:bidi w:val="0"/>
                    <w:adjustRightInd/>
                    <w:snapToGrid/>
                    <w:spacing w:line="320" w:lineRule="exact"/>
                    <w:ind w:left="0" w:leftChars="0" w:right="0" w:rightChars="0" w:firstLine="0" w:firstLineChars="0"/>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500m范围内无环境敏感点</w:t>
                  </w:r>
                </w:p>
              </w:tc>
              <w:tc>
                <w:tcPr>
                  <w:tcW w:w="1486"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rPr>
                    <w:t>《环境空气质量标准》（GB3095-2012） 二级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w:t>
                  </w:r>
                </w:p>
              </w:tc>
              <w:tc>
                <w:tcPr>
                  <w:tcW w:w="2760" w:type="pct"/>
                  <w:gridSpan w:val="3"/>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50m范围内无环境敏感点</w:t>
                  </w:r>
                </w:p>
              </w:tc>
              <w:tc>
                <w:tcPr>
                  <w:tcW w:w="1486"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《声环境质量标准》（GB3096-2008）</w:t>
                  </w: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类标准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3"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地表水</w:t>
                  </w:r>
                  <w:r>
                    <w:rPr>
                      <w:rFonts w:hint="default" w:ascii="Times New Roman" w:hAnsi="Times New Roman" w:cs="Times New Roman"/>
                      <w:color w:val="auto"/>
                      <w:sz w:val="18"/>
                      <w:szCs w:val="18"/>
                      <w:highlight w:val="none"/>
                      <w:lang w:eastAsia="zh-CN"/>
                    </w:rPr>
                    <w:t>环境</w:t>
                  </w:r>
                </w:p>
              </w:tc>
              <w:tc>
                <w:tcPr>
                  <w:tcW w:w="13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民生渠</w:t>
                  </w:r>
                </w:p>
              </w:tc>
              <w:tc>
                <w:tcPr>
                  <w:tcW w:w="7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w:t>
                  </w:r>
                </w:p>
              </w:tc>
              <w:tc>
                <w:tcPr>
                  <w:tcW w:w="6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725</w:t>
                  </w:r>
                </w:p>
              </w:tc>
              <w:tc>
                <w:tcPr>
                  <w:tcW w:w="1486" w:type="pct"/>
                  <w:noWrap w:val="0"/>
                  <w:vAlign w:val="center"/>
                </w:tcPr>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《地表水环境质量准》</w:t>
                  </w:r>
                </w:p>
                <w:p>
                  <w:pPr>
                    <w:pStyle w:val="38"/>
                    <w:keepNext w:val="0"/>
                    <w:pageBreakBefore w:val="0"/>
                    <w:kinsoku/>
                    <w:wordWrap/>
                    <w:overflowPunct/>
                    <w:topLinePunct w:val="0"/>
                    <w:autoSpaceDE/>
                    <w:autoSpaceDN/>
                    <w:bidi w:val="0"/>
                    <w:adjustRightInd/>
                    <w:snapToGrid/>
                    <w:spacing w:line="320" w:lineRule="exact"/>
                    <w:ind w:left="0" w:right="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（GB3838-2002）</w:t>
                  </w:r>
                  <w:r>
                    <w:rPr>
                      <w:rFonts w:hint="default" w:ascii="Times New Roman" w:hAnsi="Times New Roman" w:cs="Times New Roman"/>
                      <w:b w:val="0"/>
                      <w:bCs w:val="0"/>
                      <w:color w:val="auto"/>
                      <w:sz w:val="18"/>
                      <w:szCs w:val="18"/>
                      <w:highlight w:val="none"/>
                      <w:u w:val="none"/>
                      <w:lang w:eastAsia="zh-CN"/>
                    </w:rPr>
                    <w:t>Ⅳ</w:t>
                  </w:r>
                  <w:r>
                    <w:rPr>
                      <w:rFonts w:hint="default" w:ascii="Times New Roman" w:hAnsi="Times New Roman" w:cs="Times New Roman"/>
                      <w:color w:val="auto"/>
                      <w:sz w:val="18"/>
                      <w:szCs w:val="18"/>
                      <w:highlight w:val="none"/>
                    </w:rPr>
                    <w:t>类</w:t>
                  </w:r>
                </w:p>
              </w:tc>
            </w:tr>
          </w:tbl>
          <w:p>
            <w:pPr>
              <w:autoSpaceDE w:val="0"/>
              <w:autoSpaceDN w:val="0"/>
              <w:adjustRightInd w:val="0"/>
              <w:snapToGrid w:val="0"/>
              <w:spacing w:line="400" w:lineRule="exact"/>
              <w:rPr>
                <w:rFonts w:hint="default" w:ascii="Times New Roman" w:hAnsi="Times New Roman" w:eastAsia="宋体" w:cs="Times New Roman"/>
                <w:color w:val="auto"/>
                <w:kern w:val="0"/>
                <w:szCs w:val="21"/>
                <w:highlight w:val="green"/>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准</w:t>
            </w:r>
          </w:p>
        </w:tc>
        <w:tc>
          <w:tcPr>
            <w:tcW w:w="8190" w:type="dxa"/>
            <w:noWrap w:val="0"/>
            <w:vAlign w:val="center"/>
          </w:tcPr>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659"/>
              <w:gridCol w:w="1139"/>
              <w:gridCol w:w="1089"/>
              <w:gridCol w:w="23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类别</w:t>
                  </w:r>
                </w:p>
              </w:tc>
              <w:tc>
                <w:tcPr>
                  <w:tcW w:w="166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标准名称</w:t>
                  </w: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污染因子</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废气</w:t>
                  </w:r>
                </w:p>
              </w:tc>
              <w:tc>
                <w:tcPr>
                  <w:tcW w:w="166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eastAsia="宋体" w:cs="Times New Roman"/>
                      <w:color w:val="auto"/>
                      <w:sz w:val="18"/>
                      <w:szCs w:val="18"/>
                      <w:highlight w:val="none"/>
                      <w:lang w:eastAsia="zh-CN"/>
                    </w:rPr>
                    <w:t>《合成树脂工业污染物排放标准》（GB31572-2015）表5</w:t>
                  </w:r>
                </w:p>
              </w:tc>
              <w:tc>
                <w:tcPr>
                  <w:tcW w:w="714" w:type="pct"/>
                  <w:vMerge w:val="restar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非甲烷总烃</w:t>
                  </w:r>
                </w:p>
              </w:tc>
              <w:tc>
                <w:tcPr>
                  <w:tcW w:w="682"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有组织</w:t>
                  </w:r>
                </w:p>
              </w:tc>
              <w:tc>
                <w:tcPr>
                  <w:tcW w:w="1477"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60mg/m</w:t>
                  </w:r>
                  <w:r>
                    <w:rPr>
                      <w:rFonts w:hint="default" w:ascii="Times New Roman" w:hAnsi="Times New Roman" w:eastAsia="宋体" w:cs="Times New Roman"/>
                      <w:color w:val="auto"/>
                      <w:sz w:val="18"/>
                      <w:szCs w:val="18"/>
                      <w:highlight w:val="none"/>
                      <w:vertAlign w:val="superscript"/>
                      <w:lang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714"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682"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企业边界</w:t>
                  </w:r>
                </w:p>
              </w:tc>
              <w:tc>
                <w:tcPr>
                  <w:tcW w:w="1477"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4.0mg/m</w:t>
                  </w:r>
                  <w:r>
                    <w:rPr>
                      <w:rFonts w:hint="default" w:ascii="Times New Roman" w:hAnsi="Times New Roman" w:eastAsia="宋体" w:cs="Times New Roman"/>
                      <w:color w:val="auto"/>
                      <w:sz w:val="18"/>
                      <w:szCs w:val="18"/>
                      <w:highlight w:val="none"/>
                      <w:vertAlign w:val="superscript"/>
                      <w:lang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714" w:type="pct"/>
                  <w:vMerge w:val="restar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颗粒物</w:t>
                  </w:r>
                </w:p>
              </w:tc>
              <w:tc>
                <w:tcPr>
                  <w:tcW w:w="682"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有组织</w:t>
                  </w:r>
                </w:p>
              </w:tc>
              <w:tc>
                <w:tcPr>
                  <w:tcW w:w="1477"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20mg/m</w:t>
                  </w:r>
                  <w:r>
                    <w:rPr>
                      <w:rFonts w:hint="default" w:ascii="Times New Roman" w:hAnsi="Times New Roman" w:eastAsia="宋体" w:cs="Times New Roman"/>
                      <w:color w:val="auto"/>
                      <w:sz w:val="18"/>
                      <w:szCs w:val="18"/>
                      <w:highlight w:val="none"/>
                      <w:vertAlign w:val="superscript"/>
                      <w:lang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714"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682"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企业边界</w:t>
                  </w:r>
                </w:p>
              </w:tc>
              <w:tc>
                <w:tcPr>
                  <w:tcW w:w="1477"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1.0mg/m</w:t>
                  </w:r>
                  <w:r>
                    <w:rPr>
                      <w:rFonts w:hint="default" w:ascii="Times New Roman" w:hAnsi="Times New Roman" w:eastAsia="宋体" w:cs="Times New Roman"/>
                      <w:color w:val="auto"/>
                      <w:sz w:val="18"/>
                      <w:szCs w:val="18"/>
                      <w:highlight w:val="none"/>
                      <w:vertAlign w:val="superscript"/>
                      <w:lang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eastAsia="宋体" w:cs="Times New Roman"/>
                      <w:color w:val="auto"/>
                      <w:sz w:val="18"/>
                      <w:szCs w:val="18"/>
                      <w:highlight w:val="none"/>
                      <w:lang w:eastAsia="zh-CN"/>
                    </w:rPr>
                    <w:t>《关于全省开展工业企业挥发性有机物专项治理工作中排放建议值得通知》（豫环攻坚办[2017]162号）其他行业</w:t>
                  </w:r>
                </w:p>
              </w:tc>
              <w:tc>
                <w:tcPr>
                  <w:tcW w:w="714"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非甲烷总烃</w:t>
                  </w:r>
                </w:p>
              </w:tc>
              <w:tc>
                <w:tcPr>
                  <w:tcW w:w="682"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企业边界</w:t>
                  </w:r>
                </w:p>
              </w:tc>
              <w:tc>
                <w:tcPr>
                  <w:tcW w:w="1477" w:type="pc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eastAsia="宋体" w:cs="Times New Roman"/>
                      <w:color w:val="auto"/>
                      <w:sz w:val="18"/>
                      <w:szCs w:val="18"/>
                      <w:highlight w:val="none"/>
                      <w:lang w:eastAsia="zh-CN"/>
                    </w:rPr>
                    <w:t>2.0mg/m</w:t>
                  </w:r>
                  <w:r>
                    <w:rPr>
                      <w:rFonts w:hint="default" w:ascii="Times New Roman" w:hAnsi="Times New Roman" w:eastAsia="宋体" w:cs="Times New Roman"/>
                      <w:color w:val="auto"/>
                      <w:sz w:val="18"/>
                      <w:szCs w:val="18"/>
                      <w:highlight w:val="none"/>
                      <w:vertAlign w:val="superscript"/>
                      <w:lang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667" w:type="pct"/>
                  <w:vMerge w:val="restart"/>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color w:val="auto"/>
                      <w:sz w:val="18"/>
                      <w:szCs w:val="18"/>
                      <w:highlight w:val="none"/>
                      <w:lang w:eastAsia="zh-CN"/>
                    </w:rPr>
                    <w:t>新乡市生态环境局关于进一步规范工业企业颗粒物排限值的通知</w:t>
                  </w:r>
                </w:p>
              </w:tc>
              <w:tc>
                <w:tcPr>
                  <w:tcW w:w="714"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r>
                    <w:rPr>
                      <w:rFonts w:hint="default" w:ascii="Times New Roman" w:hAnsi="Times New Roman" w:cs="Times New Roman"/>
                      <w:color w:val="auto"/>
                      <w:sz w:val="18"/>
                      <w:szCs w:val="18"/>
                      <w:highlight w:val="none"/>
                      <w:lang w:val="zh-CN"/>
                    </w:rPr>
                    <w:t>颗粒物</w:t>
                  </w:r>
                </w:p>
              </w:tc>
              <w:tc>
                <w:tcPr>
                  <w:tcW w:w="68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有组织</w:t>
                  </w:r>
                </w:p>
              </w:tc>
              <w:tc>
                <w:tcPr>
                  <w:tcW w:w="147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mg/</w:t>
                  </w:r>
                  <w:r>
                    <w:rPr>
                      <w:rFonts w:hint="default" w:ascii="Times New Roman" w:hAnsi="Times New Roman" w:eastAsia="宋体" w:cs="Times New Roman"/>
                      <w:b w:val="0"/>
                      <w:bCs/>
                      <w:color w:val="auto"/>
                      <w:sz w:val="18"/>
                      <w:szCs w:val="18"/>
                      <w:highlight w:val="none"/>
                      <w:lang w:val="en-US" w:eastAsia="zh-CN"/>
                    </w:rPr>
                    <w:t>m</w:t>
                  </w:r>
                  <w:r>
                    <w:rPr>
                      <w:rFonts w:hint="default" w:ascii="Times New Roman" w:hAnsi="Times New Roman" w:eastAsia="宋体" w:cs="Times New Roman"/>
                      <w:b w:val="0"/>
                      <w:bCs/>
                      <w:color w:val="auto"/>
                      <w:sz w:val="18"/>
                      <w:szCs w:val="18"/>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667" w:type="pct"/>
                  <w:vMerge w:val="continue"/>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p>
              </w:tc>
              <w:tc>
                <w:tcPr>
                  <w:tcW w:w="714"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p>
              </w:tc>
              <w:tc>
                <w:tcPr>
                  <w:tcW w:w="68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18"/>
                      <w:szCs w:val="18"/>
                      <w:highlight w:val="none"/>
                      <w:lang w:val="zh-CN" w:eastAsia="zh-CN" w:bidi="ar-SA"/>
                    </w:rPr>
                  </w:pPr>
                  <w:r>
                    <w:rPr>
                      <w:rFonts w:hint="default" w:ascii="Times New Roman" w:hAnsi="Times New Roman" w:cs="Times New Roman"/>
                      <w:color w:val="auto"/>
                      <w:sz w:val="18"/>
                      <w:szCs w:val="18"/>
                      <w:highlight w:val="none"/>
                      <w:lang w:val="zh-CN"/>
                    </w:rPr>
                    <w:t>无组织</w:t>
                  </w:r>
                </w:p>
              </w:tc>
              <w:tc>
                <w:tcPr>
                  <w:tcW w:w="147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val="en-US" w:eastAsia="zh-CN"/>
                    </w:rPr>
                    <w:t>0.5</w:t>
                  </w:r>
                  <w:r>
                    <w:rPr>
                      <w:rFonts w:hint="default" w:ascii="Times New Roman" w:hAnsi="Times New Roman" w:cs="Times New Roman"/>
                      <w:color w:val="auto"/>
                      <w:sz w:val="18"/>
                      <w:szCs w:val="18"/>
                      <w:highlight w:val="none"/>
                    </w:rPr>
                    <w:t>mg/</w:t>
                  </w:r>
                  <w:r>
                    <w:rPr>
                      <w:rFonts w:hint="default" w:ascii="Times New Roman" w:hAnsi="Times New Roman" w:eastAsia="宋体" w:cs="Times New Roman"/>
                      <w:b w:val="0"/>
                      <w:bCs/>
                      <w:color w:val="auto"/>
                      <w:sz w:val="18"/>
                      <w:szCs w:val="18"/>
                      <w:highlight w:val="none"/>
                      <w:lang w:val="en-US" w:eastAsia="zh-CN"/>
                    </w:rPr>
                    <w:t>m</w:t>
                  </w:r>
                  <w:r>
                    <w:rPr>
                      <w:rFonts w:hint="default" w:ascii="Times New Roman" w:hAnsi="Times New Roman" w:eastAsia="宋体" w:cs="Times New Roman"/>
                      <w:b w:val="0"/>
                      <w:bCs/>
                      <w:color w:val="auto"/>
                      <w:sz w:val="18"/>
                      <w:szCs w:val="18"/>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废水</w:t>
                  </w:r>
                </w:p>
              </w:tc>
              <w:tc>
                <w:tcPr>
                  <w:tcW w:w="166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eastAsia="zh-CN"/>
                    </w:rPr>
                    <w:t>新乡市凤泉区</w:t>
                  </w:r>
                  <w:r>
                    <w:rPr>
                      <w:rFonts w:hint="default" w:ascii="Times New Roman" w:hAnsi="Times New Roman" w:cs="Times New Roman"/>
                      <w:b w:val="0"/>
                      <w:bCs w:val="0"/>
                      <w:color w:val="auto"/>
                      <w:sz w:val="18"/>
                      <w:szCs w:val="18"/>
                      <w:highlight w:val="none"/>
                    </w:rPr>
                    <w:t>污水处理厂收水标准</w:t>
                  </w: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rPr>
                    <w:t>COD</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rPr>
                    <w:t>350mg/L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SS</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en-US" w:eastAsia="zh-CN"/>
                    </w:rPr>
                    <w:t>240</w:t>
                  </w:r>
                  <w:r>
                    <w:rPr>
                      <w:rFonts w:hint="default" w:ascii="Times New Roman" w:hAnsi="Times New Roman" w:cs="Times New Roman"/>
                      <w:b w:val="0"/>
                      <w:bCs w:val="0"/>
                      <w:color w:val="auto"/>
                      <w:sz w:val="18"/>
                      <w:szCs w:val="18"/>
                      <w:highlight w:val="none"/>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NH</w:t>
                  </w:r>
                  <w:r>
                    <w:rPr>
                      <w:rFonts w:hint="default" w:ascii="Times New Roman" w:hAnsi="Times New Roman" w:cs="Times New Roman"/>
                      <w:b w:val="0"/>
                      <w:bCs w:val="0"/>
                      <w:color w:val="auto"/>
                      <w:sz w:val="18"/>
                      <w:szCs w:val="18"/>
                      <w:highlight w:val="none"/>
                      <w:vertAlign w:val="subscript"/>
                    </w:rPr>
                    <w:t>3</w:t>
                  </w:r>
                  <w:r>
                    <w:rPr>
                      <w:rFonts w:hint="default" w:ascii="Times New Roman" w:hAnsi="Times New Roman" w:cs="Times New Roman"/>
                      <w:b w:val="0"/>
                      <w:bCs w:val="0"/>
                      <w:color w:val="auto"/>
                      <w:sz w:val="18"/>
                      <w:szCs w:val="18"/>
                      <w:highlight w:val="none"/>
                    </w:rPr>
                    <w:t>-N</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35mg/L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TP</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TN</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en-US" w:eastAsia="zh-CN"/>
                    </w:rPr>
                    <w:t>55</w:t>
                  </w:r>
                  <w:r>
                    <w:rPr>
                      <w:rFonts w:hint="default" w:ascii="Times New Roman" w:hAnsi="Times New Roman" w:cs="Times New Roman"/>
                      <w:b w:val="0"/>
                      <w:bCs w:val="0"/>
                      <w:color w:val="auto"/>
                      <w:sz w:val="18"/>
                      <w:szCs w:val="18"/>
                      <w:highlight w:val="none"/>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《合成树脂工业污染物排放标准》（GB31572-2015）表2</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color w:val="auto"/>
                      <w:sz w:val="18"/>
                      <w:szCs w:val="18"/>
                      <w:highlight w:val="none"/>
                    </w:rPr>
                    <w:t>（间接排放）</w:t>
                  </w: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kern w:val="0"/>
                      <w:sz w:val="18"/>
                      <w:szCs w:val="18"/>
                    </w:rPr>
                    <w:t>pH</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kern w:val="0"/>
                      <w:sz w:val="18"/>
                      <w:szCs w:val="18"/>
                    </w:rPr>
                    <w:t>COD</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SS</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氨氮</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397"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总磷</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green"/>
                    </w:rPr>
                  </w:pPr>
                </w:p>
              </w:tc>
              <w:tc>
                <w:tcPr>
                  <w:tcW w:w="2874" w:type="pct"/>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未规定限值的污染物项目由企业与园区污水处理厂根据其污水处理能力商定相关标准，并报当地环境保护主管部门备案。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噪声</w:t>
                  </w:r>
                </w:p>
              </w:tc>
              <w:tc>
                <w:tcPr>
                  <w:tcW w:w="166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《工业企业厂界环境噪声排放标准》（GB12348-2008）</w:t>
                  </w:r>
                  <w:r>
                    <w:rPr>
                      <w:rFonts w:hint="default" w:ascii="Times New Roman" w:hAnsi="Times New Roman" w:cs="Times New Roman"/>
                      <w:b w:val="0"/>
                      <w:bCs w:val="0"/>
                      <w:color w:val="auto"/>
                      <w:sz w:val="18"/>
                      <w:szCs w:val="18"/>
                      <w:highlight w:val="none"/>
                      <w:lang w:val="en-US" w:eastAsia="zh-CN"/>
                    </w:rPr>
                    <w:t>3</w:t>
                  </w:r>
                  <w:r>
                    <w:rPr>
                      <w:rFonts w:hint="default" w:ascii="Times New Roman" w:hAnsi="Times New Roman" w:cs="Times New Roman"/>
                      <w:b w:val="0"/>
                      <w:bCs w:val="0"/>
                      <w:color w:val="auto"/>
                      <w:sz w:val="18"/>
                      <w:szCs w:val="18"/>
                      <w:highlight w:val="none"/>
                    </w:rPr>
                    <w:t>类</w:t>
                  </w:r>
                </w:p>
              </w:tc>
              <w:tc>
                <w:tcPr>
                  <w:tcW w:w="714"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Leq</w:t>
                  </w:r>
                </w:p>
              </w:tc>
              <w:tc>
                <w:tcPr>
                  <w:tcW w:w="68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昼间</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65dB（A）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166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714"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682"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夜间</w:t>
                  </w:r>
                </w:p>
              </w:tc>
              <w:tc>
                <w:tcPr>
                  <w:tcW w:w="1477" w:type="pc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en-US" w:eastAsia="zh-CN"/>
                    </w:rPr>
                    <w:t>55dB（A）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rPr>
                    <w:t>固废</w:t>
                  </w:r>
                </w:p>
              </w:tc>
              <w:tc>
                <w:tcPr>
                  <w:tcW w:w="4542" w:type="pct"/>
                  <w:gridSpan w:val="4"/>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360" w:firstLineChars="20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color w:val="auto"/>
                      <w:sz w:val="18"/>
                      <w:szCs w:val="18"/>
                      <w:highlight w:val="none"/>
                    </w:rPr>
                    <w:t>满足《一般工业固体废物贮存和填埋污染控制标准》（GB 18599-2020）中防渗漏、防雨淋、防扬尘等环境保护要求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7"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rPr>
                  </w:pPr>
                </w:p>
              </w:tc>
              <w:tc>
                <w:tcPr>
                  <w:tcW w:w="4542" w:type="pct"/>
                  <w:gridSpan w:val="4"/>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360" w:firstLineChars="200"/>
                    <w:jc w:val="center"/>
                    <w:textAlignment w:val="auto"/>
                    <w:rPr>
                      <w:rFonts w:hint="default" w:ascii="Times New Roman" w:hAnsi="Times New Roman" w:cs="Times New Roman"/>
                      <w:b w:val="0"/>
                      <w:bCs w:val="0"/>
                      <w:color w:val="auto"/>
                      <w:sz w:val="18"/>
                      <w:szCs w:val="18"/>
                      <w:highlight w:val="none"/>
                    </w:rPr>
                  </w:pPr>
                  <w:r>
                    <w:rPr>
                      <w:rFonts w:hint="default" w:ascii="Times New Roman" w:hAnsi="Times New Roman" w:cs="Times New Roman"/>
                      <w:color w:val="auto"/>
                      <w:sz w:val="18"/>
                      <w:szCs w:val="18"/>
                      <w:highlight w:val="none"/>
                    </w:rPr>
                    <w:t>《危险废物贮存污染控制标准》（GB18597-20</w:t>
                  </w:r>
                  <w:r>
                    <w:rPr>
                      <w:rFonts w:hint="default" w:ascii="Times New Roman" w:hAnsi="Times New Roman" w:cs="Times New Roman"/>
                      <w:color w:val="auto"/>
                      <w:sz w:val="18"/>
                      <w:szCs w:val="18"/>
                      <w:highlight w:val="none"/>
                      <w:lang w:val="en-US" w:eastAsia="zh-CN"/>
                    </w:rPr>
                    <w:t>23</w:t>
                  </w:r>
                  <w:r>
                    <w:rPr>
                      <w:rFonts w:hint="default" w:ascii="Times New Roman" w:hAnsi="Times New Roman" w:cs="Times New Roman"/>
                      <w:color w:val="auto"/>
                      <w:sz w:val="18"/>
                      <w:szCs w:val="18"/>
                      <w:highlight w:val="none"/>
                    </w:rPr>
                    <w:t>）</w:t>
                  </w:r>
                </w:p>
              </w:tc>
            </w:tr>
          </w:tbl>
          <w:p>
            <w:pPr>
              <w:autoSpaceDE w:val="0"/>
              <w:autoSpaceDN w:val="0"/>
              <w:adjustRightInd w:val="0"/>
              <w:snapToGrid w:val="0"/>
              <w:spacing w:line="400" w:lineRule="exact"/>
              <w:rPr>
                <w:rFonts w:hint="default" w:ascii="Times New Roman" w:hAnsi="Times New Roman" w:cs="Times New Roman"/>
                <w:color w:val="auto"/>
                <w:kern w:val="0"/>
                <w:szCs w:val="21"/>
                <w:highlight w:val="gree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19" w:hRule="atLeast"/>
          <w:jc w:val="center"/>
        </w:trPr>
        <w:tc>
          <w:tcPr>
            <w:tcW w:w="80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Cs w:val="21"/>
                <w:highlight w:val="green"/>
              </w:rPr>
            </w:pPr>
            <w:r>
              <w:rPr>
                <w:rFonts w:hint="default" w:ascii="Times New Roman" w:hAnsi="Times New Roman" w:cs="Times New Roman"/>
                <w:color w:val="auto"/>
                <w:kern w:val="0"/>
                <w:szCs w:val="21"/>
                <w:highlight w:val="none"/>
              </w:rPr>
              <w:t>指标</w:t>
            </w:r>
          </w:p>
        </w:tc>
        <w:tc>
          <w:tcPr>
            <w:tcW w:w="819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新乡市生态环境局关于转发《河南省生态环境厅关于印发建设项目主要污染物排放总量指标管理工作内部规程的通知》和《新乡市建设项目新增总量指标替代管理指导意见（试行）》的要求，对新增重点污染物（化学需氧量、氨氮、二氧化硫、氮氧化物、挥发性有机物，重金属铅、铬、镉、汞、砷10类）排放量的项目，需要进行总量审核。</w:t>
            </w:r>
          </w:p>
          <w:p>
            <w:pPr>
              <w:pStyle w:val="2"/>
              <w:numPr>
                <w:ilvl w:val="0"/>
                <w:numId w:val="7"/>
              </w:numPr>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废气：项目注塑工序非甲烷总烃废气采用</w:t>
            </w:r>
            <w:r>
              <w:rPr>
                <w:rFonts w:hint="default" w:ascii="Times New Roman" w:hAnsi="Times New Roman" w:cs="Times New Roman"/>
                <w:b w:val="0"/>
                <w:bCs w:val="0"/>
                <w:color w:val="auto"/>
                <w:highlight w:val="none"/>
                <w:lang w:val="en-US" w:eastAsia="zh-CN"/>
              </w:rPr>
              <w:t>1套</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UV光催化氧化+活性炭吸附</w:t>
            </w:r>
            <w:r>
              <w:rPr>
                <w:rFonts w:hint="default" w:ascii="Times New Roman" w:hAnsi="Times New Roman" w:cs="Times New Roman"/>
                <w:b w:val="0"/>
                <w:bCs w:val="0"/>
                <w:color w:val="auto"/>
                <w:highlight w:val="none"/>
                <w:lang w:eastAsia="zh-CN"/>
              </w:rPr>
              <w:t>”装置处理后，经15m高排气筒排放，新增非甲烷总烃排放量为</w:t>
            </w:r>
            <w:r>
              <w:rPr>
                <w:rFonts w:hint="default" w:ascii="Times New Roman" w:hAnsi="Times New Roman" w:cs="Times New Roman"/>
                <w:b w:val="0"/>
                <w:bCs w:val="0"/>
                <w:color w:val="auto"/>
                <w:highlight w:val="none"/>
                <w:lang w:val="en-US" w:eastAsia="zh-CN"/>
              </w:rPr>
              <w:t>0.0648t/a（有组织0.0513t/a，无组织0.0648t/a）</w:t>
            </w:r>
            <w:r>
              <w:rPr>
                <w:rFonts w:hint="default" w:ascii="Times New Roman" w:hAnsi="Times New Roman" w:cs="Times New Roman"/>
                <w:b w:val="0"/>
                <w:bCs w:val="0"/>
                <w:color w:val="auto"/>
                <w:highlight w:val="none"/>
                <w:lang w:eastAsia="zh-CN"/>
              </w:rPr>
              <w:t>；上料、破碎工序颗粒物废气采用</w:t>
            </w:r>
            <w:r>
              <w:rPr>
                <w:rFonts w:hint="default" w:ascii="Times New Roman" w:hAnsi="Times New Roman" w:cs="Times New Roman"/>
                <w:b w:val="0"/>
                <w:bCs w:val="0"/>
                <w:color w:val="auto"/>
                <w:highlight w:val="none"/>
                <w:lang w:val="en-US" w:eastAsia="zh-CN"/>
              </w:rPr>
              <w:t>1套脉冲袋式除尘器处理后，经</w:t>
            </w:r>
            <w:r>
              <w:rPr>
                <w:rFonts w:hint="default" w:ascii="Times New Roman" w:hAnsi="Times New Roman" w:cs="Times New Roman"/>
                <w:b w:val="0"/>
                <w:bCs w:val="0"/>
                <w:color w:val="auto"/>
                <w:highlight w:val="none"/>
                <w:lang w:eastAsia="zh-CN"/>
              </w:rPr>
              <w:t>15m高排气筒排放，新增颗粒物排放量为</w:t>
            </w:r>
            <w:r>
              <w:rPr>
                <w:rFonts w:hint="default" w:ascii="Times New Roman" w:hAnsi="Times New Roman" w:cs="Times New Roman"/>
                <w:b w:val="0"/>
                <w:bCs w:val="0"/>
                <w:color w:val="auto"/>
                <w:highlight w:val="none"/>
                <w:lang w:val="en-US" w:eastAsia="zh-CN"/>
              </w:rPr>
              <w:t>0.001t/a（有组织0.0009t/a，无组织0.0001t/a）</w:t>
            </w:r>
            <w:r>
              <w:rPr>
                <w:rFonts w:hint="default" w:ascii="Times New Roman" w:hAnsi="Times New Roman" w:cs="Times New Roman"/>
                <w:b w:val="0"/>
                <w:bCs w:val="0"/>
                <w:color w:val="auto"/>
                <w:highlight w:val="none"/>
                <w:lang w:eastAsia="zh-CN"/>
              </w:rPr>
              <w:t>。</w:t>
            </w:r>
          </w:p>
          <w:p>
            <w:pPr>
              <w:bidi w:val="0"/>
              <w:rPr>
                <w:rFonts w:hint="default" w:ascii="Times New Roman" w:hAnsi="Times New Roman" w:cs="Times New Roman"/>
                <w:color w:val="auto"/>
                <w:lang w:val="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）废水：本项目外排废水主要为生活污水，经</w:t>
            </w:r>
            <w:r>
              <w:rPr>
                <w:rFonts w:hint="default" w:ascii="Times New Roman" w:hAnsi="Times New Roman" w:cs="Times New Roman"/>
                <w:color w:val="auto"/>
                <w:lang w:val="en-US" w:eastAsia="zh-CN"/>
              </w:rPr>
              <w:t>厂区化粪池</w:t>
            </w:r>
            <w:r>
              <w:rPr>
                <w:rFonts w:hint="default" w:ascii="Times New Roman" w:hAnsi="Times New Roman" w:cs="Times New Roman"/>
                <w:color w:val="auto"/>
                <w:lang w:eastAsia="zh-CN"/>
              </w:rPr>
              <w:t>处理后，近期内定期清运，远期待区域污水管网铺设完成并通入新乡市凤泉区污水处理厂后，项目生活污水均经总排口排入区域污水管网，最终排入新乡市凤泉区污水处理厂进一步处理。项目废水排放量为</w:t>
            </w:r>
            <w:r>
              <w:rPr>
                <w:rFonts w:hint="default" w:ascii="Times New Roman" w:hAnsi="Times New Roman" w:cs="Times New Roman"/>
                <w:bCs/>
                <w:color w:val="auto"/>
                <w:kern w:val="0"/>
                <w:sz w:val="21"/>
                <w:szCs w:val="21"/>
                <w:highlight w:val="none"/>
                <w:lang w:val="en-US" w:eastAsia="zh-CN"/>
              </w:rPr>
              <w:t>144</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default" w:ascii="Times New Roman" w:hAnsi="Times New Roman" w:cs="Times New Roman"/>
                <w:color w:val="auto"/>
                <w:lang w:eastAsia="zh-CN"/>
              </w:rPr>
              <w:t>，经新乡市凤泉区污水处理厂处理后排放浓度为</w:t>
            </w:r>
            <w:r>
              <w:rPr>
                <w:rFonts w:hint="default" w:ascii="Times New Roman" w:hAnsi="Times New Roman" w:cs="Times New Roman"/>
                <w:color w:val="auto"/>
                <w:lang w:val="zh-CN"/>
              </w:rPr>
              <w:t>COD</w:t>
            </w:r>
            <w:r>
              <w:rPr>
                <w:rFonts w:hint="default" w:ascii="Times New Roman" w:hAnsi="Times New Roman" w:cs="Times New Roman"/>
                <w:color w:val="auto"/>
              </w:rPr>
              <w:t>40</w:t>
            </w:r>
            <w:r>
              <w:rPr>
                <w:rFonts w:hint="default" w:ascii="Times New Roman" w:hAnsi="Times New Roman" w:cs="Times New Roman"/>
                <w:color w:val="auto"/>
                <w:lang w:val="zh-CN"/>
              </w:rPr>
              <w:t>mg/L、氨氮</w:t>
            </w:r>
            <w:r>
              <w:rPr>
                <w:rFonts w:hint="default" w:ascii="Times New Roman" w:hAnsi="Times New Roman" w:cs="Times New Roman"/>
                <w:color w:val="auto"/>
              </w:rPr>
              <w:t>2</w:t>
            </w:r>
            <w:r>
              <w:rPr>
                <w:rFonts w:hint="default" w:ascii="Times New Roman" w:hAnsi="Times New Roman" w:cs="Times New Roman"/>
                <w:color w:val="auto"/>
                <w:lang w:val="zh-CN"/>
              </w:rPr>
              <w:t>mg/L，则本项目新增水污染物排放量为</w:t>
            </w:r>
            <w:r>
              <w:rPr>
                <w:rFonts w:hint="default" w:ascii="Times New Roman" w:hAnsi="Times New Roman" w:cs="Times New Roman"/>
                <w:b w:val="0"/>
                <w:bCs w:val="0"/>
                <w:color w:val="auto"/>
                <w:kern w:val="0"/>
                <w:sz w:val="21"/>
                <w:szCs w:val="21"/>
                <w:highlight w:val="none"/>
                <w:u w:val="none"/>
                <w:lang w:val="en-US" w:eastAsia="zh-CN"/>
              </w:rPr>
              <w:t>COD0.0058t/a、NH</w:t>
            </w:r>
            <w:r>
              <w:rPr>
                <w:rFonts w:hint="default" w:ascii="Times New Roman" w:hAnsi="Times New Roman" w:cs="Times New Roman"/>
                <w:b w:val="0"/>
                <w:bCs w:val="0"/>
                <w:color w:val="auto"/>
                <w:kern w:val="0"/>
                <w:sz w:val="21"/>
                <w:szCs w:val="21"/>
                <w:highlight w:val="none"/>
                <w:u w:val="none"/>
                <w:vertAlign w:val="subscript"/>
                <w:lang w:val="en-US" w:eastAsia="zh-CN"/>
              </w:rPr>
              <w:t>3</w:t>
            </w:r>
            <w:r>
              <w:rPr>
                <w:rFonts w:hint="default" w:ascii="Times New Roman" w:hAnsi="Times New Roman" w:cs="Times New Roman"/>
                <w:b w:val="0"/>
                <w:bCs w:val="0"/>
                <w:color w:val="auto"/>
                <w:kern w:val="0"/>
                <w:sz w:val="21"/>
                <w:szCs w:val="21"/>
                <w:highlight w:val="none"/>
                <w:u w:val="none"/>
                <w:lang w:val="en-US" w:eastAsia="zh-CN"/>
              </w:rPr>
              <w:t>-N0.0003t/a</w:t>
            </w:r>
            <w:r>
              <w:rPr>
                <w:rFonts w:hint="default" w:ascii="Times New Roman" w:hAnsi="Times New Roman" w:cs="Times New Roman"/>
                <w:color w:val="auto"/>
                <w:lang w:val="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auto"/>
                <w:kern w:val="0"/>
                <w:szCs w:val="21"/>
                <w:highlight w:val="green"/>
                <w:lang w:val="en-US" w:eastAsia="zh-CN"/>
              </w:rPr>
            </w:pPr>
            <w:r>
              <w:rPr>
                <w:rFonts w:hint="default" w:ascii="Times New Roman" w:hAnsi="Times New Roman" w:cs="Times New Roman"/>
                <w:color w:val="auto"/>
                <w:highlight w:val="none"/>
                <w:lang w:eastAsia="zh-CN"/>
              </w:rPr>
              <w:t>本项目属于新建项目，</w:t>
            </w:r>
            <w:r>
              <w:rPr>
                <w:rFonts w:hint="default" w:ascii="Times New Roman" w:hAnsi="Times New Roman" w:cs="Times New Roman"/>
                <w:color w:val="auto"/>
                <w:highlight w:val="none"/>
              </w:rPr>
              <w:t>建成后总量控制因子及指标为：</w:t>
            </w:r>
            <w:r>
              <w:rPr>
                <w:rFonts w:hint="default" w:ascii="Times New Roman" w:hAnsi="Times New Roman" w:cs="Times New Roman"/>
                <w:color w:val="auto"/>
                <w:highlight w:val="none"/>
                <w:lang w:eastAsia="zh-CN"/>
              </w:rPr>
              <w:t>颗粒物</w:t>
            </w:r>
            <w:r>
              <w:rPr>
                <w:rFonts w:hint="default" w:ascii="Times New Roman" w:hAnsi="Times New Roman" w:cs="Times New Roman"/>
                <w:color w:val="auto"/>
                <w:highlight w:val="none"/>
                <w:lang w:val="en-US" w:eastAsia="zh-CN"/>
              </w:rPr>
              <w:t>0.001t/a</w:t>
            </w:r>
            <w:r>
              <w:rPr>
                <w:rFonts w:hint="default" w:ascii="Times New Roman" w:hAnsi="Times New Roman" w:cs="Times New Roman"/>
                <w:color w:val="auto"/>
                <w:highlight w:val="none"/>
                <w:lang w:eastAsia="zh-CN"/>
              </w:rPr>
              <w:t>、</w:t>
            </w:r>
            <w:r>
              <w:rPr>
                <w:rFonts w:hint="default" w:ascii="Times New Roman" w:hAnsi="Times New Roman" w:cs="Times New Roman"/>
                <w:b w:val="0"/>
                <w:bCs w:val="0"/>
                <w:color w:val="auto"/>
                <w:highlight w:val="none"/>
                <w:u w:val="none"/>
                <w:lang w:val="en-US" w:eastAsia="zh-CN"/>
              </w:rPr>
              <w:t>非甲烷总烃0.0648t/a、</w:t>
            </w:r>
            <w:r>
              <w:rPr>
                <w:rFonts w:hint="default" w:ascii="Times New Roman" w:hAnsi="Times New Roman" w:cs="Times New Roman"/>
                <w:b w:val="0"/>
                <w:bCs w:val="0"/>
                <w:color w:val="auto"/>
                <w:kern w:val="0"/>
                <w:sz w:val="21"/>
                <w:szCs w:val="21"/>
                <w:highlight w:val="none"/>
                <w:u w:val="none"/>
                <w:lang w:val="en-US" w:eastAsia="zh-CN"/>
              </w:rPr>
              <w:t>COD0.0058t/a、NH</w:t>
            </w:r>
            <w:r>
              <w:rPr>
                <w:rFonts w:hint="default" w:ascii="Times New Roman" w:hAnsi="Times New Roman" w:cs="Times New Roman"/>
                <w:b w:val="0"/>
                <w:bCs w:val="0"/>
                <w:color w:val="auto"/>
                <w:kern w:val="0"/>
                <w:sz w:val="21"/>
                <w:szCs w:val="21"/>
                <w:highlight w:val="none"/>
                <w:u w:val="none"/>
                <w:vertAlign w:val="subscript"/>
                <w:lang w:val="en-US" w:eastAsia="zh-CN"/>
              </w:rPr>
              <w:t>3</w:t>
            </w:r>
            <w:r>
              <w:rPr>
                <w:rFonts w:hint="default" w:ascii="Times New Roman" w:hAnsi="Times New Roman" w:cs="Times New Roman"/>
                <w:b w:val="0"/>
                <w:bCs w:val="0"/>
                <w:color w:val="auto"/>
                <w:kern w:val="0"/>
                <w:sz w:val="21"/>
                <w:szCs w:val="21"/>
                <w:highlight w:val="none"/>
                <w:u w:val="none"/>
                <w:lang w:val="en-US" w:eastAsia="zh-CN"/>
              </w:rPr>
              <w:t>-N0.0003t/a</w:t>
            </w:r>
            <w:r>
              <w:rPr>
                <w:rFonts w:hint="default" w:ascii="Times New Roman" w:hAnsi="Times New Roman" w:cs="Times New Roman"/>
                <w:b w:val="0"/>
                <w:bCs w:val="0"/>
                <w:color w:val="auto"/>
                <w:highlight w:val="none"/>
                <w:u w:val="none"/>
                <w:lang w:val="en-US" w:eastAsia="zh-CN"/>
              </w:rPr>
              <w:t>。</w:t>
            </w:r>
          </w:p>
        </w:tc>
      </w:tr>
    </w:tbl>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green"/>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746" w:type="dxa"/>
            <w:noWrap w:val="0"/>
            <w:tcMar>
              <w:left w:w="28" w:type="dxa"/>
              <w:right w:w="28" w:type="dxa"/>
            </w:tcMar>
            <w:vAlign w:val="center"/>
          </w:tcPr>
          <w:p>
            <w:pPr>
              <w:pStyle w:val="17"/>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pPr>
              <w:pStyle w:val="17"/>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pPr>
              <w:pStyle w:val="17"/>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pPr>
              <w:pStyle w:val="17"/>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pPr>
              <w:pStyle w:val="17"/>
              <w:keepNext w:val="0"/>
              <w:keepLines w:val="0"/>
              <w:pageBreakBefore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1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施工期预计3个月，租赁现有厂区及厂房进行建设，后续不进行大规模土建等施工工程，施工期主要为生产设备的安装以及车间装修等，均在车间内进行。施工期对项目周围生态环境有轻度和短暂的影响。项目施工期的主要污染环节为施工废气、机械噪声、废水和固体废物。</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1、施工废气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施工期废气主要包括厂房装修废气和施工运输车辆尾气。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1.1厂房装修废气</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房装修废气主要为装修用的墙纸、涂料油漆等会在室内长期释放出大量的甲醛、挥发性有机物等有害污染。装修阶段的废气排放周期短，且作业点分散，评价要求建设单位施工过程优先使用环保材料进行装修，并勤开窗通风。建设单位在施工装修期间采取了上述措施后，其产生的废气能够得到有效控制，不会对周围的大气环境造成明显的影响。</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1.2施工运输车辆尾气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施工阶段生产设备、施工原材料等运输车辆运行将产生车辆尾气，考虑其排放量不大，对周边环境空气质量影响范围及程度较小，只要建设单位做好施工现场的交通组织，避免因施工造成的交通阻塞，也可减少运输车辆怠速产生的废气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2、废水</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施工期间废水主要为施工人员生活污水，根据工程施工实际情况，项目施工期间无需设置施工营地，且施工范围较小，施工人员较少，因此产生的施工生活污水量较少，经化粪池进行处理后，定期清运。</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3、噪声</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工程在施工时拟采取以下措施：尽量采用低噪声设备，合理安排施工时间，避免夜间施工，对运输车辆加强管理，压缩施工期的汽车数量及行车密度，控制汽车鸣笛等方式。</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另外，项目所在地50m范围内没有声环境敏感点，因此项目的施工对声环境不会造成很大影响。在确保采取有效措施对场址施工噪声进行控制后，本项目昼间和夜间的施工噪声对周围环境影响不明显。</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项目施工期噪声影响是暂时的，在采取相应的管理措施后可减至最低，并将随着施工期的结束而消失。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4、固废</w:t>
            </w:r>
          </w:p>
          <w:p>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default" w:ascii="Times New Roman" w:hAnsi="Times New Roman" w:eastAsia="宋体" w:cs="Times New Roman"/>
                <w:bCs/>
                <w:color w:val="auto"/>
                <w:spacing w:val="-10"/>
                <w:szCs w:val="21"/>
                <w:highlight w:val="none"/>
                <w:lang w:val="en-US" w:eastAsia="zh-CN"/>
              </w:rPr>
            </w:pPr>
            <w:r>
              <w:rPr>
                <w:rFonts w:hint="default" w:ascii="Times New Roman" w:hAnsi="Times New Roman" w:cs="Times New Roman"/>
                <w:color w:val="auto"/>
                <w:sz w:val="21"/>
                <w:szCs w:val="21"/>
                <w:highlight w:val="none"/>
                <w:lang w:val="en-US" w:eastAsia="zh-CN"/>
              </w:rPr>
              <w:t>施工期间固废主要为废包装材料、废装修材料和生活垃圾，其中废包装材料以塑料薄膜、纸板等为主，废装修材料以彩钢板、亚克力板为主，经收集后直接外售至废品回收站，实现资源化利用；生活垃圾经袋装收集后暂存于垃圾收集站，统一交由环卫部门清运处理。采取上述治理措施后，各项固体废物可实现无害化处置或资源化利用，不会对环境造成二次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green"/>
              </w:rPr>
            </w:pPr>
            <w:r>
              <w:rPr>
                <w:rFonts w:hint="default" w:ascii="Times New Roman" w:hAnsi="Times New Roman" w:cs="Times New Roman"/>
                <w:bCs/>
                <w:color w:val="auto"/>
                <w:szCs w:val="21"/>
                <w:highlight w:val="none"/>
              </w:rPr>
              <w:t>措施</w:t>
            </w:r>
          </w:p>
        </w:tc>
        <w:tc>
          <w:tcPr>
            <w:tcW w:w="8162" w:type="dxa"/>
            <w:noWrap w:val="0"/>
            <w:vAlign w:val="center"/>
          </w:tcPr>
          <w:p>
            <w:pPr>
              <w:keepLines w:val="0"/>
              <w:pageBreakBefore w:val="0"/>
              <w:widowControl w:val="0"/>
              <w:numPr>
                <w:ilvl w:val="0"/>
                <w:numId w:val="0"/>
              </w:numPr>
              <w:kinsoku/>
              <w:wordWrap/>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1、</w:t>
            </w:r>
            <w:r>
              <w:rPr>
                <w:rFonts w:hint="default" w:ascii="Times New Roman" w:hAnsi="Times New Roman" w:cs="Times New Roman"/>
                <w:b/>
                <w:color w:val="auto"/>
                <w:kern w:val="0"/>
                <w:szCs w:val="21"/>
                <w:highlight w:val="none"/>
              </w:rPr>
              <w:t>废气</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eastAsia="zh-CN"/>
              </w:rPr>
              <w:t>本项目废气主要为注塑过程产生的有机废气和上料混合、破碎工序产生的颗粒物废气，</w:t>
            </w:r>
            <w:r>
              <w:rPr>
                <w:rFonts w:hint="default" w:ascii="Times New Roman" w:hAnsi="Times New Roman" w:cs="Times New Roman"/>
                <w:bCs/>
                <w:color w:val="auto"/>
                <w:kern w:val="0"/>
                <w:sz w:val="21"/>
                <w:szCs w:val="21"/>
                <w:highlight w:val="none"/>
              </w:rPr>
              <w:t>本次评价废气污染物源强的确定方法主</w:t>
            </w:r>
            <w:r>
              <w:rPr>
                <w:rFonts w:hint="default" w:ascii="Times New Roman" w:hAnsi="Times New Roman" w:cs="Times New Roman"/>
                <w:bCs/>
                <w:color w:val="auto"/>
                <w:kern w:val="0"/>
                <w:sz w:val="21"/>
                <w:szCs w:val="21"/>
                <w:highlight w:val="none"/>
                <w:lang w:eastAsia="zh-CN"/>
              </w:rPr>
              <w:t>要根据《污染源源强强核算技术指南—准则》（</w:t>
            </w:r>
            <w:r>
              <w:rPr>
                <w:rFonts w:hint="default" w:ascii="Times New Roman" w:hAnsi="Times New Roman" w:cs="Times New Roman"/>
                <w:bCs/>
                <w:color w:val="auto"/>
                <w:kern w:val="0"/>
                <w:sz w:val="21"/>
                <w:szCs w:val="21"/>
                <w:highlight w:val="none"/>
                <w:lang w:val="en-US" w:eastAsia="zh-CN"/>
              </w:rPr>
              <w:t>HJ884-2018</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《排放源统计调查产排污核算方法和系数手册》（2021年）</w:t>
            </w:r>
            <w:r>
              <w:rPr>
                <w:rFonts w:hint="default" w:ascii="Times New Roman" w:hAnsi="Times New Roman" w:cs="Times New Roman"/>
                <w:bCs/>
                <w:color w:val="auto"/>
                <w:kern w:val="0"/>
                <w:sz w:val="21"/>
                <w:szCs w:val="21"/>
                <w:highlight w:val="none"/>
                <w:lang w:eastAsia="zh-CN"/>
              </w:rPr>
              <w:t>，同时结合建设单位提供资料进行确定。</w:t>
            </w:r>
          </w:p>
          <w:p>
            <w:pPr>
              <w:keepLines w:val="0"/>
              <w:pageBreakBefore w:val="0"/>
              <w:widowControl w:val="0"/>
              <w:numPr>
                <w:ilvl w:val="0"/>
                <w:numId w:val="0"/>
              </w:numPr>
              <w:kinsoku/>
              <w:wordWrap/>
              <w:topLinePunct w:val="0"/>
              <w:autoSpaceDE w:val="0"/>
              <w:autoSpaceDN w:val="0"/>
              <w:bidi w:val="0"/>
              <w:adjustRightInd/>
              <w:snapToGrid/>
              <w:spacing w:line="360" w:lineRule="auto"/>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1.1</w:t>
            </w:r>
            <w:r>
              <w:rPr>
                <w:rFonts w:hint="default" w:ascii="Times New Roman" w:hAnsi="Times New Roman" w:cs="Times New Roman"/>
                <w:b/>
                <w:bCs/>
                <w:color w:val="auto"/>
                <w:kern w:val="0"/>
                <w:sz w:val="21"/>
                <w:szCs w:val="21"/>
                <w:highlight w:val="none"/>
              </w:rPr>
              <w:t>工艺废气污染源强</w:t>
            </w:r>
            <w:r>
              <w:rPr>
                <w:rFonts w:hint="default" w:ascii="Times New Roman" w:hAnsi="Times New Roman" w:cs="Times New Roman"/>
                <w:b/>
                <w:bCs/>
                <w:color w:val="auto"/>
                <w:kern w:val="0"/>
                <w:sz w:val="21"/>
                <w:szCs w:val="21"/>
                <w:highlight w:val="none"/>
                <w:lang w:eastAsia="zh-CN"/>
              </w:rPr>
              <w:t>核算</w:t>
            </w:r>
          </w:p>
          <w:p>
            <w:pPr>
              <w:keepLines w:val="0"/>
              <w:pageBreakBefore w:val="0"/>
              <w:widowControl w:val="0"/>
              <w:numPr>
                <w:ilvl w:val="0"/>
                <w:numId w:val="0"/>
              </w:numPr>
              <w:kinsoku/>
              <w:wordWrap/>
              <w:topLinePunct w:val="0"/>
              <w:autoSpaceDE w:val="0"/>
              <w:autoSpaceDN w:val="0"/>
              <w:bidi w:val="0"/>
              <w:adjustRightInd/>
              <w:snapToGrid/>
              <w:spacing w:line="360" w:lineRule="auto"/>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1.1.1注塑、冷却工序有机废气</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项目注塑、冷却工序会有有机废气产生，</w:t>
            </w:r>
            <w:r>
              <w:rPr>
                <w:rFonts w:hint="default" w:ascii="Times New Roman" w:hAnsi="Times New Roman" w:eastAsia="宋体" w:cs="Times New Roman"/>
                <w:color w:val="auto"/>
                <w:sz w:val="21"/>
                <w:szCs w:val="21"/>
                <w:highlight w:val="none"/>
                <w:lang w:val="en-US" w:eastAsia="zh-CN"/>
              </w:rPr>
              <w:t>根据原辅材料理化性质分析</w:t>
            </w:r>
            <w:r>
              <w:rPr>
                <w:rFonts w:hint="default" w:ascii="Times New Roman" w:hAnsi="Times New Roman" w:cs="Times New Roman"/>
                <w:color w:val="auto"/>
                <w:sz w:val="21"/>
                <w:szCs w:val="21"/>
                <w:highlight w:val="none"/>
                <w:lang w:val="en-US" w:eastAsia="zh-CN"/>
              </w:rPr>
              <w:t>，项目所用PA66尼龙原</w:t>
            </w:r>
            <w:r>
              <w:rPr>
                <w:rFonts w:hint="default" w:ascii="Times New Roman" w:hAnsi="Times New Roman" w:eastAsia="宋体" w:cs="Times New Roman"/>
                <w:color w:val="auto"/>
                <w:sz w:val="21"/>
                <w:szCs w:val="21"/>
                <w:highlight w:val="none"/>
                <w:lang w:val="en-US" w:eastAsia="zh-CN"/>
              </w:rPr>
              <w:t>料分解温度在350℃以上，本项目</w:t>
            </w:r>
            <w:r>
              <w:rPr>
                <w:rFonts w:hint="default" w:ascii="Times New Roman" w:hAnsi="Times New Roman" w:cs="Times New Roman"/>
                <w:color w:val="auto"/>
                <w:sz w:val="21"/>
                <w:szCs w:val="21"/>
                <w:highlight w:val="none"/>
                <w:lang w:val="en-US" w:eastAsia="zh-CN"/>
              </w:rPr>
              <w:t>注塑工序加热熔融</w:t>
            </w:r>
            <w:r>
              <w:rPr>
                <w:rFonts w:hint="default" w:ascii="Times New Roman" w:hAnsi="Times New Roman" w:eastAsia="宋体" w:cs="Times New Roman"/>
                <w:color w:val="auto"/>
                <w:sz w:val="21"/>
                <w:szCs w:val="21"/>
                <w:highlight w:val="none"/>
                <w:lang w:val="en-US" w:eastAsia="zh-CN"/>
              </w:rPr>
              <w:t>温度为1</w:t>
            </w:r>
            <w:r>
              <w:rPr>
                <w:rFonts w:hint="default" w:ascii="Times New Roman" w:hAnsi="Times New Roman"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0℃~200℃</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在此温度下不会断链分解</w:t>
            </w:r>
            <w:r>
              <w:rPr>
                <w:rFonts w:hint="default" w:ascii="Times New Roman" w:hAnsi="Times New Roman" w:cs="Times New Roman"/>
                <w:color w:val="auto"/>
                <w:sz w:val="21"/>
                <w:szCs w:val="21"/>
                <w:highlight w:val="none"/>
                <w:lang w:val="en-US" w:eastAsia="zh-CN"/>
              </w:rPr>
              <w:t>，但由原料均为有机成分，</w:t>
            </w:r>
            <w:r>
              <w:rPr>
                <w:rFonts w:hint="default" w:ascii="Times New Roman" w:hAnsi="Times New Roman" w:eastAsia="宋体" w:cs="Times New Roman"/>
                <w:color w:val="auto"/>
                <w:sz w:val="21"/>
                <w:szCs w:val="21"/>
                <w:highlight w:val="none"/>
                <w:lang w:val="en-US" w:eastAsia="zh-CN"/>
              </w:rPr>
              <w:t>在加热熔融、挤压等</w:t>
            </w:r>
            <w:r>
              <w:rPr>
                <w:rFonts w:hint="default" w:ascii="Times New Roman" w:hAnsi="Times New Roman" w:cs="Times New Roman"/>
                <w:color w:val="auto"/>
                <w:sz w:val="21"/>
                <w:szCs w:val="21"/>
                <w:highlight w:val="none"/>
                <w:lang w:val="en-US" w:eastAsia="zh-CN"/>
              </w:rPr>
              <w:t>高温</w:t>
            </w:r>
            <w:r>
              <w:rPr>
                <w:rFonts w:hint="default" w:ascii="Times New Roman" w:hAnsi="Times New Roman" w:eastAsia="宋体" w:cs="Times New Roman"/>
                <w:color w:val="auto"/>
                <w:sz w:val="21"/>
                <w:szCs w:val="21"/>
                <w:highlight w:val="none"/>
                <w:lang w:val="en-US" w:eastAsia="zh-CN"/>
              </w:rPr>
              <w:t>高压气流的作用下，</w:t>
            </w:r>
            <w:r>
              <w:rPr>
                <w:rFonts w:hint="eastAsia" w:cs="Times New Roman"/>
                <w:color w:val="auto"/>
                <w:sz w:val="21"/>
                <w:szCs w:val="21"/>
                <w:highlight w:val="none"/>
                <w:lang w:val="en-US" w:eastAsia="zh-CN"/>
              </w:rPr>
              <w:t>塑料原料本身内含有的添加剂、助剂等会挥发</w:t>
            </w:r>
            <w:r>
              <w:rPr>
                <w:rFonts w:hint="default" w:ascii="Times New Roman" w:hAnsi="Times New Roman" w:eastAsia="宋体" w:cs="Times New Roman"/>
                <w:color w:val="auto"/>
                <w:sz w:val="21"/>
                <w:szCs w:val="21"/>
                <w:highlight w:val="none"/>
                <w:lang w:val="en-US" w:eastAsia="zh-CN"/>
              </w:rPr>
              <w:t>产生少量</w:t>
            </w:r>
            <w:r>
              <w:rPr>
                <w:rFonts w:hint="default" w:ascii="Times New Roman" w:hAnsi="Times New Roman" w:cs="Times New Roman"/>
                <w:color w:val="auto"/>
                <w:sz w:val="21"/>
                <w:szCs w:val="21"/>
                <w:highlight w:val="none"/>
                <w:lang w:val="en-US" w:eastAsia="zh-CN"/>
              </w:rPr>
              <w:t>有机</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val="en-US" w:eastAsia="zh-CN"/>
              </w:rPr>
              <w:t>，本次评价该部分废气</w:t>
            </w:r>
            <w:r>
              <w:rPr>
                <w:rFonts w:hint="default" w:ascii="Times New Roman" w:hAnsi="Times New Roman" w:eastAsia="宋体" w:cs="Times New Roman"/>
                <w:color w:val="auto"/>
                <w:sz w:val="21"/>
                <w:szCs w:val="21"/>
                <w:highlight w:val="none"/>
                <w:lang w:val="en-US" w:eastAsia="zh-CN"/>
              </w:rPr>
              <w:t>以非甲烷总烃计</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根据《排放源统计调查产排污核算方法和系数手册》（2021年）中“2927日用塑料制品制造行业系数表”中“注塑”挥发性有机物产污系数为2.7kg/吨-产品，“2929塑料零件及其他塑料制品制造行业系数表（续表1）”中“注塑”挥发性有机物产污系数为2.7kg/吨-产品。根据企业</w:t>
            </w:r>
            <w:r>
              <w:rPr>
                <w:rFonts w:hint="default" w:ascii="Times New Roman" w:hAnsi="Times New Roman" w:cs="Times New Roman"/>
                <w:color w:val="auto"/>
                <w:sz w:val="21"/>
                <w:szCs w:val="21"/>
                <w:highlight w:val="none"/>
                <w:lang w:val="en-US" w:eastAsia="zh-CN"/>
              </w:rPr>
              <w:t>提供资料，项目电池密封圈产量为70t/a，牙线棒产量为30t/a，经计算非甲烷总烃产生量为0.27t/a。项目拟将注塑机均设置在生产车间内的二次密闭间内，并在注塑机设备高温挤出和冷却工段上方设置顶吸式集气罩，集气效率按照95%计算，则该工序有组织非甲烷总烃量为0.2565t/a，无组织非甲烷总烃量为0.0135t/a。</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综上所述，项目注塑、冷却工序有组织收集非甲烷总烃量为</w:t>
            </w:r>
            <w:r>
              <w:rPr>
                <w:rFonts w:hint="default" w:ascii="Times New Roman" w:hAnsi="Times New Roman" w:cs="Times New Roman"/>
                <w:color w:val="auto"/>
                <w:highlight w:val="none"/>
                <w:lang w:val="en-US" w:eastAsia="zh-CN"/>
              </w:rPr>
              <w:t>0.2565t/a，收集废气通过1套“UV光催化氧化+活性炭吸附”装置（TA001）进行处理后，经15m高排气筒（DA001）排放，有机废气处理设施设计风量为5000m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参考《吸附法工业有机废气治理工程技术规范》（HJ2026-2013）等资料中工艺设计的一般规定，本次评价“UV光催化氧化+活性炭吸附”装置净化效率保守考虑按照80%计算，工程年工作时间按照2400h计，则上述有组织废气产排情况如下：</w:t>
            </w:r>
          </w:p>
          <w:p>
            <w:pPr>
              <w:pStyle w:val="2"/>
              <w:rPr>
                <w:rFonts w:hint="default" w:ascii="Times New Roman" w:hAnsi="Times New Roman" w:cs="Times New Roman"/>
                <w:color w:val="auto"/>
                <w:highlight w:val="none"/>
                <w:lang w:val="en-US" w:eastAsia="zh-CN"/>
              </w:rPr>
            </w:pPr>
          </w:p>
          <w:p>
            <w:pPr>
              <w:rPr>
                <w:rFonts w:hint="default"/>
                <w:color w:val="auto"/>
                <w:lang w:val="en-US" w:eastAsia="zh-CN"/>
              </w:rPr>
            </w:pP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注塑工序有组织废气</w:t>
            </w:r>
          </w:p>
          <w:tbl>
            <w:tblPr>
              <w:tblStyle w:val="22"/>
              <w:tblW w:w="4996"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720"/>
              <w:gridCol w:w="874"/>
              <w:gridCol w:w="696"/>
              <w:gridCol w:w="774"/>
              <w:gridCol w:w="774"/>
              <w:gridCol w:w="691"/>
              <w:gridCol w:w="812"/>
              <w:gridCol w:w="572"/>
              <w:gridCol w:w="674"/>
              <w:gridCol w:w="674"/>
              <w:gridCol w:w="67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454" w:type="pct"/>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sz w:val="18"/>
                      <w:szCs w:val="18"/>
                      <w:highlight w:val="none"/>
                    </w:rPr>
                    <w:t>方式</w:t>
                  </w:r>
                </w:p>
              </w:tc>
              <w:tc>
                <w:tcPr>
                  <w:tcW w:w="550" w:type="pct"/>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产污工段</w:t>
                  </w:r>
                </w:p>
              </w:tc>
              <w:tc>
                <w:tcPr>
                  <w:tcW w:w="438" w:type="pct"/>
                  <w:vMerge w:val="restar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污染物</w:t>
                  </w:r>
                </w:p>
              </w:tc>
              <w:tc>
                <w:tcPr>
                  <w:tcW w:w="1409" w:type="pct"/>
                  <w:gridSpan w:val="3"/>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产生情况</w:t>
                  </w:r>
                </w:p>
              </w:tc>
              <w:tc>
                <w:tcPr>
                  <w:tcW w:w="511" w:type="pct"/>
                  <w:vMerge w:val="restar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处理</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措施</w:t>
                  </w:r>
                </w:p>
              </w:tc>
              <w:tc>
                <w:tcPr>
                  <w:tcW w:w="360" w:type="pct"/>
                  <w:vMerge w:val="restar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处理效率</w:t>
                  </w:r>
                </w:p>
              </w:tc>
              <w:tc>
                <w:tcPr>
                  <w:tcW w:w="1275" w:type="pct"/>
                  <w:gridSpan w:val="3"/>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排放情况</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454" w:type="pct"/>
                  <w:vMerge w:val="continue"/>
                  <w:tcBorders>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550" w:type="pct"/>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43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487"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cs="Times New Roman"/>
                      <w:color w:val="auto"/>
                      <w:kern w:val="0"/>
                      <w:sz w:val="18"/>
                      <w:szCs w:val="18"/>
                      <w:highlight w:val="none"/>
                    </w:rPr>
                    <w:t>浓度</w:t>
                  </w:r>
                </w:p>
              </w:tc>
              <w:tc>
                <w:tcPr>
                  <w:tcW w:w="487" w:type="pct"/>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cs="Times New Roman"/>
                      <w:color w:val="auto"/>
                      <w:kern w:val="0"/>
                      <w:sz w:val="18"/>
                      <w:szCs w:val="18"/>
                      <w:highlight w:val="none"/>
                      <w:lang w:eastAsia="zh-CN"/>
                    </w:rPr>
                    <w:t>速率</w:t>
                  </w:r>
                </w:p>
              </w:tc>
              <w:tc>
                <w:tcPr>
                  <w:tcW w:w="435"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cs="Times New Roman"/>
                      <w:color w:val="auto"/>
                      <w:kern w:val="0"/>
                      <w:sz w:val="18"/>
                      <w:szCs w:val="18"/>
                      <w:highlight w:val="none"/>
                    </w:rPr>
                    <w:t>产生量</w:t>
                  </w:r>
                </w:p>
              </w:tc>
              <w:tc>
                <w:tcPr>
                  <w:tcW w:w="511"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360" w:type="pct"/>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424"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cs="Times New Roman"/>
                      <w:color w:val="auto"/>
                      <w:kern w:val="0"/>
                      <w:sz w:val="18"/>
                      <w:szCs w:val="18"/>
                      <w:highlight w:val="none"/>
                    </w:rPr>
                    <w:t>浓度</w:t>
                  </w:r>
                </w:p>
              </w:tc>
              <w:tc>
                <w:tcPr>
                  <w:tcW w:w="424"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cs="Times New Roman"/>
                      <w:color w:val="auto"/>
                      <w:kern w:val="0"/>
                      <w:sz w:val="18"/>
                      <w:szCs w:val="18"/>
                      <w:highlight w:val="none"/>
                      <w:lang w:eastAsia="zh-CN"/>
                    </w:rPr>
                    <w:t>速率</w:t>
                  </w:r>
                </w:p>
              </w:tc>
              <w:tc>
                <w:tcPr>
                  <w:tcW w:w="426"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cs="Times New Roman"/>
                      <w:color w:val="auto"/>
                      <w:kern w:val="0"/>
                      <w:sz w:val="18"/>
                      <w:szCs w:val="18"/>
                      <w:highlight w:val="none"/>
                    </w:rPr>
                    <w:t>排放量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454" w:type="pct"/>
                  <w:vMerge w:val="continue"/>
                  <w:tcBorders>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550" w:type="pct"/>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43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487" w:type="pc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487" w:type="pc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val="en-US" w:eastAsia="zh-CN"/>
                    </w:rPr>
                    <w:t>kg/h</w:t>
                  </w:r>
                </w:p>
              </w:tc>
              <w:tc>
                <w:tcPr>
                  <w:tcW w:w="435" w:type="pc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c>
                <w:tcPr>
                  <w:tcW w:w="511"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p>
              </w:tc>
              <w:tc>
                <w:tcPr>
                  <w:tcW w:w="360"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eastAsia="宋体" w:cs="Times New Roman"/>
                      <w:color w:val="auto"/>
                      <w:sz w:val="18"/>
                      <w:szCs w:val="18"/>
                      <w:highlight w:val="none"/>
                      <w:lang w:val="zh-CN"/>
                    </w:rPr>
                    <w:t>%</w:t>
                  </w:r>
                </w:p>
              </w:tc>
              <w:tc>
                <w:tcPr>
                  <w:tcW w:w="424"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424"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kg/h</w:t>
                  </w:r>
                </w:p>
              </w:tc>
              <w:tc>
                <w:tcPr>
                  <w:tcW w:w="426"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454" w:type="pc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zh-CN"/>
                    </w:rPr>
                  </w:pPr>
                  <w:r>
                    <w:rPr>
                      <w:rFonts w:hint="default" w:ascii="Times New Roman" w:hAnsi="Times New Roman" w:cs="Times New Roman"/>
                      <w:color w:val="auto"/>
                      <w:sz w:val="18"/>
                      <w:szCs w:val="18"/>
                      <w:lang w:val="zh-CN"/>
                    </w:rPr>
                    <w:t>有组织</w:t>
                  </w:r>
                </w:p>
              </w:tc>
              <w:tc>
                <w:tcPr>
                  <w:tcW w:w="550" w:type="pc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注塑、冷却工序废气</w:t>
                  </w:r>
                </w:p>
              </w:tc>
              <w:tc>
                <w:tcPr>
                  <w:tcW w:w="438" w:type="pct"/>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Style w:val="82"/>
                      <w:rFonts w:hint="default" w:ascii="Times New Roman" w:hAnsi="Times New Roman" w:eastAsia="宋体" w:cs="Times New Roman"/>
                      <w:color w:val="auto"/>
                      <w:sz w:val="18"/>
                      <w:szCs w:val="18"/>
                      <w:highlight w:val="none"/>
                      <w:lang w:eastAsia="zh-CN"/>
                    </w:rPr>
                  </w:pPr>
                  <w:r>
                    <w:rPr>
                      <w:rStyle w:val="82"/>
                      <w:rFonts w:hint="default" w:ascii="Times New Roman" w:hAnsi="Times New Roman" w:cs="Times New Roman"/>
                      <w:color w:val="auto"/>
                      <w:sz w:val="18"/>
                      <w:szCs w:val="18"/>
                      <w:highlight w:val="none"/>
                      <w:lang w:eastAsia="zh-CN"/>
                    </w:rPr>
                    <w:t>非甲烷总烃</w:t>
                  </w:r>
                </w:p>
              </w:tc>
              <w:tc>
                <w:tcPr>
                  <w:tcW w:w="487" w:type="pct"/>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21.38</w:t>
                  </w:r>
                </w:p>
              </w:tc>
              <w:tc>
                <w:tcPr>
                  <w:tcW w:w="487" w:type="pct"/>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0.107</w:t>
                  </w:r>
                </w:p>
              </w:tc>
              <w:tc>
                <w:tcPr>
                  <w:tcW w:w="435" w:type="pct"/>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0.2565</w:t>
                  </w:r>
                </w:p>
              </w:tc>
              <w:tc>
                <w:tcPr>
                  <w:tcW w:w="511" w:type="pc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UV光催化氧化+活性炭吸附</w:t>
                  </w:r>
                </w:p>
              </w:tc>
              <w:tc>
                <w:tcPr>
                  <w:tcW w:w="360" w:type="pc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80</w:t>
                  </w:r>
                </w:p>
              </w:tc>
              <w:tc>
                <w:tcPr>
                  <w:tcW w:w="424"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4.28</w:t>
                  </w:r>
                </w:p>
              </w:tc>
              <w:tc>
                <w:tcPr>
                  <w:tcW w:w="424"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0.021</w:t>
                  </w:r>
                </w:p>
              </w:tc>
              <w:tc>
                <w:tcPr>
                  <w:tcW w:w="426"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0.0513</w:t>
                  </w:r>
                </w:p>
              </w:tc>
            </w:tr>
          </w:tbl>
          <w:p>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由上表可知，注塑、冷却工序排放非甲烷总烃排放浓度满足《合成树脂工业污染物排放标准》（GB31572-2015）表5特别排放标准限值要求（非甲烷总烃60mg/m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），同时满足《河南省重污染天气重点行业应急减排措施制定技术指南（2021年修订版）》塑料制品行业A级企业绩效分级指标要求（</w:t>
            </w:r>
            <w:r>
              <w:rPr>
                <w:rFonts w:hint="eastAsia" w:cs="Times New Roman"/>
                <w:color w:val="auto"/>
                <w:highlight w:val="none"/>
                <w:lang w:eastAsia="zh-CN"/>
              </w:rPr>
              <w:t>非甲烷总烃</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0mg/m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项目无组织有机废气排放情况如下：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无组织废气排放情况一览表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50"/>
              <w:gridCol w:w="1544"/>
              <w:gridCol w:w="1613"/>
              <w:gridCol w:w="2016"/>
              <w:gridCol w:w="20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2"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方式</w:t>
                  </w:r>
                </w:p>
              </w:tc>
              <w:tc>
                <w:tcPr>
                  <w:tcW w:w="971"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1015"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2539" w:type="pct"/>
                  <w:gridSpan w:val="2"/>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2"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971"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01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26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速率</w:t>
                  </w:r>
                </w:p>
              </w:tc>
              <w:tc>
                <w:tcPr>
                  <w:tcW w:w="127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2"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971"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01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26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kg/h</w:t>
                  </w:r>
                </w:p>
              </w:tc>
              <w:tc>
                <w:tcPr>
                  <w:tcW w:w="127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w:t>
                  </w:r>
                </w:p>
              </w:tc>
              <w:tc>
                <w:tcPr>
                  <w:tcW w:w="97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w:t>
                  </w:r>
                </w:p>
              </w:tc>
              <w:tc>
                <w:tcPr>
                  <w:tcW w:w="101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126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sz w:val="18"/>
                      <w:szCs w:val="18"/>
                      <w:lang w:val="en-US" w:eastAsia="zh-CN"/>
                    </w:rPr>
                  </w:pPr>
                  <w:r>
                    <w:rPr>
                      <w:rFonts w:hint="default" w:ascii="Times New Roman" w:hAnsi="Times New Roman" w:cs="Times New Roman"/>
                      <w:color w:val="auto"/>
                      <w:spacing w:val="-8"/>
                      <w:sz w:val="18"/>
                      <w:szCs w:val="18"/>
                      <w:lang w:val="en-US" w:eastAsia="zh-CN"/>
                    </w:rPr>
                    <w:t>0.006</w:t>
                  </w:r>
                </w:p>
              </w:tc>
              <w:tc>
                <w:tcPr>
                  <w:tcW w:w="127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0.0135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1.1.2上料、破碎工序废气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上料工序颗粒物废气：项目使用的原料PA66尼龙均为颗粒状，参考《逸散性工业粉尘控制技术》（中国环境科学出版社）粒料加工中运输和搬运产生的粉尘排放因子为0.15kg/t（搬运料），本项目物料（主要为粒料）用量约106t/a，则投料粉尘产生量为0.0159t/a。本项目上料采用真空负压吸料方式吸入注塑机内，该过程废气通过真空上料机的抽真空尾气管道直接通入除尘设施进行处理，废气收集效率按照100%收集计算，则有组织废气收集量为0.0159t/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破碎工序：本项目设有7台破碎机对项目产生的不合格产品进行破碎后循环使用，在破碎过程会产生粉尘。参考《排放源统计调查产排污核算方法和系数手册》—“42废弃资源综合利用行业系数手册”中4220非金属废料和碎屑加工处理行业系数表-干法破碎废气污染物颗粒物的产污系数375g/t-原料。本项目不合格产品量共计为5t/a，经计算破碎颗粒物产生量为0.0019t/a。本项目破碎机均设置在生产车间内的二次密闭间内，通过在破碎机上方设置顶吸式集气罩收集，集气效率按照95%计算，则该工序有组织收集颗粒物量为0.0018t/a，无组织颗粒物排放量为0.0001t/a。</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综上所述，项目上料、破碎工序有组织收集颗粒物废气量为</w:t>
            </w:r>
            <w:r>
              <w:rPr>
                <w:rFonts w:hint="default" w:ascii="Times New Roman" w:hAnsi="Times New Roman" w:cs="Times New Roman"/>
                <w:color w:val="auto"/>
                <w:highlight w:val="none"/>
                <w:lang w:val="en-US" w:eastAsia="zh-CN"/>
              </w:rPr>
              <w:t>0.0177t/a，经收集后通过1套脉冲袋式除尘器（TA002）进行处理后，经15m高排气筒（DA002）排放，除尘器废气处理设施设计风量为1</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/h，装置净化效率按照95%计算，工程上料、破碎工序年工作时间按照600h计，则上述综合废气产排情况汇总如下：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上料、破碎工序综合废气</w:t>
            </w:r>
          </w:p>
          <w:tbl>
            <w:tblPr>
              <w:tblStyle w:val="22"/>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558"/>
              <w:gridCol w:w="1040"/>
              <w:gridCol w:w="696"/>
              <w:gridCol w:w="742"/>
              <w:gridCol w:w="742"/>
              <w:gridCol w:w="746"/>
              <w:gridCol w:w="820"/>
              <w:gridCol w:w="572"/>
              <w:gridCol w:w="674"/>
              <w:gridCol w:w="674"/>
              <w:gridCol w:w="67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351" w:type="pct"/>
                  <w:vMerge w:val="restar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sz w:val="18"/>
                      <w:szCs w:val="18"/>
                      <w:highlight w:val="none"/>
                    </w:rPr>
                    <w:t>方式</w:t>
                  </w:r>
                </w:p>
              </w:tc>
              <w:tc>
                <w:tcPr>
                  <w:tcW w:w="654" w:type="pct"/>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产污</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工段</w:t>
                  </w:r>
                </w:p>
              </w:tc>
              <w:tc>
                <w:tcPr>
                  <w:tcW w:w="438" w:type="pct"/>
                  <w:vMerge w:val="restar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污染物</w:t>
                  </w:r>
                </w:p>
              </w:tc>
              <w:tc>
                <w:tcPr>
                  <w:tcW w:w="1403" w:type="pct"/>
                  <w:gridSpan w:val="3"/>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产生情况</w:t>
                  </w:r>
                </w:p>
              </w:tc>
              <w:tc>
                <w:tcPr>
                  <w:tcW w:w="516" w:type="pct"/>
                  <w:vMerge w:val="restar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处理</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措施</w:t>
                  </w:r>
                </w:p>
              </w:tc>
              <w:tc>
                <w:tcPr>
                  <w:tcW w:w="360" w:type="pct"/>
                  <w:vMerge w:val="restar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处理效率</w:t>
                  </w:r>
                </w:p>
              </w:tc>
              <w:tc>
                <w:tcPr>
                  <w:tcW w:w="1275" w:type="pct"/>
                  <w:gridSpan w:val="3"/>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排放情况</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351" w:type="pct"/>
                  <w:vMerge w:val="continue"/>
                  <w:tcBorders>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654" w:type="pct"/>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43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467"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kern w:val="0"/>
                      <w:sz w:val="18"/>
                      <w:szCs w:val="18"/>
                      <w:highlight w:val="none"/>
                    </w:rPr>
                    <w:t>浓度</w:t>
                  </w:r>
                </w:p>
              </w:tc>
              <w:tc>
                <w:tcPr>
                  <w:tcW w:w="467" w:type="pct"/>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kern w:val="0"/>
                      <w:sz w:val="18"/>
                      <w:szCs w:val="18"/>
                      <w:highlight w:val="none"/>
                      <w:lang w:eastAsia="zh-CN"/>
                    </w:rPr>
                    <w:t>速率</w:t>
                  </w:r>
                </w:p>
              </w:tc>
              <w:tc>
                <w:tcPr>
                  <w:tcW w:w="469"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kern w:val="0"/>
                      <w:sz w:val="18"/>
                      <w:szCs w:val="18"/>
                      <w:highlight w:val="none"/>
                    </w:rPr>
                    <w:t>产生量</w:t>
                  </w:r>
                </w:p>
              </w:tc>
              <w:tc>
                <w:tcPr>
                  <w:tcW w:w="516"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360" w:type="pct"/>
                  <w:vMerge w:val="continue"/>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424"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kern w:val="0"/>
                      <w:sz w:val="18"/>
                      <w:szCs w:val="18"/>
                      <w:highlight w:val="none"/>
                    </w:rPr>
                    <w:t>浓度</w:t>
                  </w:r>
                </w:p>
              </w:tc>
              <w:tc>
                <w:tcPr>
                  <w:tcW w:w="424"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kern w:val="0"/>
                      <w:sz w:val="18"/>
                      <w:szCs w:val="18"/>
                      <w:highlight w:val="none"/>
                      <w:lang w:eastAsia="zh-CN"/>
                    </w:rPr>
                    <w:t>速率</w:t>
                  </w:r>
                </w:p>
              </w:tc>
              <w:tc>
                <w:tcPr>
                  <w:tcW w:w="426"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kern w:val="0"/>
                      <w:sz w:val="18"/>
                      <w:szCs w:val="18"/>
                      <w:highlight w:val="none"/>
                    </w:rPr>
                    <w:t>排放量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351" w:type="pct"/>
                  <w:vMerge w:val="continue"/>
                  <w:tcBorders>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654" w:type="pct"/>
                  <w:vMerge w:val="continue"/>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438"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467" w:type="pc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467" w:type="pc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val="en-US" w:eastAsia="zh-CN"/>
                    </w:rPr>
                    <w:t>kg/h</w:t>
                  </w:r>
                </w:p>
              </w:tc>
              <w:tc>
                <w:tcPr>
                  <w:tcW w:w="469" w:type="pc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c>
                <w:tcPr>
                  <w:tcW w:w="516" w:type="pct"/>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p>
              </w:tc>
              <w:tc>
                <w:tcPr>
                  <w:tcW w:w="360"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w:t>
                  </w:r>
                </w:p>
              </w:tc>
              <w:tc>
                <w:tcPr>
                  <w:tcW w:w="424"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424"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kg/h</w:t>
                  </w:r>
                </w:p>
              </w:tc>
              <w:tc>
                <w:tcPr>
                  <w:tcW w:w="426" w:type="pct"/>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351" w:type="pct"/>
                  <w:tcBorders>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zh-CN"/>
                    </w:rPr>
                  </w:pPr>
                  <w:r>
                    <w:rPr>
                      <w:rFonts w:hint="default" w:ascii="Times New Roman" w:hAnsi="Times New Roman" w:cs="Times New Roman"/>
                      <w:color w:val="auto"/>
                      <w:sz w:val="18"/>
                      <w:szCs w:val="18"/>
                      <w:highlight w:val="none"/>
                      <w:lang w:val="zh-CN"/>
                    </w:rPr>
                    <w:t>有组织</w:t>
                  </w:r>
                </w:p>
              </w:tc>
              <w:tc>
                <w:tcPr>
                  <w:tcW w:w="654" w:type="pc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上料、破碎工序综合废气</w:t>
                  </w:r>
                </w:p>
              </w:tc>
              <w:tc>
                <w:tcPr>
                  <w:tcW w:w="438" w:type="pct"/>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Style w:val="82"/>
                      <w:rFonts w:hint="default" w:ascii="Times New Roman" w:hAnsi="Times New Roman" w:eastAsia="宋体" w:cs="Times New Roman"/>
                      <w:color w:val="auto"/>
                      <w:sz w:val="18"/>
                      <w:szCs w:val="18"/>
                      <w:highlight w:val="none"/>
                      <w:lang w:eastAsia="zh-CN"/>
                    </w:rPr>
                  </w:pPr>
                  <w:r>
                    <w:rPr>
                      <w:rStyle w:val="82"/>
                      <w:rFonts w:hint="default" w:ascii="Times New Roman" w:hAnsi="Times New Roman" w:eastAsia="宋体" w:cs="Times New Roman"/>
                      <w:color w:val="auto"/>
                      <w:sz w:val="18"/>
                      <w:szCs w:val="18"/>
                      <w:highlight w:val="none"/>
                      <w:lang w:eastAsia="zh-CN"/>
                    </w:rPr>
                    <w:t>颗粒物</w:t>
                  </w:r>
                </w:p>
              </w:tc>
              <w:tc>
                <w:tcPr>
                  <w:tcW w:w="467" w:type="pct"/>
                  <w:tcBorders>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467" w:type="pct"/>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0.03</w:t>
                  </w:r>
                </w:p>
              </w:tc>
              <w:tc>
                <w:tcPr>
                  <w:tcW w:w="469" w:type="pct"/>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0.0177</w:t>
                  </w:r>
                </w:p>
              </w:tc>
              <w:tc>
                <w:tcPr>
                  <w:tcW w:w="516" w:type="pct"/>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脉冲袋式除尘器</w:t>
                  </w:r>
                </w:p>
              </w:tc>
              <w:tc>
                <w:tcPr>
                  <w:tcW w:w="360" w:type="pct"/>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95</w:t>
                  </w:r>
                </w:p>
              </w:tc>
              <w:tc>
                <w:tcPr>
                  <w:tcW w:w="424"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424"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0.002</w:t>
                  </w:r>
                </w:p>
              </w:tc>
              <w:tc>
                <w:tcPr>
                  <w:tcW w:w="426" w:type="pct"/>
                  <w:tcBorders>
                    <w:top w:val="single" w:color="auto" w:sz="4" w:space="0"/>
                    <w:bottom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0.0009</w:t>
                  </w:r>
                </w:p>
              </w:tc>
            </w:tr>
          </w:tbl>
          <w:p>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lang w:eastAsia="zh-CN"/>
              </w:rPr>
              <w:t>由上表可</w:t>
            </w:r>
            <w:r>
              <w:rPr>
                <w:rFonts w:hint="default" w:ascii="Times New Roman" w:hAnsi="Times New Roman" w:cs="Times New Roman"/>
                <w:color w:val="auto"/>
                <w:highlight w:val="none"/>
                <w:lang w:eastAsia="zh-CN"/>
              </w:rPr>
              <w:t>知，上料混合、破碎工序排放颗粒物排放浓度满足《合成树脂工业污染物排放标准》（GB31572-2015）表5特别排放标准限值要求（</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lang w:eastAsia="zh-CN"/>
              </w:rPr>
              <w:t>mg/m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），同时满足《河南省重污染天气重点行业应急减排措施制定技术指南（2021年修订版）》塑料制品行业A级企业绩效分级指标要求（</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0mg/m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项目</w:t>
            </w:r>
            <w:r>
              <w:rPr>
                <w:rFonts w:hint="eastAsia" w:cs="Times New Roman"/>
                <w:color w:val="auto"/>
                <w:lang w:eastAsia="zh-CN"/>
              </w:rPr>
              <w:t>上料、破碎工序</w:t>
            </w:r>
            <w:r>
              <w:rPr>
                <w:rFonts w:hint="default" w:ascii="Times New Roman" w:hAnsi="Times New Roman" w:cs="Times New Roman"/>
                <w:color w:val="auto"/>
                <w:lang w:eastAsia="zh-CN"/>
              </w:rPr>
              <w:t>无组织废气排放情况如下：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无组织废气排放情况一览表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05"/>
              <w:gridCol w:w="1490"/>
              <w:gridCol w:w="1613"/>
              <w:gridCol w:w="2015"/>
              <w:gridCol w:w="20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7"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方式</w:t>
                  </w:r>
                </w:p>
              </w:tc>
              <w:tc>
                <w:tcPr>
                  <w:tcW w:w="938"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1015"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2539" w:type="pct"/>
                  <w:gridSpan w:val="2"/>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93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01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26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速率</w:t>
                  </w:r>
                </w:p>
              </w:tc>
              <w:tc>
                <w:tcPr>
                  <w:tcW w:w="1270"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938"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01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26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kg/h</w:t>
                  </w:r>
                </w:p>
              </w:tc>
              <w:tc>
                <w:tcPr>
                  <w:tcW w:w="1270"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无组织</w:t>
                  </w:r>
                </w:p>
              </w:tc>
              <w:tc>
                <w:tcPr>
                  <w:tcW w:w="93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生产车间</w:t>
                  </w:r>
                </w:p>
              </w:tc>
              <w:tc>
                <w:tcPr>
                  <w:tcW w:w="101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颗粒物</w:t>
                  </w:r>
                </w:p>
              </w:tc>
              <w:tc>
                <w:tcPr>
                  <w:tcW w:w="126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sz w:val="18"/>
                      <w:szCs w:val="18"/>
                      <w:highlight w:val="none"/>
                      <w:lang w:val="en-US" w:eastAsia="zh-CN"/>
                    </w:rPr>
                  </w:pPr>
                  <w:r>
                    <w:rPr>
                      <w:rFonts w:hint="default" w:ascii="Times New Roman" w:hAnsi="Times New Roman" w:cs="Times New Roman"/>
                      <w:color w:val="auto"/>
                      <w:spacing w:val="-8"/>
                      <w:sz w:val="18"/>
                      <w:szCs w:val="18"/>
                      <w:highlight w:val="none"/>
                      <w:lang w:val="en-US" w:eastAsia="zh-CN"/>
                    </w:rPr>
                    <w:t>0.0002</w:t>
                  </w:r>
                </w:p>
              </w:tc>
              <w:tc>
                <w:tcPr>
                  <w:tcW w:w="127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0.0001</w:t>
                  </w:r>
                </w:p>
              </w:tc>
            </w:tr>
          </w:tbl>
          <w:p>
            <w:pPr>
              <w:pStyle w:val="2"/>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综上所述，项目全厂废气产排情况汇总如下：</w:t>
            </w:r>
          </w:p>
          <w:p>
            <w:pPr>
              <w:bidi w:val="0"/>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color w:val="auto"/>
                <w:lang w:val="en-US" w:eastAsia="zh-CN"/>
              </w:rPr>
            </w:pPr>
          </w:p>
          <w:p>
            <w:pPr>
              <w:bidi w:val="0"/>
              <w:rPr>
                <w:rFonts w:hint="default" w:ascii="Times New Roman" w:hAnsi="Times New Roman" w:cs="Times New Roman"/>
                <w:color w:val="auto"/>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highlight w:val="gree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6" w:hRule="atLeast"/>
          <w:jc w:val="center"/>
        </w:trPr>
        <w:tc>
          <w:tcPr>
            <w:tcW w:w="5000" w:type="pct"/>
            <w:vAlign w:val="top"/>
          </w:tcPr>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有组织废气产排放及治理设施情况汇总一览表</w:t>
            </w:r>
          </w:p>
          <w:tbl>
            <w:tblPr>
              <w:tblStyle w:val="22"/>
              <w:tblW w:w="4995"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80"/>
              <w:gridCol w:w="1006"/>
              <w:gridCol w:w="1117"/>
              <w:gridCol w:w="871"/>
              <w:gridCol w:w="974"/>
              <w:gridCol w:w="977"/>
              <w:gridCol w:w="871"/>
              <w:gridCol w:w="2497"/>
              <w:gridCol w:w="627"/>
              <w:gridCol w:w="937"/>
              <w:gridCol w:w="937"/>
              <w:gridCol w:w="938"/>
              <w:gridCol w:w="795"/>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57" w:type="pct"/>
                  <w:vMerge w:val="restart"/>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排放源</w:t>
                  </w:r>
                </w:p>
              </w:tc>
              <w:tc>
                <w:tcPr>
                  <w:tcW w:w="380" w:type="pct"/>
                  <w:vMerge w:val="restart"/>
                  <w:tcBorders>
                    <w:lef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产污环节</w:t>
                  </w:r>
                </w:p>
              </w:tc>
              <w:tc>
                <w:tcPr>
                  <w:tcW w:w="422"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污染物</w:t>
                  </w:r>
                  <w:r>
                    <w:rPr>
                      <w:rFonts w:hint="default" w:ascii="Times New Roman" w:hAnsi="Times New Roman" w:cs="Times New Roman"/>
                      <w:color w:val="auto"/>
                      <w:kern w:val="0"/>
                      <w:sz w:val="18"/>
                      <w:szCs w:val="18"/>
                      <w:highlight w:val="none"/>
                      <w:lang w:eastAsia="zh-CN"/>
                    </w:rPr>
                    <w:t>种类</w:t>
                  </w:r>
                </w:p>
              </w:tc>
              <w:tc>
                <w:tcPr>
                  <w:tcW w:w="329" w:type="pct"/>
                  <w:vMerge w:val="restart"/>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废气量</w:t>
                  </w:r>
                </w:p>
              </w:tc>
              <w:tc>
                <w:tcPr>
                  <w:tcW w:w="1066" w:type="pct"/>
                  <w:gridSpan w:val="3"/>
                  <w:tcBorders>
                    <w:left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污染物产生</w:t>
                  </w:r>
                  <w:r>
                    <w:rPr>
                      <w:rFonts w:hint="default" w:ascii="Times New Roman" w:hAnsi="Times New Roman" w:cs="Times New Roman"/>
                      <w:color w:val="auto"/>
                      <w:kern w:val="0"/>
                      <w:sz w:val="18"/>
                      <w:szCs w:val="18"/>
                      <w:highlight w:val="none"/>
                      <w:lang w:eastAsia="zh-CN"/>
                    </w:rPr>
                    <w:t>情况</w:t>
                  </w:r>
                </w:p>
              </w:tc>
              <w:tc>
                <w:tcPr>
                  <w:tcW w:w="1180" w:type="pct"/>
                  <w:gridSpan w:val="2"/>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治理措施</w:t>
                  </w:r>
                </w:p>
              </w:tc>
              <w:tc>
                <w:tcPr>
                  <w:tcW w:w="1062" w:type="pct"/>
                  <w:gridSpan w:val="3"/>
                  <w:tcBorders>
                    <w:lef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w:t>
                  </w:r>
                  <w:r>
                    <w:rPr>
                      <w:rFonts w:hint="default" w:ascii="Times New Roman" w:hAnsi="Times New Roman" w:cs="Times New Roman"/>
                      <w:color w:val="auto"/>
                      <w:kern w:val="0"/>
                      <w:sz w:val="18"/>
                      <w:szCs w:val="18"/>
                      <w:highlight w:val="none"/>
                      <w:lang w:eastAsia="zh-CN"/>
                    </w:rPr>
                    <w:t>情况</w:t>
                  </w:r>
                </w:p>
              </w:tc>
              <w:tc>
                <w:tcPr>
                  <w:tcW w:w="300"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时间</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25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380" w:type="pct"/>
                  <w:vMerge w:val="continue"/>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42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329" w:type="pct"/>
                  <w:vMerge w:val="continue"/>
                  <w:tcBorders>
                    <w:bottom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p>
              </w:tc>
              <w:tc>
                <w:tcPr>
                  <w:tcW w:w="368" w:type="pct"/>
                  <w:tcBorders>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产生浓度</w:t>
                  </w:r>
                </w:p>
              </w:tc>
              <w:tc>
                <w:tcPr>
                  <w:tcW w:w="369" w:type="pct"/>
                  <w:tcBorders>
                    <w:left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产生速率</w:t>
                  </w:r>
                </w:p>
              </w:tc>
              <w:tc>
                <w:tcPr>
                  <w:tcW w:w="329" w:type="pct"/>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产生量</w:t>
                  </w:r>
                </w:p>
              </w:tc>
              <w:tc>
                <w:tcPr>
                  <w:tcW w:w="943" w:type="pct"/>
                  <w:vMerge w:val="restart"/>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eastAsia="zh-CN"/>
                    </w:rPr>
                    <w:t>治理</w:t>
                  </w:r>
                  <w:r>
                    <w:rPr>
                      <w:rFonts w:hint="default" w:ascii="Times New Roman" w:hAnsi="Times New Roman" w:cs="Times New Roman"/>
                      <w:color w:val="auto"/>
                      <w:kern w:val="0"/>
                      <w:sz w:val="18"/>
                      <w:szCs w:val="18"/>
                      <w:highlight w:val="none"/>
                    </w:rPr>
                    <w:t>工艺</w:t>
                  </w:r>
                </w:p>
              </w:tc>
              <w:tc>
                <w:tcPr>
                  <w:tcW w:w="237" w:type="pct"/>
                  <w:tcBorders>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治理效率</w:t>
                  </w:r>
                </w:p>
              </w:tc>
              <w:tc>
                <w:tcPr>
                  <w:tcW w:w="354" w:type="pct"/>
                  <w:tcBorders>
                    <w:left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排放浓度</w:t>
                  </w:r>
                </w:p>
              </w:tc>
              <w:tc>
                <w:tcPr>
                  <w:tcW w:w="354" w:type="pct"/>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eastAsia="zh-CN"/>
                    </w:rPr>
                    <w:t>排放速率</w:t>
                  </w:r>
                </w:p>
              </w:tc>
              <w:tc>
                <w:tcPr>
                  <w:tcW w:w="354" w:type="pct"/>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排放量</w:t>
                  </w:r>
                </w:p>
              </w:tc>
              <w:tc>
                <w:tcPr>
                  <w:tcW w:w="300" w:type="pct"/>
                  <w:vMerge w:val="continue"/>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03" w:hRule="atLeast"/>
                <w:jc w:val="center"/>
              </w:trPr>
              <w:tc>
                <w:tcPr>
                  <w:tcW w:w="257" w:type="pct"/>
                  <w:vMerge w:val="continue"/>
                  <w:tcBorders>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380" w:type="pct"/>
                  <w:vMerge w:val="continue"/>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42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kern w:val="0"/>
                      <w:sz w:val="18"/>
                      <w:szCs w:val="18"/>
                      <w:highlight w:val="none"/>
                    </w:rPr>
                  </w:pPr>
                </w:p>
              </w:tc>
              <w:tc>
                <w:tcPr>
                  <w:tcW w:w="329" w:type="pct"/>
                  <w:tcBorders>
                    <w:top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w:t>
                  </w:r>
                  <w:r>
                    <w:rPr>
                      <w:rFonts w:hint="default" w:ascii="Times New Roman" w:hAnsi="Times New Roman" w:cs="Times New Roman"/>
                      <w:color w:val="auto"/>
                      <w:kern w:val="0"/>
                      <w:sz w:val="18"/>
                      <w:szCs w:val="18"/>
                      <w:highlight w:val="none"/>
                      <w:vertAlign w:val="superscript"/>
                    </w:rPr>
                    <w:t>3</w:t>
                  </w:r>
                  <w:r>
                    <w:rPr>
                      <w:rFonts w:hint="default" w:ascii="Times New Roman" w:hAnsi="Times New Roman" w:cs="Times New Roman"/>
                      <w:color w:val="auto"/>
                      <w:kern w:val="0"/>
                      <w:sz w:val="18"/>
                      <w:szCs w:val="18"/>
                      <w:highlight w:val="none"/>
                    </w:rPr>
                    <w:t>/h</w:t>
                  </w:r>
                </w:p>
              </w:tc>
              <w:tc>
                <w:tcPr>
                  <w:tcW w:w="368" w:type="pct"/>
                  <w:tcBorders>
                    <w:top w:val="single" w:color="auto" w:sz="4" w:space="0"/>
                    <w:left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369" w:type="pct"/>
                  <w:tcBorders>
                    <w:top w:val="single" w:color="auto" w:sz="4" w:space="0"/>
                    <w:lef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val="en-US" w:eastAsia="zh-CN"/>
                    </w:rPr>
                    <w:t>kg/h</w:t>
                  </w:r>
                </w:p>
              </w:tc>
              <w:tc>
                <w:tcPr>
                  <w:tcW w:w="329" w:type="pct"/>
                  <w:tcBorders>
                    <w:top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c>
                <w:tcPr>
                  <w:tcW w:w="943" w:type="pct"/>
                  <w:vMerge w:val="continue"/>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p>
              </w:tc>
              <w:tc>
                <w:tcPr>
                  <w:tcW w:w="23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w:t>
                  </w:r>
                </w:p>
              </w:tc>
              <w:tc>
                <w:tcPr>
                  <w:tcW w:w="354" w:type="pct"/>
                  <w:tcBorders>
                    <w:top w:val="single" w:color="auto" w:sz="4" w:space="0"/>
                    <w:left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mg/m</w:t>
                  </w:r>
                  <w:r>
                    <w:rPr>
                      <w:rFonts w:hint="default" w:ascii="Times New Roman" w:hAnsi="Times New Roman" w:cs="Times New Roman"/>
                      <w:color w:val="auto"/>
                      <w:kern w:val="0"/>
                      <w:sz w:val="18"/>
                      <w:szCs w:val="18"/>
                      <w:highlight w:val="none"/>
                      <w:vertAlign w:val="superscript"/>
                    </w:rPr>
                    <w:t>3</w:t>
                  </w:r>
                </w:p>
              </w:tc>
              <w:tc>
                <w:tcPr>
                  <w:tcW w:w="354"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val="en-US" w:eastAsia="zh-CN"/>
                    </w:rPr>
                    <w:t>kg/h</w:t>
                  </w:r>
                </w:p>
              </w:tc>
              <w:tc>
                <w:tcPr>
                  <w:tcW w:w="354"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t/a</w:t>
                  </w:r>
                </w:p>
              </w:tc>
              <w:tc>
                <w:tcPr>
                  <w:tcW w:w="300"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h/a</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257"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生产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车间</w:t>
                  </w:r>
                </w:p>
              </w:tc>
              <w:tc>
                <w:tcPr>
                  <w:tcW w:w="380"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注塑、冷却工序</w:t>
                  </w:r>
                </w:p>
              </w:tc>
              <w:tc>
                <w:tcPr>
                  <w:tcW w:w="42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2"/>
                      <w:sz w:val="18"/>
                      <w:szCs w:val="18"/>
                      <w:highlight w:val="none"/>
                      <w:lang w:val="en-US" w:eastAsia="zh-CN" w:bidi="ar-SA"/>
                    </w:rPr>
                    <w:t>非甲烷总烃</w:t>
                  </w:r>
                </w:p>
              </w:tc>
              <w:tc>
                <w:tcPr>
                  <w:tcW w:w="32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5000</w:t>
                  </w:r>
                </w:p>
              </w:tc>
              <w:tc>
                <w:tcPr>
                  <w:tcW w:w="368"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21.38</w:t>
                  </w:r>
                </w:p>
              </w:tc>
              <w:tc>
                <w:tcPr>
                  <w:tcW w:w="369"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0.107</w:t>
                  </w:r>
                </w:p>
              </w:tc>
              <w:tc>
                <w:tcPr>
                  <w:tcW w:w="329"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0.2565</w:t>
                  </w:r>
                </w:p>
              </w:tc>
              <w:tc>
                <w:tcPr>
                  <w:tcW w:w="943" w:type="pct"/>
                  <w:tcBorders>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UV光催化氧化+活性炭吸附+15m排气筒</w:t>
                  </w:r>
                </w:p>
              </w:tc>
              <w:tc>
                <w:tcPr>
                  <w:tcW w:w="237" w:type="pct"/>
                  <w:tcBorders>
                    <w:top w:val="single" w:color="auto" w:sz="4" w:space="0"/>
                    <w:left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80</w:t>
                  </w:r>
                </w:p>
              </w:tc>
              <w:tc>
                <w:tcPr>
                  <w:tcW w:w="354" w:type="pct"/>
                  <w:tcBorders>
                    <w:top w:val="single" w:color="auto" w:sz="4" w:space="0"/>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4.28</w:t>
                  </w:r>
                </w:p>
              </w:tc>
              <w:tc>
                <w:tcPr>
                  <w:tcW w:w="354" w:type="pct"/>
                  <w:tcBorders>
                    <w:top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0.021</w:t>
                  </w:r>
                </w:p>
              </w:tc>
              <w:tc>
                <w:tcPr>
                  <w:tcW w:w="354" w:type="pct"/>
                  <w:tcBorders>
                    <w:top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0.0513</w:t>
                  </w:r>
                </w:p>
              </w:tc>
              <w:tc>
                <w:tcPr>
                  <w:tcW w:w="300"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2400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257"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p>
              </w:tc>
              <w:tc>
                <w:tcPr>
                  <w:tcW w:w="380" w:type="pct"/>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上料、破碎工序</w:t>
                  </w:r>
                </w:p>
              </w:tc>
              <w:tc>
                <w:tcPr>
                  <w:tcW w:w="422" w:type="pct"/>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颗粒物</w:t>
                  </w:r>
                </w:p>
              </w:tc>
              <w:tc>
                <w:tcPr>
                  <w:tcW w:w="329" w:type="pct"/>
                  <w:tcBorders>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1000</w:t>
                  </w:r>
                </w:p>
              </w:tc>
              <w:tc>
                <w:tcPr>
                  <w:tcW w:w="974" w:type="dxa"/>
                  <w:tcBorders>
                    <w:bottom w:val="single" w:color="auto" w:sz="4" w:space="0"/>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977" w:type="dxa"/>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0.03</w:t>
                  </w:r>
                </w:p>
              </w:tc>
              <w:tc>
                <w:tcPr>
                  <w:tcW w:w="871" w:type="dxa"/>
                  <w:tcBorders>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0.0177</w:t>
                  </w:r>
                </w:p>
              </w:tc>
              <w:tc>
                <w:tcPr>
                  <w:tcW w:w="943" w:type="pct"/>
                  <w:tcBorders>
                    <w:bottom w:val="single" w:color="auto" w:sz="4" w:space="0"/>
                    <w:right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脉冲袋式除尘器+15m排气筒</w:t>
                  </w:r>
                </w:p>
              </w:tc>
              <w:tc>
                <w:tcPr>
                  <w:tcW w:w="23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95</w:t>
                  </w:r>
                </w:p>
              </w:tc>
              <w:tc>
                <w:tcPr>
                  <w:tcW w:w="937" w:type="dxa"/>
                  <w:tcBorders>
                    <w:top w:val="single" w:color="auto" w:sz="4" w:space="0"/>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w:t>
                  </w:r>
                </w:p>
              </w:tc>
              <w:tc>
                <w:tcPr>
                  <w:tcW w:w="937" w:type="dxa"/>
                  <w:tcBorders>
                    <w:top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0.002</w:t>
                  </w:r>
                </w:p>
              </w:tc>
              <w:tc>
                <w:tcPr>
                  <w:tcW w:w="938" w:type="dxa"/>
                  <w:tcBorders>
                    <w:top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0.0009</w:t>
                  </w:r>
                </w:p>
              </w:tc>
              <w:tc>
                <w:tcPr>
                  <w:tcW w:w="300" w:type="pct"/>
                  <w:tcBorders>
                    <w:top w:val="single" w:color="auto" w:sz="4" w:space="0"/>
                    <w:bottom w:val="single" w:color="auto" w:sz="4" w:space="0"/>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600</w:t>
                  </w:r>
                </w:p>
              </w:tc>
            </w:tr>
          </w:tbl>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无组织废气产排情况汇总一览表</w:t>
            </w:r>
          </w:p>
          <w:tbl>
            <w:tblPr>
              <w:tblStyle w:val="22"/>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91"/>
              <w:gridCol w:w="1054"/>
              <w:gridCol w:w="1446"/>
              <w:gridCol w:w="1451"/>
              <w:gridCol w:w="4301"/>
              <w:gridCol w:w="1518"/>
              <w:gridCol w:w="1520"/>
              <w:gridCol w:w="85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2" w:type="pct"/>
                  <w:vMerge w:val="restart"/>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en-US"/>
                    </w:rPr>
                    <w:t>排放源</w:t>
                  </w:r>
                </w:p>
              </w:tc>
              <w:tc>
                <w:tcPr>
                  <w:tcW w:w="398" w:type="pct"/>
                  <w:vMerge w:val="restart"/>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en-US"/>
                    </w:rPr>
                    <w:t>污染物</w:t>
                  </w:r>
                </w:p>
              </w:tc>
              <w:tc>
                <w:tcPr>
                  <w:tcW w:w="1094" w:type="pct"/>
                  <w:gridSpan w:val="2"/>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产生情况</w:t>
                  </w:r>
                </w:p>
              </w:tc>
              <w:tc>
                <w:tcPr>
                  <w:tcW w:w="1624" w:type="pct"/>
                  <w:vMerge w:val="restart"/>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en-US"/>
                    </w:rPr>
                    <w:t>治理措施</w:t>
                  </w:r>
                </w:p>
              </w:tc>
              <w:tc>
                <w:tcPr>
                  <w:tcW w:w="1147" w:type="pct"/>
                  <w:gridSpan w:val="2"/>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排放</w:t>
                  </w:r>
                  <w:r>
                    <w:rPr>
                      <w:rFonts w:hint="default" w:ascii="Times New Roman" w:hAnsi="Times New Roman" w:cs="Times New Roman"/>
                      <w:color w:val="auto"/>
                      <w:sz w:val="18"/>
                      <w:szCs w:val="18"/>
                      <w:highlight w:val="none"/>
                      <w:lang w:eastAsia="zh-CN"/>
                    </w:rPr>
                    <w:t>情况</w:t>
                  </w:r>
                </w:p>
              </w:tc>
              <w:tc>
                <w:tcPr>
                  <w:tcW w:w="322" w:type="pct"/>
                  <w:vMerge w:val="restart"/>
                  <w:noWrap w:val="0"/>
                  <w:vAlign w:val="center"/>
                </w:tcPr>
                <w:p>
                  <w:pPr>
                    <w:pStyle w:val="67"/>
                    <w:keepNext w:val="0"/>
                    <w:keepLines w:val="0"/>
                    <w:pageBreakBefore w:val="0"/>
                    <w:shd w:val="clear" w:color="auto" w:fill="auto"/>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eastAsia="宋体" w:cs="Times New Roman"/>
                      <w:color w:val="auto"/>
                      <w:kern w:val="2"/>
                      <w:sz w:val="18"/>
                      <w:szCs w:val="18"/>
                      <w:highlight w:val="none"/>
                    </w:rPr>
                    <w:t>排放时间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2"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p>
              </w:tc>
              <w:tc>
                <w:tcPr>
                  <w:tcW w:w="398"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p>
              </w:tc>
              <w:tc>
                <w:tcPr>
                  <w:tcW w:w="546" w:type="pct"/>
                  <w:tcBorders>
                    <w:bottom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en-US"/>
                    </w:rPr>
                    <w:t>速率</w:t>
                  </w:r>
                </w:p>
              </w:tc>
              <w:tc>
                <w:tcPr>
                  <w:tcW w:w="548" w:type="pct"/>
                  <w:tcBorders>
                    <w:bottom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zh-CN"/>
                    </w:rPr>
                    <w:t>产生</w:t>
                  </w:r>
                  <w:r>
                    <w:rPr>
                      <w:rFonts w:hint="default" w:ascii="Times New Roman" w:hAnsi="Times New Roman" w:cs="Times New Roman"/>
                      <w:color w:val="auto"/>
                      <w:sz w:val="18"/>
                      <w:szCs w:val="18"/>
                      <w:highlight w:val="none"/>
                      <w:lang w:eastAsia="en-US"/>
                    </w:rPr>
                    <w:t>量</w:t>
                  </w:r>
                </w:p>
              </w:tc>
              <w:tc>
                <w:tcPr>
                  <w:tcW w:w="1624"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p>
              </w:tc>
              <w:tc>
                <w:tcPr>
                  <w:tcW w:w="573" w:type="pct"/>
                  <w:tcBorders>
                    <w:bottom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en-US"/>
                    </w:rPr>
                    <w:t>速率</w:t>
                  </w:r>
                </w:p>
              </w:tc>
              <w:tc>
                <w:tcPr>
                  <w:tcW w:w="574" w:type="pct"/>
                  <w:tcBorders>
                    <w:bottom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zh-CN"/>
                    </w:rPr>
                    <w:t>排放</w:t>
                  </w:r>
                  <w:r>
                    <w:rPr>
                      <w:rFonts w:hint="default" w:ascii="Times New Roman" w:hAnsi="Times New Roman" w:cs="Times New Roman"/>
                      <w:color w:val="auto"/>
                      <w:sz w:val="18"/>
                      <w:szCs w:val="18"/>
                      <w:highlight w:val="none"/>
                      <w:lang w:eastAsia="en-US"/>
                    </w:rPr>
                    <w:t>量</w:t>
                  </w:r>
                </w:p>
              </w:tc>
              <w:tc>
                <w:tcPr>
                  <w:tcW w:w="322" w:type="pct"/>
                  <w:vMerge w:val="continue"/>
                  <w:tcBorders>
                    <w:bottom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2"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p>
              </w:tc>
              <w:tc>
                <w:tcPr>
                  <w:tcW w:w="398"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p>
              </w:tc>
              <w:tc>
                <w:tcPr>
                  <w:tcW w:w="546" w:type="pct"/>
                  <w:tcBorders>
                    <w:top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en-US"/>
                    </w:rPr>
                    <w:t>kg/h</w:t>
                  </w:r>
                </w:p>
              </w:tc>
              <w:tc>
                <w:tcPr>
                  <w:tcW w:w="548" w:type="pct"/>
                  <w:tcBorders>
                    <w:top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en-US"/>
                    </w:rPr>
                    <w:t>t/a</w:t>
                  </w:r>
                </w:p>
              </w:tc>
              <w:tc>
                <w:tcPr>
                  <w:tcW w:w="1624"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p>
              </w:tc>
              <w:tc>
                <w:tcPr>
                  <w:tcW w:w="573" w:type="pct"/>
                  <w:tcBorders>
                    <w:top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color w:val="auto"/>
                      <w:sz w:val="18"/>
                      <w:szCs w:val="18"/>
                      <w:highlight w:val="none"/>
                      <w:lang w:eastAsia="en-US"/>
                    </w:rPr>
                    <w:t>kg/h</w:t>
                  </w:r>
                </w:p>
              </w:tc>
              <w:tc>
                <w:tcPr>
                  <w:tcW w:w="574" w:type="pct"/>
                  <w:tcBorders>
                    <w:top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en-US"/>
                    </w:rPr>
                    <w:t>t/a</w:t>
                  </w:r>
                </w:p>
              </w:tc>
              <w:tc>
                <w:tcPr>
                  <w:tcW w:w="322" w:type="pct"/>
                  <w:tcBorders>
                    <w:top w:val="single" w:color="auto" w:sz="4" w:space="0"/>
                    <w:bottom w:val="single" w:color="auto" w:sz="4"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h/a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2" w:type="pct"/>
                  <w:vMerge w:val="restart"/>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生产车间</w:t>
                  </w:r>
                </w:p>
              </w:tc>
              <w:tc>
                <w:tcPr>
                  <w:tcW w:w="39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非甲烷总烃</w:t>
                  </w:r>
                </w:p>
              </w:tc>
              <w:tc>
                <w:tcPr>
                  <w:tcW w:w="5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kern w:val="2"/>
                      <w:sz w:val="18"/>
                      <w:szCs w:val="18"/>
                      <w:highlight w:val="none"/>
                      <w:lang w:val="en-US" w:eastAsia="zh-CN" w:bidi="ar-SA"/>
                    </w:rPr>
                  </w:pPr>
                  <w:r>
                    <w:rPr>
                      <w:rFonts w:hint="default" w:ascii="Times New Roman" w:hAnsi="Times New Roman" w:cs="Times New Roman"/>
                      <w:color w:val="auto"/>
                      <w:spacing w:val="-8"/>
                      <w:sz w:val="18"/>
                      <w:szCs w:val="18"/>
                      <w:highlight w:val="none"/>
                      <w:lang w:val="en-US" w:eastAsia="zh-CN"/>
                    </w:rPr>
                    <w:t>0.006</w:t>
                  </w:r>
                </w:p>
              </w:tc>
              <w:tc>
                <w:tcPr>
                  <w:tcW w:w="54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0.0135</w:t>
                  </w:r>
                </w:p>
              </w:tc>
              <w:tc>
                <w:tcPr>
                  <w:tcW w:w="1624" w:type="pct"/>
                  <w:vMerge w:val="restart"/>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加强密闭，提高收集效率，</w:t>
                  </w:r>
                  <w:r>
                    <w:rPr>
                      <w:rFonts w:hint="eastAsia" w:cs="Times New Roman"/>
                      <w:color w:val="auto"/>
                      <w:sz w:val="18"/>
                      <w:szCs w:val="18"/>
                      <w:highlight w:val="none"/>
                      <w:lang w:eastAsia="zh-CN"/>
                    </w:rPr>
                    <w:t>生产车间</w:t>
                  </w:r>
                  <w:r>
                    <w:rPr>
                      <w:rFonts w:hint="default" w:ascii="Times New Roman" w:hAnsi="Times New Roman" w:cs="Times New Roman"/>
                      <w:color w:val="auto"/>
                      <w:sz w:val="18"/>
                      <w:szCs w:val="18"/>
                      <w:highlight w:val="none"/>
                      <w:lang w:eastAsia="zh-CN"/>
                    </w:rPr>
                    <w:t>无车辆出入时保持关闭状态</w:t>
                  </w:r>
                </w:p>
              </w:tc>
              <w:tc>
                <w:tcPr>
                  <w:tcW w:w="5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kern w:val="2"/>
                      <w:sz w:val="18"/>
                      <w:szCs w:val="18"/>
                      <w:highlight w:val="none"/>
                      <w:lang w:val="en-US" w:eastAsia="zh-CN" w:bidi="ar-SA"/>
                    </w:rPr>
                  </w:pPr>
                  <w:r>
                    <w:rPr>
                      <w:rFonts w:hint="default" w:ascii="Times New Roman" w:hAnsi="Times New Roman" w:cs="Times New Roman"/>
                      <w:color w:val="auto"/>
                      <w:spacing w:val="-8"/>
                      <w:sz w:val="18"/>
                      <w:szCs w:val="18"/>
                      <w:highlight w:val="none"/>
                      <w:lang w:val="en-US" w:eastAsia="zh-CN"/>
                    </w:rPr>
                    <w:t>0.006</w:t>
                  </w:r>
                </w:p>
              </w:tc>
              <w:tc>
                <w:tcPr>
                  <w:tcW w:w="57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0.0135</w:t>
                  </w:r>
                </w:p>
              </w:tc>
              <w:tc>
                <w:tcPr>
                  <w:tcW w:w="322" w:type="pct"/>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2400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2"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398"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5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kern w:val="2"/>
                      <w:sz w:val="18"/>
                      <w:szCs w:val="18"/>
                      <w:highlight w:val="none"/>
                      <w:lang w:val="en-US" w:eastAsia="zh-CN" w:bidi="ar-SA"/>
                    </w:rPr>
                  </w:pPr>
                  <w:r>
                    <w:rPr>
                      <w:rFonts w:hint="default" w:ascii="Times New Roman" w:hAnsi="Times New Roman" w:cs="Times New Roman"/>
                      <w:color w:val="auto"/>
                      <w:spacing w:val="-8"/>
                      <w:sz w:val="18"/>
                      <w:szCs w:val="18"/>
                      <w:highlight w:val="none"/>
                      <w:lang w:val="en-US" w:eastAsia="zh-CN"/>
                    </w:rPr>
                    <w:t>0.0002</w:t>
                  </w:r>
                </w:p>
              </w:tc>
              <w:tc>
                <w:tcPr>
                  <w:tcW w:w="54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0.0001</w:t>
                  </w:r>
                </w:p>
              </w:tc>
              <w:tc>
                <w:tcPr>
                  <w:tcW w:w="1624" w:type="pct"/>
                  <w:vMerge w:val="continue"/>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p>
              </w:tc>
              <w:tc>
                <w:tcPr>
                  <w:tcW w:w="57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kern w:val="2"/>
                      <w:sz w:val="18"/>
                      <w:szCs w:val="18"/>
                      <w:highlight w:val="none"/>
                      <w:lang w:val="en-US" w:eastAsia="zh-CN" w:bidi="ar-SA"/>
                    </w:rPr>
                  </w:pPr>
                  <w:r>
                    <w:rPr>
                      <w:rFonts w:hint="default" w:ascii="Times New Roman" w:hAnsi="Times New Roman" w:cs="Times New Roman"/>
                      <w:color w:val="auto"/>
                      <w:spacing w:val="-8"/>
                      <w:sz w:val="18"/>
                      <w:szCs w:val="18"/>
                      <w:highlight w:val="none"/>
                      <w:lang w:val="en-US" w:eastAsia="zh-CN"/>
                    </w:rPr>
                    <w:t>0.0002</w:t>
                  </w:r>
                </w:p>
              </w:tc>
              <w:tc>
                <w:tcPr>
                  <w:tcW w:w="57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0.0001</w:t>
                  </w:r>
                </w:p>
              </w:tc>
              <w:tc>
                <w:tcPr>
                  <w:tcW w:w="32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bidi="ar-SA"/>
                    </w:rPr>
                  </w:pPr>
                </w:p>
              </w:tc>
            </w:tr>
          </w:tbl>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vertAlign w:val="baseline"/>
                <w:lang w:eastAsia="zh-CN"/>
              </w:rPr>
            </w:pPr>
          </w:p>
        </w:tc>
      </w:tr>
    </w:tbl>
    <w:p>
      <w:pPr>
        <w:pStyle w:val="21"/>
        <w:rPr>
          <w:rFonts w:hint="default" w:ascii="Times New Roman" w:hAnsi="Times New Roman" w:cs="Times New Roman"/>
          <w:color w:val="auto"/>
          <w:highlight w:val="green"/>
        </w:rPr>
        <w:sectPr>
          <w:pgSz w:w="16840" w:h="11907"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highlight w:val="green"/>
                <w:lang w:val="en-US" w:eastAsia="zh-CN"/>
              </w:rPr>
            </w:pPr>
            <w:r>
              <w:rPr>
                <w:rFonts w:hint="default" w:ascii="Times New Roman" w:hAnsi="Times New Roman" w:cs="Times New Roman"/>
                <w:bCs/>
                <w:color w:val="auto"/>
                <w:szCs w:val="21"/>
                <w:highlight w:val="none"/>
              </w:rPr>
              <w:t>措施</w:t>
            </w:r>
          </w:p>
        </w:tc>
        <w:tc>
          <w:tcPr>
            <w:tcW w:w="8282" w:type="dxa"/>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1.2</w:t>
            </w:r>
            <w:r>
              <w:rPr>
                <w:rFonts w:hint="default" w:ascii="Times New Roman" w:hAnsi="Times New Roman" w:cs="Times New Roman"/>
                <w:b/>
                <w:bCs/>
                <w:color w:val="auto"/>
                <w:sz w:val="21"/>
                <w:szCs w:val="21"/>
                <w:highlight w:val="none"/>
                <w:lang w:eastAsia="zh-CN"/>
              </w:rPr>
              <w:t>废气处理措施可行性分析</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20" w:firstLineChars="200"/>
              <w:textAlignment w:val="auto"/>
              <w:rPr>
                <w:rFonts w:hint="default" w:ascii="Times New Roman" w:hAnsi="Times New Roman" w:cs="Times New Roman"/>
                <w:b/>
                <w:bCs/>
                <w:color w:val="auto"/>
                <w:sz w:val="21"/>
                <w:szCs w:val="21"/>
                <w:highlight w:val="green"/>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属于塑料制品业，参考《排污许可证申请与核发技术规范橡胶和塑料制品业》（HJ1122-2020），本项目上料、粉碎工序颗粒物废气采用脉冲袋式除尘器处理属于可行技术，注塑、冷却工序有机废气采用“UV光催化氧化+活性炭吸附”处理属于可行技术，项目废气处理措施是可行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1.3</w:t>
            </w:r>
            <w:r>
              <w:rPr>
                <w:rFonts w:hint="default" w:ascii="Times New Roman" w:hAnsi="Times New Roman" w:cs="Times New Roman"/>
                <w:b/>
                <w:bCs/>
                <w:color w:val="auto"/>
                <w:kern w:val="0"/>
                <w:sz w:val="21"/>
                <w:szCs w:val="21"/>
                <w:highlight w:val="none"/>
                <w:lang w:eastAsia="zh-CN"/>
              </w:rPr>
              <w:t>大气环境影响分析</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根据《新乡市2022年环境质量公报》数据，项目所在区域为不达标区。目前，新乡市正在实施</w:t>
            </w:r>
            <w:r>
              <w:rPr>
                <w:rFonts w:hint="default" w:ascii="Times New Roman" w:hAnsi="Times New Roman" w:cs="Times New Roman"/>
                <w:b w:val="0"/>
                <w:bCs w:val="0"/>
                <w:color w:val="auto"/>
                <w:sz w:val="21"/>
                <w:szCs w:val="21"/>
                <w:highlight w:val="none"/>
                <w:u w:val="none"/>
                <w:lang w:eastAsia="zh-CN"/>
              </w:rPr>
              <w:t>《新乡市深入打好秋冬季重污染天气消除、夏季臭氧污染防治和柴油货车污染治理攻坚战行动方案》（新环攻坚办〔2023〕73号）、《新乡市2023年蓝天保卫战实施方案》的通知》（新环攻坚办（2023）77号）</w:t>
            </w:r>
            <w:r>
              <w:rPr>
                <w:rFonts w:hint="default" w:ascii="Times New Roman" w:hAnsi="Times New Roman" w:cs="Times New Roman"/>
                <w:bCs/>
                <w:color w:val="auto"/>
                <w:kern w:val="0"/>
                <w:szCs w:val="21"/>
                <w:highlight w:val="none"/>
                <w:lang w:val="en-US" w:eastAsia="zh-CN"/>
              </w:rPr>
              <w:t>等措施，将不断改善区域大气环境质量。</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根据现场勘查，距离本项目最近的敏感点为</w:t>
            </w:r>
            <w:r>
              <w:rPr>
                <w:rFonts w:hint="default" w:ascii="Times New Roman" w:hAnsi="Times New Roman" w:cs="Times New Roman"/>
                <w:bCs/>
                <w:color w:val="auto"/>
                <w:kern w:val="0"/>
                <w:szCs w:val="21"/>
                <w:highlight w:val="none"/>
                <w:lang w:val="en-US" w:eastAsia="zh-CN"/>
              </w:rPr>
              <w:t>西北侧520</w:t>
            </w:r>
            <w:r>
              <w:rPr>
                <w:rFonts w:hint="default" w:ascii="Times New Roman" w:hAnsi="Times New Roman" w:cs="Times New Roman"/>
                <w:bCs/>
                <w:color w:val="auto"/>
                <w:kern w:val="0"/>
                <w:szCs w:val="21"/>
                <w:highlight w:val="none"/>
              </w:rPr>
              <w:t>m处的</w:t>
            </w:r>
            <w:r>
              <w:rPr>
                <w:rFonts w:hint="default" w:ascii="Times New Roman" w:hAnsi="Times New Roman" w:cs="Times New Roman"/>
                <w:bCs/>
                <w:color w:val="auto"/>
                <w:kern w:val="0"/>
                <w:szCs w:val="21"/>
                <w:highlight w:val="none"/>
                <w:lang w:eastAsia="zh-CN"/>
              </w:rPr>
              <w:t>陈堡村</w:t>
            </w:r>
            <w:r>
              <w:rPr>
                <w:rFonts w:hint="default" w:ascii="Times New Roman" w:hAnsi="Times New Roman" w:cs="Times New Roman"/>
                <w:bCs/>
                <w:color w:val="auto"/>
                <w:kern w:val="0"/>
                <w:szCs w:val="21"/>
                <w:highlight w:val="none"/>
              </w:rPr>
              <w:t>，</w:t>
            </w:r>
            <w:r>
              <w:rPr>
                <w:rFonts w:hint="default" w:ascii="Times New Roman" w:hAnsi="Times New Roman" w:cs="Times New Roman"/>
                <w:bCs/>
                <w:color w:val="auto"/>
                <w:kern w:val="0"/>
                <w:szCs w:val="21"/>
                <w:highlight w:val="none"/>
                <w:lang w:eastAsia="zh-CN"/>
              </w:rPr>
              <w:t>敏感点距离本项目较远。</w:t>
            </w:r>
            <w:r>
              <w:rPr>
                <w:rFonts w:hint="default" w:ascii="Times New Roman" w:hAnsi="Times New Roman" w:cs="Times New Roman"/>
                <w:b w:val="0"/>
                <w:bCs/>
                <w:color w:val="auto"/>
                <w:kern w:val="0"/>
                <w:szCs w:val="21"/>
                <w:highlight w:val="none"/>
                <w:u w:val="none"/>
                <w:lang w:eastAsia="zh-CN"/>
              </w:rPr>
              <w:t>同时本项目上料、破碎工序</w:t>
            </w:r>
            <w:r>
              <w:rPr>
                <w:rFonts w:hint="default" w:ascii="Times New Roman" w:hAnsi="Times New Roman" w:cs="Times New Roman"/>
                <w:bCs/>
                <w:color w:val="auto"/>
                <w:kern w:val="0"/>
                <w:szCs w:val="21"/>
                <w:highlight w:val="none"/>
                <w:lang w:eastAsia="zh-CN"/>
              </w:rPr>
              <w:t>产生的颗粒物废气通过</w:t>
            </w:r>
            <w:r>
              <w:rPr>
                <w:rFonts w:hint="default" w:ascii="Times New Roman" w:hAnsi="Times New Roman" w:cs="Times New Roman"/>
                <w:bCs/>
                <w:color w:val="auto"/>
                <w:kern w:val="0"/>
                <w:szCs w:val="21"/>
                <w:highlight w:val="none"/>
                <w:lang w:val="en-US" w:eastAsia="zh-CN"/>
              </w:rPr>
              <w:t>1套</w:t>
            </w:r>
            <w:r>
              <w:rPr>
                <w:rFonts w:hint="default" w:ascii="Times New Roman" w:hAnsi="Times New Roman" w:cs="Times New Roman"/>
                <w:bCs/>
                <w:color w:val="auto"/>
                <w:kern w:val="0"/>
                <w:szCs w:val="21"/>
                <w:highlight w:val="none"/>
                <w:lang w:eastAsia="zh-CN"/>
              </w:rPr>
              <w:t>袋式除尘器处理后经</w:t>
            </w:r>
            <w:r>
              <w:rPr>
                <w:rFonts w:hint="default" w:ascii="Times New Roman" w:hAnsi="Times New Roman" w:cs="Times New Roman"/>
                <w:bCs/>
                <w:color w:val="auto"/>
                <w:kern w:val="0"/>
                <w:szCs w:val="21"/>
                <w:highlight w:val="none"/>
                <w:lang w:val="en-US" w:eastAsia="zh-CN"/>
              </w:rPr>
              <w:t>15m</w:t>
            </w:r>
            <w:r>
              <w:rPr>
                <w:rFonts w:hint="default" w:ascii="Times New Roman" w:hAnsi="Times New Roman" w:cs="Times New Roman"/>
                <w:bCs/>
                <w:color w:val="auto"/>
                <w:kern w:val="0"/>
                <w:szCs w:val="21"/>
                <w:highlight w:val="none"/>
                <w:lang w:eastAsia="zh-CN"/>
              </w:rPr>
              <w:t>排气筒排放，注塑、冷却工序有机废气通过</w:t>
            </w:r>
            <w:r>
              <w:rPr>
                <w:rFonts w:hint="default" w:ascii="Times New Roman" w:hAnsi="Times New Roman" w:cs="Times New Roman"/>
                <w:bCs/>
                <w:color w:val="auto"/>
                <w:kern w:val="0"/>
                <w:szCs w:val="21"/>
                <w:highlight w:val="none"/>
                <w:lang w:val="en-US" w:eastAsia="zh-CN"/>
              </w:rPr>
              <w:t>1套“UV光催化氧化+活性炭吸附”装置处理后经15m高排气筒排放</w:t>
            </w:r>
            <w:r>
              <w:rPr>
                <w:rFonts w:hint="default" w:ascii="Times New Roman" w:hAnsi="Times New Roman" w:cs="Times New Roman"/>
                <w:bCs/>
                <w:color w:val="auto"/>
                <w:kern w:val="0"/>
                <w:szCs w:val="21"/>
                <w:highlight w:val="none"/>
                <w:lang w:eastAsia="zh-CN"/>
              </w:rPr>
              <w:t>，无组织排废气通过采取加强车间密闭，设置二次密闭间，提高收集效率等措施。</w:t>
            </w:r>
            <w:r>
              <w:rPr>
                <w:rFonts w:hint="default" w:ascii="Times New Roman" w:hAnsi="Times New Roman" w:cs="Times New Roman"/>
                <w:bCs/>
                <w:color w:val="auto"/>
                <w:kern w:val="0"/>
                <w:szCs w:val="21"/>
                <w:highlight w:val="none"/>
                <w:lang w:val="en-US" w:eastAsia="zh-CN"/>
              </w:rPr>
              <w:t>项目采取</w:t>
            </w:r>
            <w:r>
              <w:rPr>
                <w:rFonts w:hint="default" w:ascii="Times New Roman" w:hAnsi="Times New Roman" w:cs="Times New Roman"/>
                <w:bCs/>
                <w:color w:val="auto"/>
                <w:kern w:val="0"/>
                <w:szCs w:val="21"/>
                <w:highlight w:val="none"/>
              </w:rPr>
              <w:t>严格的环保</w:t>
            </w:r>
            <w:r>
              <w:rPr>
                <w:rFonts w:hint="default" w:ascii="Times New Roman" w:hAnsi="Times New Roman" w:cs="Times New Roman"/>
                <w:bCs/>
                <w:color w:val="auto"/>
                <w:kern w:val="0"/>
                <w:szCs w:val="21"/>
                <w:highlight w:val="none"/>
                <w:lang w:eastAsia="zh-CN"/>
              </w:rPr>
              <w:t>收集和处理措施，不会对周围环境敏感目标产生较大影响</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Cs/>
                <w:color w:val="auto"/>
                <w:kern w:val="0"/>
                <w:szCs w:val="21"/>
                <w:highlight w:val="none"/>
              </w:rPr>
              <w:t>综上，本项目</w:t>
            </w:r>
            <w:r>
              <w:rPr>
                <w:rFonts w:hint="default" w:ascii="Times New Roman" w:hAnsi="Times New Roman" w:cs="Times New Roman"/>
                <w:bCs/>
                <w:color w:val="auto"/>
                <w:kern w:val="0"/>
                <w:szCs w:val="21"/>
                <w:highlight w:val="none"/>
                <w:lang w:eastAsia="zh-CN"/>
              </w:rPr>
              <w:t>建成</w:t>
            </w:r>
            <w:r>
              <w:rPr>
                <w:rFonts w:hint="default" w:ascii="Times New Roman" w:hAnsi="Times New Roman" w:cs="Times New Roman"/>
                <w:bCs/>
                <w:color w:val="auto"/>
                <w:kern w:val="0"/>
                <w:szCs w:val="21"/>
                <w:highlight w:val="none"/>
              </w:rPr>
              <w:t>后对周边环境的影响是可以接受的。</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val="en-US" w:eastAsia="zh-CN"/>
              </w:rPr>
              <w:t>1.4</w:t>
            </w:r>
            <w:r>
              <w:rPr>
                <w:rFonts w:hint="default" w:ascii="Times New Roman" w:hAnsi="Times New Roman" w:cs="Times New Roman"/>
                <w:b/>
                <w:bCs/>
                <w:color w:val="auto"/>
                <w:kern w:val="0"/>
                <w:sz w:val="21"/>
                <w:szCs w:val="21"/>
                <w:highlight w:val="none"/>
                <w:lang w:eastAsia="zh-CN"/>
              </w:rPr>
              <w:t>污染物排放量核算</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大气污染物有组织排放量核算表</w:t>
            </w:r>
          </w:p>
          <w:tbl>
            <w:tblPr>
              <w:tblStyle w:val="22"/>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9"/>
              <w:gridCol w:w="2154"/>
              <w:gridCol w:w="1322"/>
              <w:gridCol w:w="1322"/>
              <w:gridCol w:w="1322"/>
              <w:gridCol w:w="134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序号</w:t>
                  </w:r>
                </w:p>
              </w:tc>
              <w:tc>
                <w:tcPr>
                  <w:tcW w:w="1336"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排放口编号</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污染物</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核算排放浓度/</w:t>
                  </w:r>
                </w:p>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（mg/</w:t>
                  </w:r>
                  <w:r>
                    <w:rPr>
                      <w:rFonts w:hint="default" w:ascii="Times New Roman" w:hAnsi="Times New Roman"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bCs/>
                      <w:color w:val="auto"/>
                      <w:sz w:val="18"/>
                      <w:szCs w:val="18"/>
                      <w:highlight w:val="none"/>
                    </w:rPr>
                    <w:t>）</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核算排放速率/</w:t>
                  </w:r>
                </w:p>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（kg/h）</w:t>
                  </w:r>
                </w:p>
              </w:tc>
              <w:tc>
                <w:tcPr>
                  <w:tcW w:w="83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核算年排放量/</w:t>
                  </w:r>
                </w:p>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t</w:t>
                  </w:r>
                  <w:r>
                    <w:rPr>
                      <w:rFonts w:hint="default" w:ascii="Times New Roman" w:hAnsi="Times New Roman" w:cs="Times New Roman"/>
                      <w:bCs/>
                      <w:color w:val="auto"/>
                      <w:sz w:val="18"/>
                      <w:szCs w:val="18"/>
                      <w:highlight w:val="none"/>
                    </w:rPr>
                    <w: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6"/>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eastAsia="zh-CN"/>
                    </w:rPr>
                    <w:t>一般</w:t>
                  </w:r>
                  <w:r>
                    <w:rPr>
                      <w:rFonts w:hint="default" w:ascii="Times New Roman" w:hAnsi="Times New Roman" w:cs="Times New Roman"/>
                      <w:bCs/>
                      <w:color w:val="auto"/>
                      <w:sz w:val="18"/>
                      <w:szCs w:val="18"/>
                      <w:highlight w:val="none"/>
                    </w:rPr>
                    <w:t>排放口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w:t>
                  </w:r>
                </w:p>
              </w:tc>
              <w:tc>
                <w:tcPr>
                  <w:tcW w:w="1336" w:type="pct"/>
                  <w:noWrap w:val="0"/>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DA00</w:t>
                  </w:r>
                  <w:r>
                    <w:rPr>
                      <w:rFonts w:hint="default" w:ascii="Times New Roman" w:hAnsi="Times New Roman" w:eastAsia="宋体" w:cs="Times New Roman"/>
                      <w:b w:val="0"/>
                      <w:bCs/>
                      <w:color w:val="auto"/>
                      <w:sz w:val="18"/>
                      <w:szCs w:val="18"/>
                      <w:highlight w:val="none"/>
                      <w:lang w:val="en-US" w:eastAsia="zh-CN"/>
                    </w:rPr>
                    <w:t>1</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bCs/>
                      <w:color w:val="auto"/>
                      <w:sz w:val="18"/>
                      <w:szCs w:val="18"/>
                      <w:highlight w:val="none"/>
                      <w:lang w:val="fr-FR" w:eastAsia="zh-CN"/>
                    </w:rPr>
                  </w:pPr>
                  <w:r>
                    <w:rPr>
                      <w:rFonts w:hint="default" w:ascii="Times New Roman" w:hAnsi="Times New Roman" w:cs="Times New Roman"/>
                      <w:bCs/>
                      <w:color w:val="auto"/>
                      <w:sz w:val="18"/>
                      <w:szCs w:val="18"/>
                      <w:highlight w:val="none"/>
                      <w:lang w:val="en-US" w:eastAsia="zh-CN"/>
                    </w:rPr>
                    <w:t>非甲烷总烃</w:t>
                  </w:r>
                </w:p>
              </w:tc>
              <w:tc>
                <w:tcPr>
                  <w:tcW w:w="1322"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4.28</w:t>
                  </w:r>
                </w:p>
              </w:tc>
              <w:tc>
                <w:tcPr>
                  <w:tcW w:w="1322"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0.021</w:t>
                  </w:r>
                </w:p>
              </w:tc>
              <w:tc>
                <w:tcPr>
                  <w:tcW w:w="1341"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0.0513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2</w:t>
                  </w:r>
                </w:p>
              </w:tc>
              <w:tc>
                <w:tcPr>
                  <w:tcW w:w="1336" w:type="pct"/>
                  <w:noWrap w:val="0"/>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DA002</w:t>
                  </w:r>
                </w:p>
              </w:tc>
              <w:tc>
                <w:tcPr>
                  <w:tcW w:w="82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颗粒物</w:t>
                  </w:r>
                </w:p>
              </w:tc>
              <w:tc>
                <w:tcPr>
                  <w:tcW w:w="1322"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w:t>
                  </w:r>
                </w:p>
              </w:tc>
              <w:tc>
                <w:tcPr>
                  <w:tcW w:w="1322"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0.002</w:t>
                  </w:r>
                </w:p>
              </w:tc>
              <w:tc>
                <w:tcPr>
                  <w:tcW w:w="1341"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07" w:type="pct"/>
                  <w:gridSpan w:val="2"/>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eastAsia="zh-CN"/>
                    </w:rPr>
                    <w:t>一般</w:t>
                  </w:r>
                  <w:r>
                    <w:rPr>
                      <w:rFonts w:hint="default" w:ascii="Times New Roman" w:hAnsi="Times New Roman" w:cs="Times New Roman"/>
                      <w:bCs/>
                      <w:color w:val="auto"/>
                      <w:sz w:val="18"/>
                      <w:szCs w:val="18"/>
                      <w:highlight w:val="none"/>
                    </w:rPr>
                    <w:t>排放口合计</w:t>
                  </w:r>
                </w:p>
              </w:tc>
              <w:tc>
                <w:tcPr>
                  <w:tcW w:w="2460" w:type="pct"/>
                  <w:gridSpan w:val="3"/>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Cs/>
                      <w:color w:val="auto"/>
                      <w:sz w:val="18"/>
                      <w:szCs w:val="18"/>
                      <w:highlight w:val="none"/>
                      <w:lang w:val="en-US" w:eastAsia="zh-CN"/>
                    </w:rPr>
                    <w:t>非甲烷总烃</w:t>
                  </w:r>
                </w:p>
              </w:tc>
              <w:tc>
                <w:tcPr>
                  <w:tcW w:w="83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0.0513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07" w:type="pct"/>
                  <w:gridSpan w:val="2"/>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lang w:eastAsia="zh-CN"/>
                    </w:rPr>
                  </w:pPr>
                </w:p>
              </w:tc>
              <w:tc>
                <w:tcPr>
                  <w:tcW w:w="2460" w:type="pct"/>
                  <w:gridSpan w:val="3"/>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颗粒物</w:t>
                  </w:r>
                </w:p>
              </w:tc>
              <w:tc>
                <w:tcPr>
                  <w:tcW w:w="83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6"/>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有组织排放总计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07" w:type="pct"/>
                  <w:gridSpan w:val="2"/>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有组织排放总计</w:t>
                  </w:r>
                </w:p>
              </w:tc>
              <w:tc>
                <w:tcPr>
                  <w:tcW w:w="2460" w:type="pct"/>
                  <w:gridSpan w:val="3"/>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非甲烷总烃</w:t>
                  </w:r>
                </w:p>
              </w:tc>
              <w:tc>
                <w:tcPr>
                  <w:tcW w:w="83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0.0513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07" w:type="pct"/>
                  <w:gridSpan w:val="2"/>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rPr>
                  </w:pPr>
                </w:p>
              </w:tc>
              <w:tc>
                <w:tcPr>
                  <w:tcW w:w="2460" w:type="pct"/>
                  <w:gridSpan w:val="3"/>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颗粒物</w:t>
                  </w:r>
                </w:p>
              </w:tc>
              <w:tc>
                <w:tcPr>
                  <w:tcW w:w="831"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0.0009</w:t>
                  </w:r>
                </w:p>
              </w:tc>
            </w:tr>
          </w:tbl>
          <w:p>
            <w:pPr>
              <w:bidi w:val="0"/>
              <w:rPr>
                <w:rFonts w:hint="default"/>
                <w:color w:val="auto"/>
                <w:lang w:val="en-US" w:eastAsia="zh-CN"/>
              </w:rPr>
            </w:pPr>
          </w:p>
          <w:p>
            <w:pPr>
              <w:bidi w:val="0"/>
              <w:rPr>
                <w:rFonts w:hint="default"/>
                <w:color w:val="auto"/>
                <w:lang w:val="en-US" w:eastAsia="zh-CN"/>
              </w:rPr>
            </w:pP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大气污染物无组织排放量核算表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0"/>
              <w:gridCol w:w="800"/>
              <w:gridCol w:w="1039"/>
              <w:gridCol w:w="1231"/>
              <w:gridCol w:w="2334"/>
              <w:gridCol w:w="973"/>
              <w:gridCol w:w="107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8" w:type="pct"/>
                  <w:vMerge w:val="restart"/>
                  <w:tcBorders>
                    <w:top w:val="single" w:color="auto" w:sz="4"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r>
                    <w:rPr>
                      <w:rFonts w:hint="default" w:ascii="Times New Roman" w:hAnsi="Times New Roman" w:cs="Times New Roman"/>
                      <w:b w:val="0"/>
                      <w:bCs w:val="0"/>
                      <w:color w:val="auto"/>
                      <w:kern w:val="0"/>
                      <w:sz w:val="18"/>
                      <w:szCs w:val="18"/>
                      <w:highlight w:val="none"/>
                      <w:u w:val="none"/>
                    </w:rPr>
                    <w:t>序号</w:t>
                  </w:r>
                </w:p>
              </w:tc>
              <w:tc>
                <w:tcPr>
                  <w:tcW w:w="496" w:type="pct"/>
                  <w:vMerge w:val="restar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u w:val="none"/>
                      <w:lang w:eastAsia="zh-CN"/>
                    </w:rPr>
                  </w:pPr>
                  <w:r>
                    <w:rPr>
                      <w:rFonts w:hint="default" w:ascii="Times New Roman" w:hAnsi="Times New Roman" w:cs="Times New Roman"/>
                      <w:b w:val="0"/>
                      <w:bCs w:val="0"/>
                      <w:color w:val="auto"/>
                      <w:kern w:val="0"/>
                      <w:sz w:val="18"/>
                      <w:szCs w:val="18"/>
                      <w:highlight w:val="none"/>
                      <w:u w:val="none"/>
                    </w:rPr>
                    <w:t>排放</w:t>
                  </w:r>
                  <w:r>
                    <w:rPr>
                      <w:rFonts w:hint="default" w:ascii="Times New Roman" w:hAnsi="Times New Roman" w:cs="Times New Roman"/>
                      <w:b w:val="0"/>
                      <w:bCs w:val="0"/>
                      <w:color w:val="auto"/>
                      <w:kern w:val="0"/>
                      <w:sz w:val="18"/>
                      <w:szCs w:val="18"/>
                      <w:highlight w:val="none"/>
                      <w:u w:val="none"/>
                      <w:lang w:eastAsia="zh-CN"/>
                    </w:rPr>
                    <w:t>源</w:t>
                  </w:r>
                </w:p>
              </w:tc>
              <w:tc>
                <w:tcPr>
                  <w:tcW w:w="644" w:type="pct"/>
                  <w:vMerge w:val="restar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r>
                    <w:rPr>
                      <w:rFonts w:hint="default" w:ascii="Times New Roman" w:hAnsi="Times New Roman" w:cs="Times New Roman"/>
                      <w:b w:val="0"/>
                      <w:bCs w:val="0"/>
                      <w:color w:val="auto"/>
                      <w:kern w:val="0"/>
                      <w:sz w:val="18"/>
                      <w:szCs w:val="18"/>
                      <w:highlight w:val="none"/>
                      <w:u w:val="none"/>
                    </w:rPr>
                    <w:t>产污环节</w:t>
                  </w:r>
                </w:p>
              </w:tc>
              <w:tc>
                <w:tcPr>
                  <w:tcW w:w="763" w:type="pct"/>
                  <w:vMerge w:val="restar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r>
                    <w:rPr>
                      <w:rFonts w:hint="default" w:ascii="Times New Roman" w:hAnsi="Times New Roman" w:cs="Times New Roman"/>
                      <w:b w:val="0"/>
                      <w:bCs w:val="0"/>
                      <w:color w:val="auto"/>
                      <w:kern w:val="0"/>
                      <w:sz w:val="18"/>
                      <w:szCs w:val="18"/>
                      <w:highlight w:val="none"/>
                      <w:u w:val="none"/>
                    </w:rPr>
                    <w:t>污染物</w:t>
                  </w:r>
                </w:p>
              </w:tc>
              <w:tc>
                <w:tcPr>
                  <w:tcW w:w="1447" w:type="pct"/>
                  <w:vMerge w:val="restar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r>
                    <w:rPr>
                      <w:rFonts w:hint="default" w:ascii="Times New Roman" w:hAnsi="Times New Roman" w:cs="Times New Roman"/>
                      <w:b w:val="0"/>
                      <w:bCs w:val="0"/>
                      <w:color w:val="auto"/>
                      <w:kern w:val="0"/>
                      <w:sz w:val="18"/>
                      <w:szCs w:val="18"/>
                      <w:highlight w:val="none"/>
                      <w:u w:val="none"/>
                    </w:rPr>
                    <w:t>主要污染防治措施</w:t>
                  </w:r>
                </w:p>
              </w:tc>
              <w:tc>
                <w:tcPr>
                  <w:tcW w:w="603" w:type="pct"/>
                  <w:vMerge w:val="restart"/>
                  <w:tcBorders>
                    <w:top w:val="single" w:color="auto" w:sz="4"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u w:val="none"/>
                      <w:lang w:eastAsia="zh-CN"/>
                    </w:rPr>
                  </w:pPr>
                  <w:r>
                    <w:rPr>
                      <w:rFonts w:hint="default" w:ascii="Times New Roman" w:hAnsi="Times New Roman" w:cs="Times New Roman"/>
                      <w:b w:val="0"/>
                      <w:bCs w:val="0"/>
                      <w:color w:val="auto"/>
                      <w:kern w:val="0"/>
                      <w:sz w:val="18"/>
                      <w:szCs w:val="18"/>
                      <w:highlight w:val="none"/>
                      <w:u w:val="none"/>
                      <w:lang w:eastAsia="zh-CN"/>
                    </w:rPr>
                    <w:t>排放速率（</w:t>
                  </w:r>
                  <w:r>
                    <w:rPr>
                      <w:rFonts w:hint="default" w:ascii="Times New Roman" w:hAnsi="Times New Roman" w:cs="Times New Roman"/>
                      <w:b w:val="0"/>
                      <w:bCs w:val="0"/>
                      <w:color w:val="auto"/>
                      <w:kern w:val="0"/>
                      <w:sz w:val="18"/>
                      <w:szCs w:val="18"/>
                      <w:highlight w:val="none"/>
                      <w:u w:val="none"/>
                      <w:lang w:val="en-US" w:eastAsia="zh-CN"/>
                    </w:rPr>
                    <w:t>kg/h</w:t>
                  </w:r>
                  <w:r>
                    <w:rPr>
                      <w:rFonts w:hint="default" w:ascii="Times New Roman" w:hAnsi="Times New Roman" w:cs="Times New Roman"/>
                      <w:b w:val="0"/>
                      <w:bCs w:val="0"/>
                      <w:color w:val="auto"/>
                      <w:kern w:val="0"/>
                      <w:sz w:val="18"/>
                      <w:szCs w:val="18"/>
                      <w:highlight w:val="none"/>
                      <w:u w:val="none"/>
                      <w:lang w:eastAsia="zh-CN"/>
                    </w:rPr>
                    <w:t>）</w:t>
                  </w:r>
                </w:p>
              </w:tc>
              <w:tc>
                <w:tcPr>
                  <w:tcW w:w="667" w:type="pct"/>
                  <w:vMerge w:val="restart"/>
                  <w:tcBorders>
                    <w:top w:val="single" w:color="auto" w:sz="4" w:space="0"/>
                    <w:left w:val="single" w:color="auto" w:sz="4" w:space="0"/>
                    <w:bottom w:val="single" w:color="auto" w:sz="6" w:space="0"/>
                    <w:right w:val="nil"/>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r>
                    <w:rPr>
                      <w:rFonts w:hint="default" w:ascii="Times New Roman" w:hAnsi="Times New Roman" w:cs="Times New Roman"/>
                      <w:b w:val="0"/>
                      <w:bCs w:val="0"/>
                      <w:color w:val="auto"/>
                      <w:kern w:val="0"/>
                      <w:sz w:val="18"/>
                      <w:szCs w:val="18"/>
                      <w:highlight w:val="none"/>
                      <w:u w:val="none"/>
                    </w:rPr>
                    <w:t>年排放量（t/a）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8" w:type="pct"/>
                  <w:vMerge w:val="continue"/>
                  <w:tcBorders>
                    <w:top w:val="single" w:color="auto" w:sz="4" w:space="0"/>
                    <w:left w:val="nil"/>
                    <w:bottom w:val="single" w:color="auto" w:sz="6" w:space="0"/>
                    <w:right w:val="single" w:color="auto" w:sz="6"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p>
              </w:tc>
              <w:tc>
                <w:tcPr>
                  <w:tcW w:w="496" w:type="pct"/>
                  <w:vMerge w:val="continue"/>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p>
              </w:tc>
              <w:tc>
                <w:tcPr>
                  <w:tcW w:w="644" w:type="pct"/>
                  <w:vMerge w:val="continue"/>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p>
              </w:tc>
              <w:tc>
                <w:tcPr>
                  <w:tcW w:w="763" w:type="pct"/>
                  <w:vMerge w:val="continue"/>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p>
              </w:tc>
              <w:tc>
                <w:tcPr>
                  <w:tcW w:w="1447" w:type="pct"/>
                  <w:vMerge w:val="continue"/>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p>
              </w:tc>
              <w:tc>
                <w:tcPr>
                  <w:tcW w:w="603" w:type="pct"/>
                  <w:vMerge w:val="continue"/>
                  <w:tcBorders>
                    <w:top w:val="single" w:color="auto" w:sz="4" w:space="0"/>
                    <w:left w:val="single" w:color="auto" w:sz="6" w:space="0"/>
                    <w:bottom w:val="single" w:color="auto" w:sz="6" w:space="0"/>
                    <w:right w:val="single" w:color="auto" w:sz="4"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p>
              </w:tc>
              <w:tc>
                <w:tcPr>
                  <w:tcW w:w="667" w:type="pct"/>
                  <w:vMerge w:val="continue"/>
                  <w:tcBorders>
                    <w:top w:val="single" w:color="auto" w:sz="4" w:space="0"/>
                    <w:left w:val="single" w:color="auto" w:sz="4" w:space="0"/>
                    <w:bottom w:val="single" w:color="auto" w:sz="6" w:space="0"/>
                    <w:right w:val="nil"/>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kern w:val="0"/>
                      <w:sz w:val="18"/>
                      <w:szCs w:val="18"/>
                      <w:highlight w:val="none"/>
                      <w:u w:val="none"/>
                    </w:rPr>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8" w:type="pct"/>
                  <w:vMerge w:val="restart"/>
                  <w:tcBorders>
                    <w:top w:val="single" w:color="auto" w:sz="6" w:space="0"/>
                    <w:left w:val="nil"/>
                    <w:right w:val="single" w:color="auto" w:sz="6"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1</w:t>
                  </w:r>
                </w:p>
              </w:tc>
              <w:tc>
                <w:tcPr>
                  <w:tcW w:w="496" w:type="pct"/>
                  <w:vMerge w:val="restar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生产</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车间</w:t>
                  </w:r>
                </w:p>
              </w:tc>
              <w:tc>
                <w:tcPr>
                  <w:tcW w:w="644" w:type="pct"/>
                  <w:tcBorders>
                    <w:top w:val="single" w:color="auto" w:sz="6" w:space="0"/>
                    <w:left w:val="single" w:color="auto" w:sz="6" w:space="0"/>
                    <w:right w:val="single" w:color="auto" w:sz="6"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lang w:eastAsia="zh-CN"/>
                    </w:rPr>
                    <w:t>注塑工序</w:t>
                  </w:r>
                </w:p>
              </w:tc>
              <w:tc>
                <w:tcPr>
                  <w:tcW w:w="763"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val="fr-FR" w:eastAsia="zh-CN"/>
                    </w:rPr>
                    <w:t>非甲烷总烃</w:t>
                  </w:r>
                </w:p>
              </w:tc>
              <w:tc>
                <w:tcPr>
                  <w:tcW w:w="1447" w:type="pct"/>
                  <w:vMerge w:val="restart"/>
                  <w:tcBorders>
                    <w:top w:val="single" w:color="auto" w:sz="6" w:space="0"/>
                    <w:left w:val="single" w:color="auto" w:sz="6" w:space="0"/>
                    <w:right w:val="single" w:color="auto" w:sz="6"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color w:val="auto"/>
                      <w:sz w:val="18"/>
                      <w:szCs w:val="18"/>
                      <w:highlight w:val="none"/>
                      <w:lang w:eastAsia="zh-CN"/>
                    </w:rPr>
                    <w:t>加强密闭，提高收集效率，车辆出入口加装自动感应门，无车辆出入时保持关闭状态</w:t>
                  </w:r>
                </w:p>
              </w:tc>
              <w:tc>
                <w:tcPr>
                  <w:tcW w:w="603" w:type="pct"/>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kern w:val="2"/>
                      <w:sz w:val="18"/>
                      <w:szCs w:val="18"/>
                      <w:highlight w:val="none"/>
                      <w:lang w:val="en-US" w:eastAsia="zh-CN" w:bidi="ar-SA"/>
                    </w:rPr>
                  </w:pPr>
                  <w:r>
                    <w:rPr>
                      <w:rFonts w:hint="default" w:ascii="Times New Roman" w:hAnsi="Times New Roman" w:cs="Times New Roman"/>
                      <w:color w:val="auto"/>
                      <w:spacing w:val="-8"/>
                      <w:sz w:val="18"/>
                      <w:szCs w:val="18"/>
                      <w:highlight w:val="none"/>
                      <w:lang w:val="en-US" w:eastAsia="zh-CN"/>
                    </w:rPr>
                    <w:t>0.006</w:t>
                  </w:r>
                </w:p>
              </w:tc>
              <w:tc>
                <w:tcPr>
                  <w:tcW w:w="667" w:type="pct"/>
                  <w:tcBorders>
                    <w:top w:val="single" w:color="auto" w:sz="6"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0.0135</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8" w:type="pct"/>
                  <w:vMerge w:val="continue"/>
                  <w:tcBorders>
                    <w:left w:val="nil"/>
                    <w:bottom w:val="single" w:color="auto" w:sz="6" w:space="0"/>
                    <w:right w:val="single" w:color="auto" w:sz="6" w:space="0"/>
                  </w:tcBorders>
                  <w:noWrap w:val="0"/>
                  <w:vAlign w:val="center"/>
                </w:tcPr>
                <w:p>
                  <w:pPr>
                    <w:keepNext w:val="0"/>
                    <w:keepLines w:val="0"/>
                    <w:pageBreakBefore w:val="0"/>
                    <w:widowControl/>
                    <w:kinsoku/>
                    <w:wordWrap/>
                    <w:overflowPunct/>
                    <w:topLinePunct w:val="0"/>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p>
              </w:tc>
              <w:tc>
                <w:tcPr>
                  <w:tcW w:w="496" w:type="pct"/>
                  <w:vMerge w:val="continue"/>
                  <w:tcBorders>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p>
              </w:tc>
              <w:tc>
                <w:tcPr>
                  <w:tcW w:w="644" w:type="pct"/>
                  <w:tcBorders>
                    <w:top w:val="single" w:color="000000" w:sz="8" w:space="0"/>
                    <w:left w:val="single" w:color="auto" w:sz="6" w:space="0"/>
                    <w:bottom w:val="single" w:color="auto" w:sz="6" w:space="0"/>
                    <w:right w:val="single" w:color="auto" w:sz="6"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lang w:eastAsia="zh-CN"/>
                    </w:rPr>
                    <w:t>上料、破碎工序</w:t>
                  </w:r>
                </w:p>
              </w:tc>
              <w:tc>
                <w:tcPr>
                  <w:tcW w:w="763" w:type="pct"/>
                  <w:tcBorders>
                    <w:top w:val="single" w:color="000000" w:sz="8"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lang w:eastAsia="zh-CN"/>
                    </w:rPr>
                  </w:pPr>
                  <w:r>
                    <w:rPr>
                      <w:rFonts w:hint="default" w:ascii="Times New Roman" w:hAnsi="Times New Roman" w:cs="Times New Roman"/>
                      <w:bCs/>
                      <w:color w:val="auto"/>
                      <w:sz w:val="18"/>
                      <w:szCs w:val="18"/>
                      <w:highlight w:val="none"/>
                      <w:lang w:val="fr-FR" w:eastAsia="zh-CN"/>
                    </w:rPr>
                    <w:t>颗粒物</w:t>
                  </w:r>
                </w:p>
              </w:tc>
              <w:tc>
                <w:tcPr>
                  <w:tcW w:w="1447" w:type="pct"/>
                  <w:vMerge w:val="continue"/>
                  <w:tcBorders>
                    <w:left w:val="single" w:color="auto" w:sz="6" w:space="0"/>
                    <w:bottom w:val="single" w:color="auto" w:sz="6" w:space="0"/>
                    <w:right w:val="single" w:color="auto" w:sz="6" w:space="0"/>
                  </w:tcBorders>
                  <w:noWrap w:val="0"/>
                  <w:vAlign w:val="center"/>
                </w:tcPr>
                <w:p>
                  <w:pPr>
                    <w:pStyle w:val="66"/>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603" w:type="pct"/>
                  <w:tcBorders>
                    <w:top w:val="single" w:color="auto" w:sz="4" w:space="0"/>
                    <w:left w:val="single" w:color="auto" w:sz="6" w:space="0"/>
                    <w:bottom w:val="single" w:color="000000" w:sz="8"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pacing w:val="-8"/>
                      <w:kern w:val="2"/>
                      <w:sz w:val="18"/>
                      <w:szCs w:val="18"/>
                      <w:highlight w:val="none"/>
                      <w:lang w:val="en-US" w:eastAsia="zh-CN" w:bidi="ar-SA"/>
                    </w:rPr>
                  </w:pPr>
                  <w:r>
                    <w:rPr>
                      <w:rFonts w:hint="default" w:ascii="Times New Roman" w:hAnsi="Times New Roman" w:cs="Times New Roman"/>
                      <w:color w:val="auto"/>
                      <w:spacing w:val="-8"/>
                      <w:sz w:val="18"/>
                      <w:szCs w:val="18"/>
                      <w:highlight w:val="none"/>
                      <w:lang w:val="en-US" w:eastAsia="zh-CN"/>
                    </w:rPr>
                    <w:t>0.0002</w:t>
                  </w:r>
                </w:p>
              </w:tc>
              <w:tc>
                <w:tcPr>
                  <w:tcW w:w="667" w:type="pct"/>
                  <w:tcBorders>
                    <w:top w:val="single" w:color="auto" w:sz="4" w:space="0"/>
                    <w:left w:val="single" w:color="auto" w:sz="4" w:space="0"/>
                    <w:bottom w:val="single" w:color="auto" w:sz="6"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0.0001</w:t>
                  </w:r>
                </w:p>
              </w:tc>
            </w:tr>
          </w:tbl>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大气污染物年排放量核算表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3"/>
              <w:gridCol w:w="3528"/>
              <w:gridCol w:w="39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序号</w:t>
                  </w:r>
                </w:p>
              </w:tc>
              <w:tc>
                <w:tcPr>
                  <w:tcW w:w="21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废气污染物</w:t>
                  </w:r>
                </w:p>
              </w:tc>
              <w:tc>
                <w:tcPr>
                  <w:tcW w:w="2425"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年排放量（</w:t>
                  </w:r>
                  <w:r>
                    <w:rPr>
                      <w:rFonts w:hint="default" w:ascii="Times New Roman" w:hAnsi="Times New Roman" w:cs="Times New Roman"/>
                      <w:color w:val="auto"/>
                      <w:kern w:val="0"/>
                      <w:sz w:val="18"/>
                      <w:szCs w:val="18"/>
                      <w:highlight w:val="none"/>
                      <w:lang w:val="en-US" w:eastAsia="zh-CN"/>
                    </w:rPr>
                    <w:t>t</w:t>
                  </w:r>
                  <w:r>
                    <w:rPr>
                      <w:rFonts w:hint="default" w:ascii="Times New Roman" w:hAnsi="Times New Roman" w:cs="Times New Roman"/>
                      <w:color w:val="auto"/>
                      <w:kern w:val="0"/>
                      <w:sz w:val="18"/>
                      <w:szCs w:val="18"/>
                      <w:highlight w:val="none"/>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w:t>
                  </w:r>
                </w:p>
              </w:tc>
              <w:tc>
                <w:tcPr>
                  <w:tcW w:w="21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color w:val="auto"/>
                      <w:sz w:val="18"/>
                      <w:szCs w:val="18"/>
                      <w:highlight w:val="none"/>
                      <w:u w:val="none"/>
                      <w:lang w:val="en-US" w:eastAsia="zh-CN"/>
                    </w:rPr>
                  </w:pPr>
                  <w:r>
                    <w:rPr>
                      <w:rFonts w:hint="default" w:ascii="Times New Roman" w:hAnsi="Times New Roman" w:cs="Times New Roman"/>
                      <w:b w:val="0"/>
                      <w:bCs/>
                      <w:color w:val="auto"/>
                      <w:sz w:val="18"/>
                      <w:szCs w:val="18"/>
                      <w:highlight w:val="none"/>
                      <w:u w:val="none"/>
                      <w:lang w:val="en-US" w:eastAsia="zh-CN"/>
                    </w:rPr>
                    <w:t>非甲烷总烃</w:t>
                  </w:r>
                </w:p>
              </w:tc>
              <w:tc>
                <w:tcPr>
                  <w:tcW w:w="2425"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default" w:ascii="Times New Roman" w:hAnsi="Times New Roman" w:cs="Times New Roman"/>
                      <w:b w:val="0"/>
                      <w:bCs/>
                      <w:i w:val="0"/>
                      <w:iCs w:val="0"/>
                      <w:color w:val="auto"/>
                      <w:kern w:val="0"/>
                      <w:sz w:val="18"/>
                      <w:szCs w:val="18"/>
                      <w:highlight w:val="none"/>
                      <w:u w:val="none"/>
                      <w:lang w:val="en-US" w:eastAsia="zh-CN" w:bidi="ar"/>
                    </w:rPr>
                    <w:t>0.0648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3</w:t>
                  </w:r>
                </w:p>
              </w:tc>
              <w:tc>
                <w:tcPr>
                  <w:tcW w:w="21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rPr>
                      <w:rFonts w:hint="default" w:ascii="Times New Roman" w:hAnsi="Times New Roman" w:cs="Times New Roman"/>
                      <w:b w:val="0"/>
                      <w:bCs/>
                      <w:color w:val="auto"/>
                      <w:sz w:val="18"/>
                      <w:szCs w:val="18"/>
                      <w:highlight w:val="none"/>
                      <w:u w:val="none"/>
                      <w:lang w:val="en-US" w:eastAsia="zh-CN"/>
                    </w:rPr>
                  </w:pPr>
                  <w:r>
                    <w:rPr>
                      <w:rFonts w:hint="default" w:ascii="Times New Roman" w:hAnsi="Times New Roman" w:cs="Times New Roman"/>
                      <w:bCs/>
                      <w:color w:val="auto"/>
                      <w:sz w:val="18"/>
                      <w:szCs w:val="18"/>
                      <w:highlight w:val="none"/>
                      <w:lang w:val="fr-FR" w:eastAsia="zh-CN"/>
                    </w:rPr>
                    <w:t>颗粒物</w:t>
                  </w:r>
                </w:p>
              </w:tc>
              <w:tc>
                <w:tcPr>
                  <w:tcW w:w="2425" w:type="pct"/>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0.001</w:t>
                  </w:r>
                </w:p>
              </w:tc>
            </w:tr>
          </w:tbl>
          <w:p>
            <w:pPr>
              <w:autoSpaceDE w:val="0"/>
              <w:autoSpaceDN w:val="0"/>
              <w:adjustRightInd w:val="0"/>
              <w:snapToGrid w:val="0"/>
              <w:spacing w:line="360" w:lineRule="auto"/>
              <w:ind w:left="0" w:leftChars="0" w:firstLine="0" w:firstLineChars="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1.5</w:t>
            </w:r>
            <w:r>
              <w:rPr>
                <w:rFonts w:hint="default" w:ascii="Times New Roman" w:hAnsi="Times New Roman" w:cs="Times New Roman"/>
                <w:b/>
                <w:bCs/>
                <w:color w:val="auto"/>
                <w:kern w:val="0"/>
                <w:szCs w:val="21"/>
                <w:highlight w:val="none"/>
              </w:rPr>
              <w:t>非正常工况下污染物排放量</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非正常排放是指非正常工况下的污染物排放，一般包括开停车、设备故障和检修、环保设施故障等情况的排污，不包括恶性事故排放。项目各项设备运行稳定并定期检修，仅考虑环保设施故障情景。项目大气非正常工况考虑以下情况：</w:t>
            </w:r>
            <w:r>
              <w:rPr>
                <w:rFonts w:hint="default" w:ascii="Times New Roman" w:hAnsi="Times New Roman" w:cs="Times New Roman"/>
                <w:bCs/>
                <w:color w:val="auto"/>
                <w:kern w:val="0"/>
                <w:szCs w:val="21"/>
                <w:highlight w:val="none"/>
                <w:lang w:eastAsia="zh-CN"/>
              </w:rPr>
              <w:t>配套脉冲袋式除尘器废气布袋破损等设施故障</w:t>
            </w:r>
            <w:r>
              <w:rPr>
                <w:rFonts w:hint="default" w:ascii="Times New Roman" w:hAnsi="Times New Roman" w:cs="Times New Roman"/>
                <w:bCs/>
                <w:color w:val="auto"/>
                <w:kern w:val="0"/>
                <w:szCs w:val="21"/>
                <w:highlight w:val="none"/>
              </w:rPr>
              <w:t>导致</w:t>
            </w:r>
            <w:r>
              <w:rPr>
                <w:rFonts w:hint="default" w:ascii="Times New Roman" w:hAnsi="Times New Roman" w:cs="Times New Roman"/>
                <w:bCs/>
                <w:color w:val="auto"/>
                <w:kern w:val="0"/>
                <w:szCs w:val="21"/>
                <w:highlight w:val="none"/>
                <w:lang w:eastAsia="zh-CN"/>
              </w:rPr>
              <w:t>颗粒物去除</w:t>
            </w:r>
            <w:r>
              <w:rPr>
                <w:rFonts w:hint="default" w:ascii="Times New Roman" w:hAnsi="Times New Roman" w:cs="Times New Roman"/>
                <w:bCs/>
                <w:color w:val="auto"/>
                <w:kern w:val="0"/>
                <w:szCs w:val="21"/>
                <w:highlight w:val="none"/>
              </w:rPr>
              <w:t>效率为零</w:t>
            </w:r>
            <w:r>
              <w:rPr>
                <w:rFonts w:hint="default" w:ascii="Times New Roman" w:hAnsi="Times New Roman" w:cs="Times New Roman"/>
                <w:bCs/>
                <w:color w:val="auto"/>
                <w:kern w:val="0"/>
                <w:szCs w:val="21"/>
                <w:highlight w:val="none"/>
                <w:lang w:eastAsia="zh-CN"/>
              </w:rPr>
              <w:t>，配套“UV光催化氧化+活性炭吸附”装置活性炭失效导致有机废气去除</w:t>
            </w:r>
            <w:r>
              <w:rPr>
                <w:rFonts w:hint="default" w:ascii="Times New Roman" w:hAnsi="Times New Roman" w:cs="Times New Roman"/>
                <w:bCs/>
                <w:color w:val="auto"/>
                <w:kern w:val="0"/>
                <w:szCs w:val="21"/>
                <w:highlight w:val="none"/>
              </w:rPr>
              <w:t>效率为零。</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项目非正常工况大气污染物排放情况见下表。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非正常工况下大气污染物排放情况汇总</w:t>
            </w:r>
          </w:p>
          <w:tbl>
            <w:tblPr>
              <w:tblStyle w:val="22"/>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5"/>
              <w:gridCol w:w="2037"/>
              <w:gridCol w:w="733"/>
              <w:gridCol w:w="757"/>
              <w:gridCol w:w="886"/>
              <w:gridCol w:w="1952"/>
              <w:gridCol w:w="103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非正常</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工况</w:t>
                  </w:r>
                </w:p>
              </w:tc>
              <w:tc>
                <w:tcPr>
                  <w:tcW w:w="126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454"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类型</w:t>
                  </w:r>
                </w:p>
              </w:tc>
              <w:tc>
                <w:tcPr>
                  <w:tcW w:w="46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549"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废气量</w:t>
                  </w:r>
                </w:p>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/h）</w:t>
                  </w:r>
                </w:p>
              </w:tc>
              <w:tc>
                <w:tcPr>
                  <w:tcW w:w="1210"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排放情况</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排气筒参数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41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工况</w:t>
                  </w:r>
                  <w:r>
                    <w:rPr>
                      <w:rFonts w:hint="default" w:ascii="Times New Roman" w:hAnsi="Times New Roman" w:cs="Times New Roman"/>
                      <w:color w:val="auto"/>
                      <w:sz w:val="18"/>
                      <w:szCs w:val="18"/>
                      <w:highlight w:val="none"/>
                      <w:lang w:val="en-US" w:eastAsia="zh-CN"/>
                    </w:rPr>
                    <w:t>1</w:t>
                  </w:r>
                </w:p>
              </w:tc>
              <w:tc>
                <w:tcPr>
                  <w:tcW w:w="126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注塑、冷却工序配套“</w:t>
                  </w:r>
                  <w:r>
                    <w:rPr>
                      <w:rFonts w:hint="eastAsia" w:cs="Times New Roman"/>
                      <w:color w:val="auto"/>
                      <w:sz w:val="18"/>
                      <w:szCs w:val="18"/>
                      <w:highlight w:val="none"/>
                      <w:lang w:val="en-US" w:eastAsia="zh-CN"/>
                    </w:rPr>
                    <w:t>UV光催化氧化+活性炭吸附</w:t>
                  </w:r>
                  <w:r>
                    <w:rPr>
                      <w:rFonts w:hint="default" w:ascii="Times New Roman" w:hAnsi="Times New Roman" w:cs="Times New Roman"/>
                      <w:color w:val="auto"/>
                      <w:sz w:val="18"/>
                      <w:szCs w:val="18"/>
                      <w:highlight w:val="none"/>
                      <w:lang w:eastAsia="zh-CN"/>
                    </w:rPr>
                    <w:t>”装置（</w:t>
                  </w:r>
                  <w:r>
                    <w:rPr>
                      <w:rFonts w:hint="default" w:ascii="Times New Roman" w:hAnsi="Times New Roman" w:cs="Times New Roman"/>
                      <w:color w:val="auto"/>
                      <w:sz w:val="18"/>
                      <w:szCs w:val="18"/>
                      <w:highlight w:val="none"/>
                      <w:lang w:val="en-US" w:eastAsia="zh-CN"/>
                    </w:rPr>
                    <w:t>TA001</w:t>
                  </w:r>
                  <w:r>
                    <w:rPr>
                      <w:rFonts w:hint="default" w:ascii="Times New Roman" w:hAnsi="Times New Roman" w:cs="Times New Roman"/>
                      <w:color w:val="auto"/>
                      <w:sz w:val="18"/>
                      <w:szCs w:val="18"/>
                      <w:highlight w:val="none"/>
                      <w:lang w:eastAsia="zh-CN"/>
                    </w:rPr>
                    <w:t>）活性炭失效</w:t>
                  </w:r>
                </w:p>
              </w:tc>
              <w:tc>
                <w:tcPr>
                  <w:tcW w:w="454"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处理效率降为零</w:t>
                  </w:r>
                </w:p>
              </w:tc>
              <w:tc>
                <w:tcPr>
                  <w:tcW w:w="469"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非甲烷总烃</w:t>
                  </w:r>
                </w:p>
              </w:tc>
              <w:tc>
                <w:tcPr>
                  <w:tcW w:w="54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5000</w:t>
                  </w:r>
                </w:p>
              </w:tc>
              <w:tc>
                <w:tcPr>
                  <w:tcW w:w="1210"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排放浓度：21.38</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p>
                  <w:pPr>
                    <w:keepNext w:val="0"/>
                    <w:keepLines w:val="0"/>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排放速率：0.107kg/h</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高：15m</w:t>
                  </w:r>
                </w:p>
                <w:p>
                  <w:pPr>
                    <w:keepNext w:val="0"/>
                    <w:keepLines w:val="0"/>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内径：</w:t>
                  </w:r>
                  <w:r>
                    <w:rPr>
                      <w:rFonts w:hint="default" w:ascii="Times New Roman" w:hAnsi="Times New Roman" w:cs="Times New Roman"/>
                      <w:color w:val="auto"/>
                      <w:sz w:val="18"/>
                      <w:szCs w:val="18"/>
                      <w:highlight w:val="none"/>
                      <w:lang w:val="en-US" w:eastAsia="zh-CN"/>
                    </w:rPr>
                    <w:t>0.5</w:t>
                  </w:r>
                  <w:r>
                    <w:rPr>
                      <w:rFonts w:hint="default" w:ascii="Times New Roman" w:hAnsi="Times New Roman" w:cs="Times New Roman"/>
                      <w:color w:val="auto"/>
                      <w:sz w:val="18"/>
                      <w:szCs w:val="18"/>
                      <w:highlight w:val="none"/>
                    </w:rPr>
                    <w:t>m</w:t>
                  </w:r>
                </w:p>
                <w:p>
                  <w:pPr>
                    <w:keepNext w:val="0"/>
                    <w:keepLines w:val="0"/>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r>
                    <w:rPr>
                      <w:rFonts w:hint="default" w:ascii="Times New Roman" w:hAnsi="Times New Roman" w:cs="Times New Roman"/>
                      <w:color w:val="auto"/>
                      <w:sz w:val="18"/>
                      <w:szCs w:val="18"/>
                      <w:highlight w:val="none"/>
                      <w:lang w:val="en-US" w:eastAsia="zh-CN"/>
                    </w:rPr>
                    <w:t>25</w:t>
                  </w:r>
                  <w:r>
                    <w:rPr>
                      <w:rFonts w:hint="default" w:ascii="Times New Roman" w:hAnsi="Times New Roman" w:cs="Times New Roman"/>
                      <w:color w:val="auto"/>
                      <w:sz w:val="18"/>
                      <w:szCs w:val="18"/>
                      <w:highlight w:val="none"/>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1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工况</w:t>
                  </w:r>
                  <w:r>
                    <w:rPr>
                      <w:rFonts w:hint="default" w:ascii="Times New Roman" w:hAnsi="Times New Roman" w:cs="Times New Roman"/>
                      <w:color w:val="auto"/>
                      <w:sz w:val="18"/>
                      <w:szCs w:val="18"/>
                      <w:highlight w:val="none"/>
                      <w:lang w:val="en-US" w:eastAsia="zh-CN"/>
                    </w:rPr>
                    <w:t>2</w:t>
                  </w:r>
                </w:p>
              </w:tc>
              <w:tc>
                <w:tcPr>
                  <w:tcW w:w="126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上料、破碎工序废气配套脉冲袋式除尘器（</w:t>
                  </w:r>
                  <w:r>
                    <w:rPr>
                      <w:rFonts w:hint="default" w:ascii="Times New Roman" w:hAnsi="Times New Roman" w:cs="Times New Roman"/>
                      <w:color w:val="auto"/>
                      <w:sz w:val="18"/>
                      <w:szCs w:val="18"/>
                      <w:highlight w:val="none"/>
                      <w:lang w:val="en-US" w:eastAsia="zh-CN"/>
                    </w:rPr>
                    <w:t>TA002</w:t>
                  </w:r>
                  <w:r>
                    <w:rPr>
                      <w:rFonts w:hint="default" w:ascii="Times New Roman" w:hAnsi="Times New Roman" w:cs="Times New Roman"/>
                      <w:color w:val="auto"/>
                      <w:sz w:val="18"/>
                      <w:szCs w:val="18"/>
                      <w:highlight w:val="none"/>
                      <w:lang w:eastAsia="zh-CN"/>
                    </w:rPr>
                    <w:t>）布袋破损</w:t>
                  </w:r>
                </w:p>
              </w:tc>
              <w:tc>
                <w:tcPr>
                  <w:tcW w:w="454" w:type="pct"/>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处理效率降为零</w:t>
                  </w:r>
                </w:p>
              </w:tc>
              <w:tc>
                <w:tcPr>
                  <w:tcW w:w="469"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颗粒物</w:t>
                  </w:r>
                </w:p>
              </w:tc>
              <w:tc>
                <w:tcPr>
                  <w:tcW w:w="54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1210" w:type="pct"/>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排放浓度：</w:t>
                  </w:r>
                  <w:r>
                    <w:rPr>
                      <w:rFonts w:hint="eastAsia" w:cs="Times New Roman"/>
                      <w:color w:val="auto"/>
                      <w:sz w:val="18"/>
                      <w:szCs w:val="18"/>
                      <w:highlight w:val="none"/>
                      <w:lang w:val="en-US" w:eastAsia="zh-CN"/>
                    </w:rPr>
                    <w:t>20</w:t>
                  </w: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p>
                <w:p>
                  <w:pPr>
                    <w:keepNext w:val="0"/>
                    <w:keepLines w:val="0"/>
                    <w:pageBreakBefore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排放速率：0.03kg/h</w:t>
                  </w:r>
                </w:p>
              </w:tc>
              <w:tc>
                <w:tcPr>
                  <w:tcW w:w="642"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高：15m</w:t>
                  </w:r>
                </w:p>
                <w:p>
                  <w:pPr>
                    <w:keepNext w:val="0"/>
                    <w:keepLines w:val="0"/>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内径：</w:t>
                  </w:r>
                  <w:r>
                    <w:rPr>
                      <w:rFonts w:hint="default" w:ascii="Times New Roman" w:hAnsi="Times New Roman" w:cs="Times New Roman"/>
                      <w:color w:val="auto"/>
                      <w:sz w:val="18"/>
                      <w:szCs w:val="18"/>
                      <w:highlight w:val="none"/>
                      <w:lang w:val="en-US" w:eastAsia="zh-CN"/>
                    </w:rPr>
                    <w:t>0.3</w:t>
                  </w:r>
                  <w:r>
                    <w:rPr>
                      <w:rFonts w:hint="default" w:ascii="Times New Roman" w:hAnsi="Times New Roman" w:cs="Times New Roman"/>
                      <w:color w:val="auto"/>
                      <w:sz w:val="18"/>
                      <w:szCs w:val="18"/>
                      <w:highlight w:val="none"/>
                    </w:rPr>
                    <w:t>m</w:t>
                  </w:r>
                </w:p>
                <w:p>
                  <w:pPr>
                    <w:keepNext w:val="0"/>
                    <w:keepLines w:val="0"/>
                    <w:pageBreakBefore w:val="0"/>
                    <w:kinsoku/>
                    <w:wordWrap/>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r>
                    <w:rPr>
                      <w:rFonts w:hint="default" w:ascii="Times New Roman" w:hAnsi="Times New Roman" w:cs="Times New Roman"/>
                      <w:color w:val="auto"/>
                      <w:sz w:val="18"/>
                      <w:szCs w:val="18"/>
                      <w:highlight w:val="none"/>
                      <w:lang w:val="en-US" w:eastAsia="zh-CN"/>
                    </w:rPr>
                    <w:t>25</w:t>
                  </w:r>
                  <w:r>
                    <w:rPr>
                      <w:rFonts w:hint="default" w:ascii="Times New Roman" w:hAnsi="Times New Roman" w:cs="Times New Roman"/>
                      <w:color w:val="auto"/>
                      <w:sz w:val="18"/>
                      <w:szCs w:val="18"/>
                      <w:highlight w:val="none"/>
                    </w:rPr>
                    <w:t>℃</w:t>
                  </w:r>
                </w:p>
              </w:tc>
            </w:tr>
          </w:tbl>
          <w:p>
            <w:pPr>
              <w:autoSpaceDE w:val="0"/>
              <w:autoSpaceDN w:val="0"/>
              <w:adjustRightInd w:val="0"/>
              <w:snapToGrid w:val="0"/>
              <w:spacing w:line="360" w:lineRule="auto"/>
              <w:ind w:firstLine="420" w:firstLineChars="200"/>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Cs/>
                <w:color w:val="auto"/>
                <w:kern w:val="0"/>
                <w:szCs w:val="21"/>
                <w:highlight w:val="none"/>
              </w:rPr>
              <w:t>为减少非正常工况下污染物排放对环境的影响，应立即启动大气环境应急预案，停产检修。企业应采取定期维护环保措施等措施，减少非正常工况的产生。</w:t>
            </w:r>
          </w:p>
          <w:p>
            <w:pPr>
              <w:autoSpaceDE w:val="0"/>
              <w:autoSpaceDN w:val="0"/>
              <w:adjustRightInd w:val="0"/>
              <w:snapToGrid w:val="0"/>
              <w:spacing w:line="360" w:lineRule="auto"/>
              <w:ind w:left="0" w:leftChars="0" w:firstLine="0" w:firstLineChars="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1.6</w:t>
            </w:r>
            <w:r>
              <w:rPr>
                <w:rFonts w:hint="default" w:ascii="Times New Roman" w:hAnsi="Times New Roman" w:cs="Times New Roman"/>
                <w:b/>
                <w:bCs/>
                <w:color w:val="auto"/>
                <w:kern w:val="0"/>
                <w:szCs w:val="21"/>
                <w:highlight w:val="none"/>
              </w:rPr>
              <w:t>废气排放基本情况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lang w:val="en-US" w:eastAsia="zh-CN"/>
              </w:rPr>
              <w:t>（1）</w:t>
            </w:r>
            <w:r>
              <w:rPr>
                <w:rFonts w:hint="default" w:ascii="Times New Roman" w:hAnsi="Times New Roman" w:cs="Times New Roman"/>
                <w:b/>
                <w:bCs w:val="0"/>
                <w:color w:val="auto"/>
                <w:kern w:val="0"/>
                <w:szCs w:val="21"/>
                <w:highlight w:val="none"/>
              </w:rPr>
              <w:t>有组织废气</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本项目有组织废气排放情况见</w:t>
            </w:r>
            <w:r>
              <w:rPr>
                <w:rFonts w:hint="default" w:ascii="Times New Roman" w:hAnsi="Times New Roman" w:cs="Times New Roman"/>
                <w:bCs/>
                <w:color w:val="auto"/>
                <w:kern w:val="0"/>
                <w:szCs w:val="21"/>
                <w:highlight w:val="none"/>
                <w:lang w:eastAsia="zh-CN"/>
              </w:rPr>
              <w:t>下表：</w:t>
            </w:r>
          </w:p>
          <w:p>
            <w:pPr>
              <w:pStyle w:val="2"/>
              <w:rPr>
                <w:rFonts w:hint="default" w:ascii="Times New Roman" w:hAnsi="Times New Roman" w:cs="Times New Roman"/>
                <w:bCs/>
                <w:color w:val="auto"/>
                <w:kern w:val="0"/>
                <w:szCs w:val="21"/>
                <w:highlight w:val="none"/>
                <w:lang w:eastAsia="zh-CN"/>
              </w:rPr>
            </w:pPr>
          </w:p>
          <w:p>
            <w:pPr>
              <w:rPr>
                <w:rFonts w:hint="default"/>
                <w:color w:val="auto"/>
                <w:lang w:eastAsia="zh-CN"/>
              </w:rPr>
            </w:pP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本项目有组织废气排放情况一览表</w:t>
            </w:r>
          </w:p>
          <w:tbl>
            <w:tblPr>
              <w:tblStyle w:val="23"/>
              <w:tblW w:w="498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048"/>
              <w:gridCol w:w="1119"/>
              <w:gridCol w:w="1439"/>
              <w:gridCol w:w="1320"/>
              <w:gridCol w:w="776"/>
              <w:gridCol w:w="815"/>
              <w:gridCol w:w="7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restar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排放口编号</w:t>
                  </w:r>
                </w:p>
              </w:tc>
              <w:tc>
                <w:tcPr>
                  <w:tcW w:w="651" w:type="pct"/>
                  <w:vMerge w:val="restar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排放口名称</w:t>
                  </w:r>
                </w:p>
              </w:tc>
              <w:tc>
                <w:tcPr>
                  <w:tcW w:w="695" w:type="pct"/>
                  <w:vMerge w:val="restar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污染物种类</w:t>
                  </w:r>
                </w:p>
              </w:tc>
              <w:tc>
                <w:tcPr>
                  <w:tcW w:w="1714" w:type="pct"/>
                  <w:gridSpan w:val="2"/>
                  <w:tcBorders>
                    <w:bottom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排放口地理坐标</w:t>
                  </w:r>
                </w:p>
              </w:tc>
              <w:tc>
                <w:tcPr>
                  <w:tcW w:w="482" w:type="pct"/>
                  <w:vMerge w:val="restar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排气筒高度（m）</w:t>
                  </w:r>
                </w:p>
              </w:tc>
              <w:tc>
                <w:tcPr>
                  <w:tcW w:w="506" w:type="pct"/>
                  <w:vMerge w:val="restar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排气筒出口内径（m）</w:t>
                  </w:r>
                </w:p>
              </w:tc>
              <w:tc>
                <w:tcPr>
                  <w:tcW w:w="441" w:type="pct"/>
                  <w:vMerge w:val="restar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排气温度</w:t>
                  </w:r>
                  <w:r>
                    <w:rPr>
                      <w:rFonts w:hint="default" w:ascii="Times New Roman" w:hAnsi="Times New Roman" w:cs="Times New Roman"/>
                      <w:b w:val="0"/>
                      <w:bCs/>
                      <w:color w:val="auto"/>
                      <w:kern w:val="0"/>
                      <w:sz w:val="18"/>
                      <w:szCs w:val="18"/>
                      <w:highlight w:val="none"/>
                      <w:lang w:val="zh-CN" w:eastAsia="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9" w:type="pct"/>
                  <w:vMerge w:val="continue"/>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p>
              </w:tc>
              <w:tc>
                <w:tcPr>
                  <w:tcW w:w="651" w:type="pct"/>
                  <w:vMerge w:val="continue"/>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p>
              </w:tc>
              <w:tc>
                <w:tcPr>
                  <w:tcW w:w="695" w:type="pct"/>
                  <w:vMerge w:val="continue"/>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p>
              </w:tc>
              <w:tc>
                <w:tcPr>
                  <w:tcW w:w="894" w:type="pct"/>
                  <w:tcBorders>
                    <w:top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经度</w:t>
                  </w:r>
                </w:p>
              </w:tc>
              <w:tc>
                <w:tcPr>
                  <w:tcW w:w="819" w:type="pct"/>
                  <w:tcBorders>
                    <w:top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维度</w:t>
                  </w:r>
                </w:p>
              </w:tc>
              <w:tc>
                <w:tcPr>
                  <w:tcW w:w="482" w:type="pct"/>
                  <w:vMerge w:val="continue"/>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p>
              </w:tc>
              <w:tc>
                <w:tcPr>
                  <w:tcW w:w="506" w:type="pct"/>
                  <w:vMerge w:val="continue"/>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p>
              </w:tc>
              <w:tc>
                <w:tcPr>
                  <w:tcW w:w="441" w:type="pct"/>
                  <w:vMerge w:val="continue"/>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highlight w:val="green"/>
                      <w:lang w:val="en-US" w:eastAsia="zh-CN" w:bidi="ar-SA"/>
                    </w:rPr>
                  </w:pPr>
                  <w:r>
                    <w:rPr>
                      <w:rFonts w:hint="default" w:ascii="Times New Roman" w:hAnsi="Times New Roman" w:cs="Times New Roman"/>
                      <w:b w:val="0"/>
                      <w:bCs/>
                      <w:color w:val="auto"/>
                      <w:kern w:val="0"/>
                      <w:sz w:val="18"/>
                      <w:szCs w:val="18"/>
                      <w:highlight w:val="none"/>
                      <w:lang w:val="en-US" w:eastAsia="zh-CN"/>
                    </w:rPr>
                    <w:t>DA001</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2"/>
                      <w:sz w:val="18"/>
                      <w:szCs w:val="18"/>
                      <w:highlight w:val="none"/>
                      <w:vertAlign w:val="baseline"/>
                      <w:lang w:val="en-US" w:eastAsia="zh-CN" w:bidi="ar-SA"/>
                    </w:rPr>
                  </w:pPr>
                  <w:r>
                    <w:rPr>
                      <w:rFonts w:hint="default" w:ascii="Times New Roman" w:hAnsi="Times New Roman" w:cs="Times New Roman"/>
                      <w:b w:val="0"/>
                      <w:bCs/>
                      <w:color w:val="auto"/>
                      <w:kern w:val="2"/>
                      <w:sz w:val="18"/>
                      <w:szCs w:val="18"/>
                      <w:highlight w:val="none"/>
                      <w:vertAlign w:val="baseline"/>
                      <w:lang w:val="en-US" w:eastAsia="zh-CN" w:bidi="ar-SA"/>
                    </w:rPr>
                    <w:t>有机废气排放口</w:t>
                  </w:r>
                </w:p>
              </w:tc>
              <w:tc>
                <w:tcPr>
                  <w:tcW w:w="1080"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非甲烷总烃</w:t>
                  </w:r>
                </w:p>
              </w:tc>
              <w:tc>
                <w:tcPr>
                  <w:tcW w:w="1400" w:type="dxa"/>
                  <w:tcBorders>
                    <w:tl2br w:val="nil"/>
                    <w:tr2bl w:val="nil"/>
                  </w:tcBorders>
                  <w:vAlign w:val="center"/>
                </w:tcPr>
                <w:p>
                  <w:pPr>
                    <w:pStyle w:val="17"/>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eastAsia="宋体" w:cs="Times New Roman"/>
                      <w:b w:val="0"/>
                      <w:bCs/>
                      <w:color w:val="auto"/>
                      <w:kern w:val="0"/>
                      <w:sz w:val="18"/>
                      <w:szCs w:val="18"/>
                      <w:highlight w:val="none"/>
                      <w:vertAlign w:val="baseline"/>
                      <w:lang w:val="en-US" w:eastAsia="zh-CN" w:bidi="ar-SA"/>
                    </w:rPr>
                    <w:t>113°51′18.322″</w:t>
                  </w:r>
                </w:p>
              </w:tc>
              <w:tc>
                <w:tcPr>
                  <w:tcW w:w="1281" w:type="dxa"/>
                  <w:tcBorders>
                    <w:tl2br w:val="nil"/>
                    <w:tr2bl w:val="nil"/>
                  </w:tcBorders>
                  <w:vAlign w:val="center"/>
                </w:tcPr>
                <w:p>
                  <w:pPr>
                    <w:pStyle w:val="17"/>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eastAsia="宋体" w:cs="Times New Roman"/>
                      <w:b w:val="0"/>
                      <w:bCs/>
                      <w:color w:val="auto"/>
                      <w:kern w:val="0"/>
                      <w:sz w:val="18"/>
                      <w:szCs w:val="18"/>
                      <w:highlight w:val="none"/>
                      <w:vertAlign w:val="baseline"/>
                      <w:lang w:val="en-US" w:eastAsia="zh-CN" w:bidi="ar-SA"/>
                    </w:rPr>
                    <w:t>35°22′7.488″</w:t>
                  </w:r>
                </w:p>
              </w:tc>
              <w:tc>
                <w:tcPr>
                  <w:tcW w:w="817"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bidi="ar-SA"/>
                    </w:rPr>
                  </w:pPr>
                  <w:r>
                    <w:rPr>
                      <w:rFonts w:hint="default" w:ascii="Times New Roman" w:hAnsi="Times New Roman" w:eastAsia="宋体" w:cs="Times New Roman"/>
                      <w:b w:val="0"/>
                      <w:bCs/>
                      <w:color w:val="auto"/>
                      <w:sz w:val="18"/>
                      <w:szCs w:val="18"/>
                      <w:highlight w:val="none"/>
                      <w:vertAlign w:val="baseline"/>
                      <w:lang w:val="en-US" w:eastAsia="zh-CN"/>
                    </w:rPr>
                    <w:t>15</w:t>
                  </w:r>
                </w:p>
              </w:tc>
              <w:tc>
                <w:tcPr>
                  <w:tcW w:w="862"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bidi="ar-SA"/>
                    </w:rPr>
                  </w:pPr>
                  <w:r>
                    <w:rPr>
                      <w:rFonts w:hint="default" w:ascii="Times New Roman" w:hAnsi="Times New Roman" w:eastAsia="宋体" w:cs="Times New Roman"/>
                      <w:b w:val="0"/>
                      <w:bCs/>
                      <w:color w:val="auto"/>
                      <w:sz w:val="18"/>
                      <w:szCs w:val="18"/>
                      <w:highlight w:val="none"/>
                      <w:vertAlign w:val="baseline"/>
                      <w:lang w:val="en-US" w:eastAsia="zh-CN"/>
                    </w:rPr>
                    <w:t>0.5</w:t>
                  </w:r>
                </w:p>
              </w:tc>
              <w:tc>
                <w:tcPr>
                  <w:tcW w:w="818"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bidi="ar-SA"/>
                    </w:rPr>
                  </w:pPr>
                  <w:r>
                    <w:rPr>
                      <w:rFonts w:hint="default" w:ascii="Times New Roman" w:hAnsi="Times New Roman" w:eastAsia="宋体" w:cs="Times New Roman"/>
                      <w:b w:val="0"/>
                      <w:bCs/>
                      <w:color w:val="auto"/>
                      <w:sz w:val="18"/>
                      <w:szCs w:val="18"/>
                      <w:highlight w:val="none"/>
                      <w:vertAlign w:val="baseline"/>
                      <w:lang w:val="en-US" w:eastAsia="zh-CN"/>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tcBorders>
                    <w:tl2br w:val="nil"/>
                    <w:tr2bl w:val="nil"/>
                  </w:tcBorders>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green"/>
                      <w:lang w:val="en-US" w:eastAsia="zh-CN"/>
                    </w:rPr>
                  </w:pPr>
                  <w:r>
                    <w:rPr>
                      <w:rFonts w:hint="default" w:ascii="Times New Roman" w:hAnsi="Times New Roman" w:cs="Times New Roman"/>
                      <w:b w:val="0"/>
                      <w:bCs/>
                      <w:color w:val="auto"/>
                      <w:kern w:val="0"/>
                      <w:sz w:val="18"/>
                      <w:szCs w:val="18"/>
                      <w:highlight w:val="none"/>
                      <w:lang w:val="en-US" w:eastAsia="zh-CN"/>
                    </w:rPr>
                    <w:t>DA002</w:t>
                  </w:r>
                </w:p>
              </w:tc>
              <w:tc>
                <w:tcPr>
                  <w:tcW w:w="9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vertAlign w:val="baseline"/>
                      <w:lang w:val="en-US" w:eastAsia="zh-CN"/>
                    </w:rPr>
                  </w:pPr>
                  <w:r>
                    <w:rPr>
                      <w:rFonts w:hint="default" w:ascii="Times New Roman" w:hAnsi="Times New Roman" w:cs="Times New Roman"/>
                      <w:b w:val="0"/>
                      <w:bCs/>
                      <w:color w:val="auto"/>
                      <w:kern w:val="2"/>
                      <w:sz w:val="18"/>
                      <w:szCs w:val="18"/>
                      <w:highlight w:val="none"/>
                      <w:vertAlign w:val="baseline"/>
                      <w:lang w:val="en-US" w:eastAsia="zh-CN" w:bidi="ar-SA"/>
                    </w:rPr>
                    <w:t>颗粒物废气排放口</w:t>
                  </w:r>
                </w:p>
              </w:tc>
              <w:tc>
                <w:tcPr>
                  <w:tcW w:w="1080"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颗粒物</w:t>
                  </w:r>
                </w:p>
              </w:tc>
              <w:tc>
                <w:tcPr>
                  <w:tcW w:w="1400" w:type="dxa"/>
                  <w:tcBorders>
                    <w:tl2br w:val="nil"/>
                    <w:tr2bl w:val="nil"/>
                  </w:tcBorders>
                  <w:vAlign w:val="center"/>
                </w:tcPr>
                <w:p>
                  <w:pPr>
                    <w:pStyle w:val="17"/>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 w:val="0"/>
                      <w:bCs/>
                      <w:color w:val="auto"/>
                      <w:kern w:val="0"/>
                      <w:sz w:val="18"/>
                      <w:szCs w:val="18"/>
                      <w:highlight w:val="none"/>
                    </w:rPr>
                  </w:pPr>
                  <w:r>
                    <w:rPr>
                      <w:rFonts w:hint="default" w:ascii="Times New Roman" w:hAnsi="Times New Roman" w:cs="Times New Roman"/>
                      <w:b w:val="0"/>
                      <w:bCs/>
                      <w:color w:val="auto"/>
                      <w:kern w:val="0"/>
                      <w:sz w:val="18"/>
                      <w:szCs w:val="18"/>
                      <w:highlight w:val="none"/>
                    </w:rPr>
                    <w:t>113°51′18.303″</w:t>
                  </w:r>
                </w:p>
              </w:tc>
              <w:tc>
                <w:tcPr>
                  <w:tcW w:w="1281" w:type="dxa"/>
                  <w:tcBorders>
                    <w:tl2br w:val="nil"/>
                    <w:tr2bl w:val="nil"/>
                  </w:tcBorders>
                  <w:vAlign w:val="center"/>
                </w:tcPr>
                <w:p>
                  <w:pPr>
                    <w:pStyle w:val="17"/>
                    <w:keepNext w:val="0"/>
                    <w:keepLines w:val="0"/>
                    <w:pageBreakBefore w:val="0"/>
                    <w:widowControl/>
                    <w:suppressLineNumbers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cs="Times New Roman"/>
                      <w:b w:val="0"/>
                      <w:bCs/>
                      <w:color w:val="auto"/>
                      <w:kern w:val="0"/>
                      <w:sz w:val="18"/>
                      <w:szCs w:val="18"/>
                      <w:highlight w:val="none"/>
                    </w:rPr>
                  </w:pPr>
                  <w:r>
                    <w:rPr>
                      <w:rFonts w:hint="default" w:ascii="Times New Roman" w:hAnsi="Times New Roman" w:cs="Times New Roman"/>
                      <w:b w:val="0"/>
                      <w:bCs/>
                      <w:color w:val="auto"/>
                      <w:kern w:val="0"/>
                      <w:sz w:val="18"/>
                      <w:szCs w:val="18"/>
                      <w:highlight w:val="none"/>
                    </w:rPr>
                    <w:t>35°22′7.157″</w:t>
                  </w:r>
                </w:p>
              </w:tc>
              <w:tc>
                <w:tcPr>
                  <w:tcW w:w="817"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15</w:t>
                  </w:r>
                </w:p>
              </w:tc>
              <w:tc>
                <w:tcPr>
                  <w:tcW w:w="862"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0.3</w:t>
                  </w:r>
                </w:p>
              </w:tc>
              <w:tc>
                <w:tcPr>
                  <w:tcW w:w="818" w:type="dxa"/>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25</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（2）</w:t>
            </w:r>
            <w:r>
              <w:rPr>
                <w:rFonts w:hint="default" w:ascii="Times New Roman" w:hAnsi="Times New Roman" w:cs="Times New Roman"/>
                <w:b/>
                <w:bCs/>
                <w:color w:val="auto"/>
                <w:kern w:val="0"/>
                <w:szCs w:val="21"/>
                <w:highlight w:val="none"/>
              </w:rPr>
              <w:t>无组织废气</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本项目无组织废气排放情况见</w:t>
            </w:r>
            <w:r>
              <w:rPr>
                <w:rFonts w:hint="default" w:ascii="Times New Roman" w:hAnsi="Times New Roman" w:cs="Times New Roman"/>
                <w:bCs/>
                <w:color w:val="auto"/>
                <w:kern w:val="0"/>
                <w:szCs w:val="21"/>
                <w:highlight w:val="none"/>
                <w:lang w:eastAsia="zh-CN"/>
              </w:rPr>
              <w:t>下</w:t>
            </w:r>
            <w:r>
              <w:rPr>
                <w:rFonts w:hint="default" w:ascii="Times New Roman" w:hAnsi="Times New Roman" w:cs="Times New Roman"/>
                <w:bCs/>
                <w:color w:val="auto"/>
                <w:kern w:val="0"/>
                <w:szCs w:val="21"/>
                <w:highlight w:val="none"/>
              </w:rPr>
              <w:t>表</w:t>
            </w:r>
            <w:r>
              <w:rPr>
                <w:rFonts w:hint="default" w:ascii="Times New Roman" w:hAnsi="Times New Roman" w:cs="Times New Roman"/>
                <w:bCs/>
                <w:color w:val="auto"/>
                <w:kern w:val="0"/>
                <w:szCs w:val="21"/>
                <w:highlight w:val="none"/>
                <w:lang w:eastAsia="zh-CN"/>
              </w:rPr>
              <w:t>：</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本项目无组织废气排放本情况一览表</w:t>
            </w:r>
          </w:p>
          <w:tbl>
            <w:tblPr>
              <w:tblStyle w:val="22"/>
              <w:tblW w:w="4995"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1"/>
              <w:gridCol w:w="1335"/>
              <w:gridCol w:w="1799"/>
              <w:gridCol w:w="1801"/>
              <w:gridCol w:w="1227"/>
              <w:gridCol w:w="108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restart"/>
                  <w:tcBorders>
                    <w:top w:val="single" w:color="000000" w:sz="4" w:space="0"/>
                    <w:left w:val="nil"/>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编号</w:t>
                  </w:r>
                </w:p>
              </w:tc>
              <w:tc>
                <w:tcPr>
                  <w:tcW w:w="828" w:type="pct"/>
                  <w:vMerge w:val="restart"/>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zh-CN"/>
                    </w:rPr>
                    <w:t>名称</w:t>
                  </w:r>
                </w:p>
              </w:tc>
              <w:tc>
                <w:tcPr>
                  <w:tcW w:w="2233"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zh-CN"/>
                    </w:rPr>
                    <w:t>面源起始坐标</w:t>
                  </w:r>
                </w:p>
              </w:tc>
              <w:tc>
                <w:tcPr>
                  <w:tcW w:w="76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zh-CN"/>
                    </w:rPr>
                    <w:t>年排放小时数</w:t>
                  </w:r>
                  <w:r>
                    <w:rPr>
                      <w:rFonts w:hint="default" w:ascii="Times New Roman" w:hAnsi="Times New Roman" w:cs="Times New Roman"/>
                      <w:color w:val="auto"/>
                      <w:sz w:val="18"/>
                      <w:szCs w:val="18"/>
                      <w:highlight w:val="none"/>
                      <w:lang w:val="en-US" w:eastAsia="zh-CN"/>
                    </w:rPr>
                    <w:t>/h</w:t>
                  </w:r>
                </w:p>
              </w:tc>
              <w:tc>
                <w:tcPr>
                  <w:tcW w:w="673" w:type="pct"/>
                  <w:vMerge w:val="restart"/>
                  <w:tcBorders>
                    <w:top w:val="single" w:color="000000" w:sz="4" w:space="0"/>
                    <w:left w:val="single" w:color="000000" w:sz="4" w:space="0"/>
                    <w:bottom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zh-CN"/>
                    </w:rPr>
                    <w:t>排放工况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continue"/>
                  <w:tcBorders>
                    <w:left w:val="nil"/>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828" w:type="pct"/>
                  <w:vMerge w:val="continue"/>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1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X</w:t>
                  </w:r>
                </w:p>
              </w:tc>
              <w:tc>
                <w:tcPr>
                  <w:tcW w:w="11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Y</w:t>
                  </w:r>
                </w:p>
              </w:tc>
              <w:tc>
                <w:tcPr>
                  <w:tcW w:w="76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p>
              </w:tc>
              <w:tc>
                <w:tcPr>
                  <w:tcW w:w="673" w:type="pct"/>
                  <w:vMerge w:val="continue"/>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828" w:type="pct"/>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生产</w:t>
                  </w:r>
                  <w:r>
                    <w:rPr>
                      <w:rFonts w:hint="default" w:ascii="Times New Roman" w:hAnsi="Times New Roman" w:cs="Times New Roman"/>
                      <w:color w:val="auto"/>
                      <w:sz w:val="18"/>
                      <w:szCs w:val="18"/>
                      <w:highlight w:val="none"/>
                    </w:rPr>
                    <w:t>车间</w:t>
                  </w:r>
                </w:p>
              </w:tc>
              <w:tc>
                <w:tcPr>
                  <w:tcW w:w="11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113°41′29.628″</w:t>
                  </w:r>
                </w:p>
              </w:tc>
              <w:tc>
                <w:tcPr>
                  <w:tcW w:w="11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35°5′42.499″</w:t>
                  </w:r>
                </w:p>
              </w:tc>
              <w:tc>
                <w:tcPr>
                  <w:tcW w:w="7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2400</w:t>
                  </w:r>
                </w:p>
              </w:tc>
              <w:tc>
                <w:tcPr>
                  <w:tcW w:w="673" w:type="pct"/>
                  <w:tcBorders>
                    <w:top w:val="single" w:color="000000" w:sz="4" w:space="0"/>
                    <w:left w:val="single" w:color="000000" w:sz="4" w:space="0"/>
                    <w:bottom w:val="single" w:color="000000"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正常</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1.7</w:t>
            </w:r>
            <w:r>
              <w:rPr>
                <w:rFonts w:hint="default" w:ascii="Times New Roman" w:hAnsi="Times New Roman" w:eastAsia="宋体" w:cs="Times New Roman"/>
                <w:b/>
                <w:bCs/>
                <w:color w:val="auto"/>
                <w:kern w:val="0"/>
                <w:sz w:val="21"/>
                <w:szCs w:val="21"/>
                <w:highlight w:val="none"/>
                <w:lang w:eastAsia="zh-CN"/>
              </w:rPr>
              <w:t>监测计划</w:t>
            </w:r>
          </w:p>
          <w:p>
            <w:pPr>
              <w:pStyle w:val="2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right="0" w:rightChars="0" w:firstLine="420" w:firstLineChars="200"/>
              <w:jc w:val="left"/>
              <w:textAlignment w:val="auto"/>
              <w:rPr>
                <w:rFonts w:hint="default" w:ascii="Times New Roman" w:hAnsi="Times New Roman" w:cs="Times New Roman"/>
                <w:b w:val="0"/>
                <w:bCs w:val="0"/>
                <w:color w:val="auto"/>
                <w:highlight w:val="green"/>
                <w:lang w:eastAsia="zh-CN"/>
              </w:rPr>
            </w:pPr>
            <w:r>
              <w:rPr>
                <w:rFonts w:hint="default" w:ascii="Times New Roman" w:hAnsi="Times New Roman" w:eastAsia="宋体" w:cs="Times New Roman"/>
                <w:b w:val="0"/>
                <w:bCs w:val="0"/>
                <w:color w:val="auto"/>
                <w:sz w:val="21"/>
                <w:szCs w:val="21"/>
                <w:highlight w:val="none"/>
                <w:vertAlign w:val="baseline"/>
                <w:lang w:eastAsia="zh-CN"/>
              </w:rPr>
              <w:t>参考《</w:t>
            </w:r>
            <w:r>
              <w:rPr>
                <w:rFonts w:hint="default" w:ascii="Times New Roman" w:hAnsi="Times New Roman" w:eastAsia="宋体" w:cs="Times New Roman"/>
                <w:b w:val="0"/>
                <w:bCs w:val="0"/>
                <w:color w:val="auto"/>
                <w:sz w:val="21"/>
                <w:szCs w:val="21"/>
                <w:highlight w:val="none"/>
                <w:lang w:val="en-US" w:eastAsia="zh-CN"/>
              </w:rPr>
              <w:t>排污单位自行监测技术指南 橡胶和塑料制品</w:t>
            </w:r>
            <w:r>
              <w:rPr>
                <w:rFonts w:hint="default" w:ascii="Times New Roman" w:hAnsi="Times New Roman" w:eastAsia="宋体" w:cs="Times New Roman"/>
                <w:b w:val="0"/>
                <w:bCs w:val="0"/>
                <w:color w:val="auto"/>
                <w:sz w:val="21"/>
                <w:szCs w:val="21"/>
                <w:highlight w:val="none"/>
                <w:vertAlign w:val="baseline"/>
                <w:lang w:eastAsia="zh-CN"/>
              </w:rPr>
              <w:t>》</w:t>
            </w:r>
            <w:r>
              <w:rPr>
                <w:rFonts w:hint="default" w:ascii="Times New Roman" w:hAnsi="Times New Roman" w:eastAsia="宋体" w:cs="Times New Roman"/>
                <w:b w:val="0"/>
                <w:bCs w:val="0"/>
                <w:color w:val="auto"/>
                <w:sz w:val="21"/>
                <w:szCs w:val="21"/>
                <w:highlight w:val="none"/>
                <w:lang w:val="en-US" w:eastAsia="zh-CN"/>
              </w:rPr>
              <w:t>（HJ 1207—2021）</w:t>
            </w:r>
            <w:r>
              <w:rPr>
                <w:rFonts w:hint="default" w:ascii="Times New Roman" w:hAnsi="Times New Roman" w:eastAsia="宋体" w:cs="Times New Roman"/>
                <w:b w:val="0"/>
                <w:bCs w:val="0"/>
                <w:color w:val="auto"/>
                <w:sz w:val="21"/>
                <w:szCs w:val="21"/>
                <w:highlight w:val="none"/>
                <w:vertAlign w:val="baseline"/>
                <w:lang w:eastAsia="zh-CN"/>
              </w:rPr>
              <w:t>相关要求，自行监测计划如下：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有组织废气监测方案</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543"/>
              <w:gridCol w:w="1254"/>
              <w:gridCol w:w="37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监测点位</w:t>
                  </w:r>
                </w:p>
              </w:tc>
              <w:tc>
                <w:tcPr>
                  <w:tcW w:w="956"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监测指标</w:t>
                  </w:r>
                </w:p>
              </w:tc>
              <w:tc>
                <w:tcPr>
                  <w:tcW w:w="777"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监测频次</w:t>
                  </w:r>
                </w:p>
              </w:tc>
              <w:tc>
                <w:tcPr>
                  <w:tcW w:w="2348"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DA001出口</w:t>
                  </w:r>
                </w:p>
              </w:tc>
              <w:tc>
                <w:tcPr>
                  <w:tcW w:w="956"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b w:val="0"/>
                      <w:bCs/>
                      <w:color w:val="auto"/>
                      <w:sz w:val="18"/>
                      <w:szCs w:val="18"/>
                      <w:highlight w:val="none"/>
                      <w:lang w:eastAsia="zh-CN"/>
                    </w:rPr>
                  </w:pPr>
                  <w:r>
                    <w:rPr>
                      <w:rFonts w:hint="default" w:ascii="Times New Roman" w:hAnsi="Times New Roman" w:cs="Times New Roman" w:eastAsiaTheme="minorEastAsia"/>
                      <w:b w:val="0"/>
                      <w:bCs/>
                      <w:color w:val="auto"/>
                      <w:sz w:val="18"/>
                      <w:szCs w:val="18"/>
                      <w:highlight w:val="none"/>
                      <w:lang w:eastAsia="zh-CN"/>
                    </w:rPr>
                    <w:t>非甲烷总烃</w:t>
                  </w:r>
                </w:p>
              </w:tc>
              <w:tc>
                <w:tcPr>
                  <w:tcW w:w="777"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1次/半年</w:t>
                  </w:r>
                </w:p>
              </w:tc>
              <w:tc>
                <w:tcPr>
                  <w:tcW w:w="2348" w:type="pct"/>
                  <w:noWrap w:val="0"/>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eastAsiaTheme="minorEastAsia"/>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《合成树脂工业污染物排放标准》（GB31572-2015）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DA002出口</w:t>
                  </w:r>
                </w:p>
              </w:tc>
              <w:tc>
                <w:tcPr>
                  <w:tcW w:w="956"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eastAsia="zh-CN"/>
                    </w:rPr>
                    <w:t>颗粒物</w:t>
                  </w:r>
                </w:p>
              </w:tc>
              <w:tc>
                <w:tcPr>
                  <w:tcW w:w="777"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eastAsiaTheme="minorEastAsia"/>
                      <w:b w:val="0"/>
                      <w:bCs/>
                      <w:color w:val="auto"/>
                      <w:sz w:val="18"/>
                      <w:szCs w:val="18"/>
                      <w:highlight w:val="none"/>
                      <w:lang w:val="en-US" w:eastAsia="zh-CN"/>
                    </w:rPr>
                  </w:pPr>
                  <w:r>
                    <w:rPr>
                      <w:rFonts w:hint="default" w:ascii="Times New Roman" w:hAnsi="Times New Roman" w:cs="Times New Roman" w:eastAsiaTheme="minorEastAsia"/>
                      <w:b w:val="0"/>
                      <w:bCs/>
                      <w:color w:val="auto"/>
                      <w:sz w:val="18"/>
                      <w:szCs w:val="18"/>
                      <w:highlight w:val="none"/>
                      <w:lang w:val="en-US" w:eastAsia="zh-CN"/>
                    </w:rPr>
                    <w:t>1次/半年</w:t>
                  </w:r>
                </w:p>
              </w:tc>
              <w:tc>
                <w:tcPr>
                  <w:tcW w:w="2348" w:type="pct"/>
                  <w:noWrap w:val="0"/>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《合成树脂工业污染物排放标准》（GB31572-2015）</w:t>
                  </w:r>
                </w:p>
              </w:tc>
            </w:tr>
          </w:tbl>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无组织废气监测计方案</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550"/>
              <w:gridCol w:w="1232"/>
              <w:gridCol w:w="37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1"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监测点位</w:t>
                  </w:r>
                </w:p>
              </w:tc>
              <w:tc>
                <w:tcPr>
                  <w:tcW w:w="961"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监测指标</w:t>
                  </w:r>
                </w:p>
              </w:tc>
              <w:tc>
                <w:tcPr>
                  <w:tcW w:w="763"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监测频次</w:t>
                  </w:r>
                </w:p>
              </w:tc>
              <w:tc>
                <w:tcPr>
                  <w:tcW w:w="2353"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1"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上风向厂界外20米处1个点位</w:t>
                  </w:r>
                </w:p>
              </w:tc>
              <w:tc>
                <w:tcPr>
                  <w:tcW w:w="961"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颗粒物、</w:t>
                  </w:r>
                  <w:r>
                    <w:rPr>
                      <w:rFonts w:hint="default" w:ascii="Times New Roman" w:hAnsi="Times New Roman" w:cs="Times New Roman" w:eastAsiaTheme="minorEastAsia"/>
                      <w:b w:val="0"/>
                      <w:bCs/>
                      <w:color w:val="auto"/>
                      <w:sz w:val="18"/>
                      <w:szCs w:val="18"/>
                      <w:highlight w:val="none"/>
                      <w:lang w:eastAsia="zh-CN"/>
                    </w:rPr>
                    <w:t>非甲烷总烃</w:t>
                  </w:r>
                </w:p>
              </w:tc>
              <w:tc>
                <w:tcPr>
                  <w:tcW w:w="763"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lang w:eastAsia="zh-CN"/>
                    </w:rPr>
                  </w:pPr>
                  <w:r>
                    <w:rPr>
                      <w:rFonts w:hint="default" w:ascii="Times New Roman" w:hAnsi="Times New Roman" w:cs="Times New Roman" w:eastAsiaTheme="minorEastAsia"/>
                      <w:b w:val="0"/>
                      <w:bCs/>
                      <w:color w:val="auto"/>
                      <w:sz w:val="18"/>
                      <w:szCs w:val="18"/>
                      <w:highlight w:val="none"/>
                      <w:lang w:val="en-US" w:eastAsia="zh-CN"/>
                    </w:rPr>
                    <w:t>1次/半年</w:t>
                  </w:r>
                </w:p>
              </w:tc>
              <w:tc>
                <w:tcPr>
                  <w:tcW w:w="2353"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eastAsiaTheme="minorEastAsia"/>
                      <w:b w:val="0"/>
                      <w:bCs/>
                      <w:color w:val="auto"/>
                      <w:sz w:val="18"/>
                      <w:szCs w:val="18"/>
                      <w:highlight w:val="green"/>
                      <w:lang w:eastAsia="zh-CN"/>
                    </w:rPr>
                  </w:pPr>
                  <w:r>
                    <w:rPr>
                      <w:rFonts w:hint="default" w:ascii="Times New Roman" w:hAnsi="Times New Roman" w:eastAsia="宋体" w:cs="Times New Roman"/>
                      <w:b w:val="0"/>
                      <w:bCs/>
                      <w:color w:val="auto"/>
                      <w:sz w:val="18"/>
                      <w:szCs w:val="18"/>
                      <w:highlight w:val="none"/>
                      <w:lang w:eastAsia="zh-CN"/>
                    </w:rPr>
                    <w:t>《合成树脂工业污染物排放标准》（GB31572-2015）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1"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下风向厂界外10米处3个点位</w:t>
                  </w:r>
                </w:p>
              </w:tc>
              <w:tc>
                <w:tcPr>
                  <w:tcW w:w="961"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颗粒物</w:t>
                  </w:r>
                  <w:r>
                    <w:rPr>
                      <w:rFonts w:hint="default" w:ascii="Times New Roman" w:hAnsi="Times New Roman" w:cs="Times New Roman"/>
                      <w:b w:val="0"/>
                      <w:bCs/>
                      <w:color w:val="auto"/>
                      <w:sz w:val="18"/>
                      <w:szCs w:val="18"/>
                      <w:highlight w:val="none"/>
                      <w:lang w:eastAsia="zh-CN"/>
                    </w:rPr>
                    <w:t>、</w:t>
                  </w:r>
                  <w:r>
                    <w:rPr>
                      <w:rFonts w:hint="default" w:ascii="Times New Roman" w:hAnsi="Times New Roman" w:cs="Times New Roman" w:eastAsiaTheme="minorEastAsia"/>
                      <w:b w:val="0"/>
                      <w:bCs/>
                      <w:color w:val="auto"/>
                      <w:sz w:val="18"/>
                      <w:szCs w:val="18"/>
                      <w:highlight w:val="none"/>
                      <w:lang w:eastAsia="zh-CN"/>
                    </w:rPr>
                    <w:t>非甲烷总烃</w:t>
                  </w:r>
                </w:p>
              </w:tc>
              <w:tc>
                <w:tcPr>
                  <w:tcW w:w="76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green"/>
                    </w:rPr>
                  </w:pPr>
                  <w:r>
                    <w:rPr>
                      <w:rFonts w:hint="default" w:ascii="Times New Roman" w:hAnsi="Times New Roman" w:cs="Times New Roman" w:eastAsiaTheme="minorEastAsia"/>
                      <w:b w:val="0"/>
                      <w:bCs/>
                      <w:color w:val="auto"/>
                      <w:sz w:val="18"/>
                      <w:szCs w:val="18"/>
                      <w:highlight w:val="none"/>
                      <w:lang w:val="en-US" w:eastAsia="zh-CN"/>
                    </w:rPr>
                    <w:t>1次/半年</w:t>
                  </w:r>
                </w:p>
              </w:tc>
              <w:tc>
                <w:tcPr>
                  <w:tcW w:w="2353"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green"/>
                    </w:rPr>
                  </w:pPr>
                </w:p>
              </w:tc>
            </w:tr>
          </w:tbl>
          <w:p>
            <w:pPr>
              <w:keepLines w:val="0"/>
              <w:pageBreakBefore w:val="0"/>
              <w:widowControl w:val="0"/>
              <w:kinsoku/>
              <w:wordWrap/>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2、废水</w:t>
            </w:r>
          </w:p>
          <w:p>
            <w:pPr>
              <w:keepLines w:val="0"/>
              <w:pageBreakBefore w:val="0"/>
              <w:widowControl w:val="0"/>
              <w:kinsoku/>
              <w:wordWrap/>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2.1</w:t>
            </w:r>
            <w:r>
              <w:rPr>
                <w:rFonts w:hint="default" w:ascii="Times New Roman" w:hAnsi="Times New Roman" w:cs="Times New Roman"/>
                <w:b/>
                <w:bCs/>
                <w:color w:val="auto"/>
                <w:kern w:val="0"/>
                <w:sz w:val="21"/>
                <w:szCs w:val="21"/>
                <w:highlight w:val="none"/>
              </w:rPr>
              <w:t>废水污染源强及治理措施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2.1.1生活污水</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工程劳动定员15人，</w:t>
            </w:r>
            <w:r>
              <w:rPr>
                <w:rFonts w:hint="default" w:ascii="Times New Roman" w:hAnsi="Times New Roman" w:cs="Times New Roman"/>
                <w:color w:val="auto"/>
                <w:sz w:val="21"/>
                <w:szCs w:val="21"/>
                <w:highlight w:val="none"/>
                <w:lang w:val="en-US" w:eastAsia="zh-CN"/>
              </w:rPr>
              <w:t>均不在厂区内食宿，年工作时间为300天，</w:t>
            </w:r>
            <w:r>
              <w:rPr>
                <w:rFonts w:hint="default" w:ascii="Times New Roman" w:hAnsi="Times New Roman" w:eastAsia="宋体" w:cs="Times New Roman"/>
                <w:b w:val="0"/>
                <w:bCs w:val="0"/>
                <w:color w:val="auto"/>
                <w:sz w:val="21"/>
                <w:szCs w:val="21"/>
                <w:highlight w:val="none"/>
                <w:vertAlign w:val="baseline"/>
                <w:lang w:eastAsia="zh-CN"/>
              </w:rPr>
              <w:t>根据</w:t>
            </w:r>
            <w:r>
              <w:rPr>
                <w:rFonts w:hint="default" w:ascii="Times New Roman" w:hAnsi="Times New Roman" w:eastAsia="宋体" w:cs="Times New Roman"/>
                <w:b w:val="0"/>
                <w:bCs w:val="0"/>
                <w:color w:val="auto"/>
                <w:sz w:val="21"/>
                <w:szCs w:val="21"/>
                <w:highlight w:val="none"/>
                <w:vertAlign w:val="baseline"/>
              </w:rPr>
              <w:t>《</w:t>
            </w:r>
            <w:r>
              <w:rPr>
                <w:rFonts w:hint="default" w:ascii="Times New Roman" w:hAnsi="Times New Roman" w:cs="Times New Roman"/>
                <w:b w:val="0"/>
                <w:bCs w:val="0"/>
                <w:color w:val="auto"/>
                <w:sz w:val="21"/>
                <w:szCs w:val="21"/>
                <w:highlight w:val="none"/>
                <w:vertAlign w:val="baseline"/>
                <w:lang w:eastAsia="zh-CN"/>
              </w:rPr>
              <w:t>建筑给水排水标准</w:t>
            </w:r>
            <w:r>
              <w:rPr>
                <w:rFonts w:hint="default" w:ascii="Times New Roman" w:hAnsi="Times New Roman" w:eastAsia="宋体" w:cs="Times New Roman"/>
                <w:b w:val="0"/>
                <w:bCs w:val="0"/>
                <w:color w:val="auto"/>
                <w:sz w:val="21"/>
                <w:szCs w:val="21"/>
                <w:highlight w:val="none"/>
                <w:vertAlign w:val="baseline"/>
              </w:rPr>
              <w:t>》（GB50015-2019）</w:t>
            </w:r>
            <w:r>
              <w:rPr>
                <w:rFonts w:hint="default" w:ascii="Times New Roman" w:hAnsi="Times New Roman" w:cs="Times New Roman"/>
                <w:b w:val="0"/>
                <w:bCs w:val="0"/>
                <w:color w:val="auto"/>
                <w:sz w:val="21"/>
                <w:szCs w:val="21"/>
                <w:highlight w:val="none"/>
                <w:vertAlign w:val="baseline"/>
                <w:lang w:eastAsia="zh-CN"/>
              </w:rPr>
              <w:t>，</w:t>
            </w:r>
            <w:r>
              <w:rPr>
                <w:rFonts w:hint="default" w:ascii="Times New Roman" w:hAnsi="Times New Roman" w:eastAsia="宋体" w:cs="Times New Roman"/>
                <w:b w:val="0"/>
                <w:bCs w:val="0"/>
                <w:color w:val="auto"/>
                <w:sz w:val="21"/>
                <w:szCs w:val="21"/>
                <w:highlight w:val="none"/>
                <w:vertAlign w:val="baseline"/>
              </w:rPr>
              <w:t>职工生活用水量按</w:t>
            </w:r>
            <w:r>
              <w:rPr>
                <w:rFonts w:hint="default" w:ascii="Times New Roman" w:hAnsi="Times New Roman" w:cs="Times New Roman"/>
                <w:b w:val="0"/>
                <w:bCs w:val="0"/>
                <w:color w:val="auto"/>
                <w:sz w:val="21"/>
                <w:szCs w:val="21"/>
                <w:highlight w:val="none"/>
                <w:vertAlign w:val="baseline"/>
                <w:lang w:val="en-US" w:eastAsia="zh-CN"/>
              </w:rPr>
              <w:t>40</w:t>
            </w:r>
            <w:r>
              <w:rPr>
                <w:rFonts w:hint="default" w:ascii="Times New Roman" w:hAnsi="Times New Roman" w:eastAsia="宋体" w:cs="Times New Roman"/>
                <w:b w:val="0"/>
                <w:bCs w:val="0"/>
                <w:color w:val="auto"/>
                <w:sz w:val="21"/>
                <w:szCs w:val="21"/>
                <w:highlight w:val="none"/>
                <w:vertAlign w:val="baseline"/>
              </w:rPr>
              <w:t>L/（</w:t>
            </w:r>
            <w:r>
              <w:rPr>
                <w:rFonts w:hint="default" w:ascii="Times New Roman" w:hAnsi="Times New Roman" w:cs="Times New Roman"/>
                <w:b w:val="0"/>
                <w:bCs w:val="0"/>
                <w:color w:val="auto"/>
                <w:sz w:val="21"/>
                <w:szCs w:val="21"/>
                <w:highlight w:val="none"/>
                <w:vertAlign w:val="baseline"/>
                <w:lang w:val="en-US" w:eastAsia="zh-CN"/>
              </w:rPr>
              <w:t>p</w:t>
            </w:r>
            <w:r>
              <w:rPr>
                <w:rFonts w:hint="default" w:ascii="Times New Roman" w:hAnsi="Times New Roman" w:eastAsia="宋体" w:cs="Times New Roman"/>
                <w:b w:val="0"/>
                <w:bCs w:val="0"/>
                <w:color w:val="auto"/>
                <w:sz w:val="21"/>
                <w:szCs w:val="21"/>
                <w:highlight w:val="none"/>
                <w:vertAlign w:val="baseline"/>
              </w:rPr>
              <w:t>·d）计</w:t>
            </w:r>
            <w:r>
              <w:rPr>
                <w:rFonts w:hint="default" w:ascii="Times New Roman" w:hAnsi="Times New Roman" w:cs="Times New Roman"/>
                <w:color w:val="auto"/>
                <w:sz w:val="21"/>
                <w:szCs w:val="21"/>
                <w:highlight w:val="none"/>
                <w:lang w:val="en-US" w:eastAsia="zh-CN"/>
              </w:rPr>
              <w:t>，则生活用水量为0.6</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d（180</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eastAsia" w:cs="Times New Roman"/>
                <w:bCs/>
                <w:color w:val="auto"/>
                <w:kern w:val="0"/>
                <w:sz w:val="21"/>
                <w:szCs w:val="21"/>
                <w:highlight w:val="none"/>
                <w:lang w:val="en-US" w:eastAsia="zh-CN"/>
              </w:rPr>
              <w:t>（该部分生活用水中入厕冲洗用水约1m</w:t>
            </w:r>
            <w:r>
              <w:rPr>
                <w:rFonts w:hint="eastAsia" w:cs="Times New Roman"/>
                <w:bCs/>
                <w:color w:val="auto"/>
                <w:kern w:val="0"/>
                <w:sz w:val="21"/>
                <w:szCs w:val="21"/>
                <w:highlight w:val="none"/>
                <w:vertAlign w:val="superscript"/>
                <w:lang w:val="en-US" w:eastAsia="zh-CN"/>
              </w:rPr>
              <w:t>3</w:t>
            </w:r>
            <w:r>
              <w:rPr>
                <w:rFonts w:hint="eastAsia" w:cs="Times New Roman"/>
                <w:bCs/>
                <w:color w:val="auto"/>
                <w:kern w:val="0"/>
                <w:sz w:val="21"/>
                <w:szCs w:val="21"/>
                <w:highlight w:val="none"/>
                <w:lang w:val="en-US" w:eastAsia="zh-CN"/>
              </w:rPr>
              <w:t>/a为循环冷却水系统定期排放清净下水）</w:t>
            </w:r>
            <w:r>
              <w:rPr>
                <w:rFonts w:hint="default" w:ascii="Times New Roman" w:hAnsi="Times New Roman" w:cs="Times New Roman"/>
                <w:bCs/>
                <w:color w:val="auto"/>
                <w:kern w:val="0"/>
                <w:sz w:val="21"/>
                <w:szCs w:val="21"/>
                <w:highlight w:val="none"/>
                <w:lang w:val="en-US" w:eastAsia="zh-CN"/>
              </w:rPr>
              <w:t>，排污系数取0.8，则生活污水产生量为</w:t>
            </w:r>
            <w:r>
              <w:rPr>
                <w:rFonts w:hint="default" w:ascii="Times New Roman" w:hAnsi="Times New Roman" w:cs="Times New Roman"/>
                <w:color w:val="auto"/>
                <w:sz w:val="21"/>
                <w:szCs w:val="21"/>
                <w:highlight w:val="none"/>
                <w:lang w:val="en-US" w:eastAsia="zh-CN"/>
              </w:rPr>
              <w:t>0.48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d（144</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a），由于项目所在区域污水管网暂未铺设完成，项目生活污水</w:t>
            </w:r>
            <w:r>
              <w:rPr>
                <w:rFonts w:hint="eastAsia" w:cs="Times New Roman"/>
                <w:bCs/>
                <w:color w:val="auto"/>
                <w:kern w:val="0"/>
                <w:sz w:val="21"/>
                <w:szCs w:val="21"/>
                <w:highlight w:val="none"/>
                <w:lang w:val="en-US" w:eastAsia="zh-CN"/>
              </w:rPr>
              <w:t>近期</w:t>
            </w:r>
            <w:r>
              <w:rPr>
                <w:rFonts w:hint="default" w:ascii="Times New Roman" w:hAnsi="Times New Roman" w:cs="Times New Roman"/>
                <w:bCs/>
                <w:color w:val="auto"/>
                <w:kern w:val="0"/>
                <w:sz w:val="21"/>
                <w:szCs w:val="21"/>
                <w:highlight w:val="none"/>
                <w:lang w:val="en-US" w:eastAsia="zh-CN"/>
              </w:rPr>
              <w:t>均经化粪池处理后定期清运，远期待所在区域污水管网铺设完成后，通过区域污水管网排入凤泉区污水处理厂进一步处理。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2.1.2循环冷却水排水</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rPr>
              <w:t>项目为防止模具温度过高，需将冷却水引入模具中的冷却水管道对模具进行降温。</w:t>
            </w:r>
            <w:r>
              <w:rPr>
                <w:rFonts w:hint="default" w:ascii="Times New Roman" w:hAnsi="Times New Roman" w:eastAsia="宋体" w:cs="Times New Roman"/>
                <w:color w:val="auto"/>
                <w:spacing w:val="3"/>
                <w:sz w:val="21"/>
                <w:szCs w:val="21"/>
                <w:highlight w:val="none"/>
                <w:lang w:eastAsia="zh-CN"/>
              </w:rPr>
              <w:t>根据企业提供资料，</w:t>
            </w:r>
            <w:r>
              <w:rPr>
                <w:rFonts w:hint="default" w:ascii="Times New Roman" w:hAnsi="Times New Roman" w:cs="Times New Roman"/>
                <w:color w:val="auto"/>
                <w:highlight w:val="none"/>
                <w:lang w:val="en-US" w:eastAsia="zh-CN"/>
              </w:rPr>
              <w:t>本项目冷却水系统采用间冷闭式循环冷却水系统，配套设计建设1套10t/h</w:t>
            </w:r>
            <w:r>
              <w:rPr>
                <w:rFonts w:hint="eastAsia" w:cs="Times New Roman"/>
                <w:color w:val="auto"/>
                <w:highlight w:val="none"/>
                <w:lang w:val="en-US" w:eastAsia="zh-CN"/>
              </w:rPr>
              <w:t>工业</w:t>
            </w:r>
            <w:r>
              <w:rPr>
                <w:rFonts w:hint="default" w:ascii="Times New Roman" w:hAnsi="Times New Roman" w:cs="Times New Roman"/>
                <w:color w:val="auto"/>
                <w:highlight w:val="none"/>
                <w:lang w:val="en-US" w:eastAsia="zh-CN"/>
              </w:rPr>
              <w:t>循环冷却水</w:t>
            </w:r>
            <w:r>
              <w:rPr>
                <w:rFonts w:hint="eastAsia" w:cs="Times New Roman"/>
                <w:color w:val="auto"/>
                <w:highlight w:val="none"/>
                <w:lang w:val="en-US" w:eastAsia="zh-CN"/>
              </w:rPr>
              <w:t>箱</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冷却系统</w:t>
            </w:r>
            <w:r>
              <w:rPr>
                <w:rFonts w:hint="default" w:ascii="Times New Roman" w:hAnsi="Times New Roman" w:cs="Times New Roman"/>
                <w:color w:val="auto"/>
                <w:lang w:eastAsia="zh-CN"/>
              </w:rPr>
              <w:t>所用冷却水为外购纯水，因此循环冷却水系统中所用冷却水均循环使用，定期根据损耗补充新鲜</w:t>
            </w:r>
            <w:r>
              <w:rPr>
                <w:rFonts w:hint="default" w:ascii="Times New Roman" w:hAnsi="Times New Roman" w:cs="Times New Roman"/>
                <w:color w:val="auto"/>
                <w:highlight w:val="none"/>
                <w:lang w:eastAsia="zh-CN"/>
              </w:rPr>
              <w:t>水</w:t>
            </w:r>
            <w:r>
              <w:rPr>
                <w:rFonts w:hint="default" w:ascii="Times New Roman" w:hAnsi="Times New Roman" w:cs="Times New Roman"/>
                <w:color w:val="auto"/>
                <w:highlight w:val="none"/>
              </w:rPr>
              <w:t>。</w:t>
            </w:r>
            <w:r>
              <w:rPr>
                <w:rFonts w:hint="default" w:ascii="Times New Roman" w:hAnsi="Times New Roman" w:cs="Times New Roman"/>
                <w:color w:val="auto"/>
                <w:spacing w:val="5"/>
                <w:szCs w:val="21"/>
                <w:highlight w:val="none"/>
              </w:rPr>
              <w:t>根据《工业循环冷却水处理设计规范</w:t>
            </w:r>
            <w:r>
              <w:rPr>
                <w:rFonts w:hint="default" w:ascii="Times New Roman" w:hAnsi="Times New Roman" w:cs="Times New Roman"/>
                <w:color w:val="auto"/>
                <w:spacing w:val="2"/>
                <w:szCs w:val="21"/>
                <w:highlight w:val="none"/>
              </w:rPr>
              <w:t>》（GB/T50050-2017）</w:t>
            </w:r>
            <w:r>
              <w:rPr>
                <w:rFonts w:hint="default" w:ascii="Times New Roman" w:hAnsi="Times New Roman" w:cs="Times New Roman"/>
                <w:color w:val="auto"/>
                <w:spacing w:val="2"/>
                <w:szCs w:val="21"/>
                <w:highlight w:val="none"/>
                <w:lang w:eastAsia="zh-CN"/>
              </w:rPr>
              <w:t>中</w:t>
            </w:r>
            <w:r>
              <w:rPr>
                <w:rFonts w:hint="default" w:ascii="Times New Roman" w:hAnsi="Times New Roman" w:cs="Times New Roman"/>
                <w:color w:val="auto"/>
                <w:spacing w:val="2"/>
                <w:szCs w:val="21"/>
                <w:highlight w:val="none"/>
                <w:lang w:val="en-US" w:eastAsia="zh-CN"/>
              </w:rPr>
              <w:t>5.0.7要求“闭式系统的补充水量不宜大于循环水量的1.0%”，本次按照1.0%计算，则补充纯水量为0.8m</w:t>
            </w:r>
            <w:r>
              <w:rPr>
                <w:rFonts w:hint="default" w:ascii="Times New Roman" w:hAnsi="Times New Roman" w:cs="Times New Roman"/>
                <w:color w:val="auto"/>
                <w:spacing w:val="2"/>
                <w:szCs w:val="21"/>
                <w:highlight w:val="none"/>
                <w:vertAlign w:val="superscript"/>
                <w:lang w:val="en-US" w:eastAsia="zh-CN"/>
              </w:rPr>
              <w:t>3</w:t>
            </w:r>
            <w:r>
              <w:rPr>
                <w:rFonts w:hint="default" w:ascii="Times New Roman" w:hAnsi="Times New Roman" w:cs="Times New Roman"/>
                <w:color w:val="auto"/>
                <w:spacing w:val="2"/>
                <w:szCs w:val="21"/>
                <w:highlight w:val="none"/>
                <w:lang w:val="en-US" w:eastAsia="zh-CN"/>
              </w:rPr>
              <w:t>/d（240m</w:t>
            </w:r>
            <w:r>
              <w:rPr>
                <w:rFonts w:hint="default" w:ascii="Times New Roman" w:hAnsi="Times New Roman" w:cs="Times New Roman"/>
                <w:color w:val="auto"/>
                <w:spacing w:val="2"/>
                <w:szCs w:val="21"/>
                <w:highlight w:val="none"/>
                <w:vertAlign w:val="superscript"/>
                <w:lang w:val="en-US" w:eastAsia="zh-CN"/>
              </w:rPr>
              <w:t>3</w:t>
            </w:r>
            <w:r>
              <w:rPr>
                <w:rFonts w:hint="default" w:ascii="Times New Roman" w:hAnsi="Times New Roman" w:cs="Times New Roman"/>
                <w:color w:val="auto"/>
                <w:spacing w:val="2"/>
                <w:szCs w:val="21"/>
                <w:highlight w:val="none"/>
                <w:lang w:val="en-US" w:eastAsia="zh-CN"/>
              </w:rPr>
              <w:t>/a）</w:t>
            </w:r>
            <w:r>
              <w:rPr>
                <w:rFonts w:hint="default" w:ascii="Times New Roman" w:hAnsi="Times New Roman" w:cs="Times New Roman"/>
                <w:color w:val="auto"/>
                <w:spacing w:val="4"/>
                <w:szCs w:val="21"/>
                <w:highlight w:val="none"/>
                <w:lang w:val="en-US" w:eastAsia="zh-CN"/>
              </w:rPr>
              <w:t>。</w:t>
            </w:r>
            <w:r>
              <w:rPr>
                <w:rFonts w:hint="eastAsia" w:cs="Times New Roman"/>
                <w:color w:val="auto"/>
                <w:spacing w:val="4"/>
                <w:szCs w:val="21"/>
                <w:highlight w:val="none"/>
                <w:lang w:val="en-US" w:eastAsia="zh-CN"/>
              </w:rPr>
              <w:t>本项目工业循环冷却水箱采用间接冷却方式，且循环水系统配套有抑菌净化模块，可确保冷却水在较长时间循环冷却过程不易结垢，根据企业提供资料，工程拟每年对冷却水系统内纯水进行1次整体更换，工程配套循环冷却水箱内储罐容积为1000L，则更换后需补充纯水量为1</w:t>
            </w:r>
            <w:r>
              <w:rPr>
                <w:rFonts w:hint="default" w:ascii="Times New Roman" w:hAnsi="Times New Roman" w:cs="Times New Roman"/>
                <w:color w:val="auto"/>
                <w:spacing w:val="2"/>
                <w:szCs w:val="21"/>
                <w:highlight w:val="none"/>
                <w:lang w:val="en-US" w:eastAsia="zh-CN"/>
              </w:rPr>
              <w:t>m</w:t>
            </w:r>
            <w:r>
              <w:rPr>
                <w:rFonts w:hint="default" w:ascii="Times New Roman" w:hAnsi="Times New Roman" w:cs="Times New Roman"/>
                <w:color w:val="auto"/>
                <w:spacing w:val="2"/>
                <w:szCs w:val="21"/>
                <w:highlight w:val="none"/>
                <w:vertAlign w:val="superscript"/>
                <w:lang w:val="en-US" w:eastAsia="zh-CN"/>
              </w:rPr>
              <w:t>3</w:t>
            </w:r>
            <w:r>
              <w:rPr>
                <w:rFonts w:hint="default" w:ascii="Times New Roman" w:hAnsi="Times New Roman" w:cs="Times New Roman"/>
                <w:color w:val="auto"/>
                <w:spacing w:val="2"/>
                <w:szCs w:val="21"/>
                <w:highlight w:val="none"/>
                <w:lang w:val="en-US" w:eastAsia="zh-CN"/>
              </w:rPr>
              <w:t>/a</w:t>
            </w:r>
            <w:r>
              <w:rPr>
                <w:rFonts w:hint="eastAsia" w:cs="Times New Roman"/>
                <w:color w:val="auto"/>
                <w:spacing w:val="2"/>
                <w:szCs w:val="21"/>
                <w:highlight w:val="none"/>
                <w:lang w:val="en-US" w:eastAsia="zh-CN"/>
              </w:rPr>
              <w:t>（年工作300天，折合约0.003</w:t>
            </w:r>
            <w:r>
              <w:rPr>
                <w:rFonts w:hint="default" w:ascii="Times New Roman" w:hAnsi="Times New Roman" w:cs="Times New Roman"/>
                <w:color w:val="auto"/>
                <w:spacing w:val="2"/>
                <w:szCs w:val="21"/>
                <w:highlight w:val="none"/>
                <w:lang w:val="en-US" w:eastAsia="zh-CN"/>
              </w:rPr>
              <w:t>m</w:t>
            </w:r>
            <w:r>
              <w:rPr>
                <w:rFonts w:hint="default" w:ascii="Times New Roman" w:hAnsi="Times New Roman" w:cs="Times New Roman"/>
                <w:color w:val="auto"/>
                <w:spacing w:val="2"/>
                <w:szCs w:val="21"/>
                <w:highlight w:val="none"/>
                <w:vertAlign w:val="superscript"/>
                <w:lang w:val="en-US" w:eastAsia="zh-CN"/>
              </w:rPr>
              <w:t>3</w:t>
            </w:r>
            <w:r>
              <w:rPr>
                <w:rFonts w:hint="default" w:ascii="Times New Roman" w:hAnsi="Times New Roman" w:cs="Times New Roman"/>
                <w:color w:val="auto"/>
                <w:spacing w:val="2"/>
                <w:szCs w:val="21"/>
                <w:highlight w:val="none"/>
                <w:lang w:val="en-US" w:eastAsia="zh-CN"/>
              </w:rPr>
              <w:t>/</w:t>
            </w:r>
            <w:r>
              <w:rPr>
                <w:rFonts w:hint="eastAsia" w:cs="Times New Roman"/>
                <w:color w:val="auto"/>
                <w:spacing w:val="2"/>
                <w:szCs w:val="21"/>
                <w:highlight w:val="none"/>
                <w:lang w:val="en-US" w:eastAsia="zh-CN"/>
              </w:rPr>
              <w:t>d），</w:t>
            </w:r>
            <w:r>
              <w:rPr>
                <w:rFonts w:hint="eastAsia" w:cs="Times New Roman"/>
                <w:color w:val="auto"/>
                <w:spacing w:val="4"/>
                <w:szCs w:val="21"/>
                <w:highlight w:val="none"/>
                <w:lang w:val="en-US" w:eastAsia="zh-CN"/>
              </w:rPr>
              <w:t>更换出废水量约为1</w:t>
            </w:r>
            <w:r>
              <w:rPr>
                <w:rFonts w:hint="default" w:ascii="Times New Roman" w:hAnsi="Times New Roman" w:cs="Times New Roman"/>
                <w:color w:val="auto"/>
                <w:spacing w:val="2"/>
                <w:szCs w:val="21"/>
                <w:highlight w:val="none"/>
                <w:lang w:val="en-US" w:eastAsia="zh-CN"/>
              </w:rPr>
              <w:t>m</w:t>
            </w:r>
            <w:r>
              <w:rPr>
                <w:rFonts w:hint="default" w:ascii="Times New Roman" w:hAnsi="Times New Roman" w:cs="Times New Roman"/>
                <w:color w:val="auto"/>
                <w:spacing w:val="2"/>
                <w:szCs w:val="21"/>
                <w:highlight w:val="none"/>
                <w:vertAlign w:val="superscript"/>
                <w:lang w:val="en-US" w:eastAsia="zh-CN"/>
              </w:rPr>
              <w:t>3</w:t>
            </w:r>
            <w:r>
              <w:rPr>
                <w:rFonts w:hint="default" w:ascii="Times New Roman" w:hAnsi="Times New Roman" w:cs="Times New Roman"/>
                <w:color w:val="auto"/>
                <w:spacing w:val="2"/>
                <w:szCs w:val="21"/>
                <w:highlight w:val="none"/>
                <w:lang w:val="en-US" w:eastAsia="zh-CN"/>
              </w:rPr>
              <w:t>/a</w:t>
            </w:r>
            <w:r>
              <w:rPr>
                <w:rFonts w:hint="eastAsia" w:cs="Times New Roman"/>
                <w:color w:val="auto"/>
                <w:spacing w:val="4"/>
                <w:szCs w:val="21"/>
                <w:highlight w:val="none"/>
                <w:lang w:val="en-US" w:eastAsia="zh-CN"/>
              </w:rPr>
              <w:t>，更换出的废水属于情景下水，通过容器收集后，作为生活用水中入厕时冲洗水使用，产生的废水通过配套化粪池处理后，近期定期清运，远期待所在区域污水管网铺设完成后，通过区域污水管网排入凤泉区污水处理厂进一步处理。</w:t>
            </w:r>
          </w:p>
          <w:p>
            <w:pPr>
              <w:rPr>
                <w:rFonts w:hint="eastAsia"/>
                <w:color w:val="auto"/>
                <w:lang w:val="en-US" w:eastAsia="zh-CN"/>
              </w:rPr>
            </w:pPr>
            <w:r>
              <w:rPr>
                <w:rFonts w:hint="eastAsia" w:cs="Times New Roman"/>
                <w:b/>
                <w:bCs w:val="0"/>
                <w:color w:val="auto"/>
                <w:spacing w:val="-4"/>
                <w:sz w:val="21"/>
                <w:szCs w:val="21"/>
                <w:highlight w:val="none"/>
                <w:lang w:val="en-US" w:eastAsia="zh-CN"/>
              </w:rPr>
              <w:t>综上所述，项目全厂废水产排情况如下：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w:t>
            </w:r>
            <w:r>
              <w:rPr>
                <w:rFonts w:hint="eastAsia" w:eastAsia="黑体" w:cs="Times New Roman"/>
                <w:b w:val="0"/>
                <w:bCs w:val="0"/>
                <w:color w:val="auto"/>
                <w:sz w:val="21"/>
                <w:szCs w:val="21"/>
                <w:highlight w:val="none"/>
                <w:lang w:val="en-US" w:eastAsia="zh-CN"/>
              </w:rPr>
              <w:t>废水</w:t>
            </w:r>
            <w:r>
              <w:rPr>
                <w:rFonts w:hint="default" w:ascii="Times New Roman" w:hAnsi="Times New Roman" w:eastAsia="黑体" w:cs="Times New Roman"/>
                <w:b w:val="0"/>
                <w:bCs w:val="0"/>
                <w:color w:val="auto"/>
                <w:sz w:val="21"/>
                <w:szCs w:val="21"/>
                <w:highlight w:val="none"/>
                <w:lang w:val="en-US" w:eastAsia="zh-CN"/>
              </w:rPr>
              <w:t>产排情况一览表</w:t>
            </w:r>
          </w:p>
          <w:tbl>
            <w:tblPr>
              <w:tblStyle w:val="22"/>
              <w:tblpPr w:leftFromText="180" w:rightFromText="180" w:vertAnchor="text" w:tblpXSpec="center" w:tblpY="1"/>
              <w:tblOverlap w:val="never"/>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432"/>
              <w:gridCol w:w="944"/>
              <w:gridCol w:w="897"/>
              <w:gridCol w:w="897"/>
              <w:gridCol w:w="897"/>
              <w:gridCol w:w="897"/>
              <w:gridCol w:w="9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p>
              </w:tc>
              <w:tc>
                <w:tcPr>
                  <w:tcW w:w="585"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废水量（m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w:t>
                  </w:r>
                </w:p>
              </w:tc>
              <w:tc>
                <w:tcPr>
                  <w:tcW w:w="2788" w:type="pct"/>
                  <w:gridSpan w:val="5"/>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污染因子</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mg/L</w:t>
                  </w:r>
                  <w:r>
                    <w:rPr>
                      <w:rFonts w:hint="default" w:ascii="Times New Roman" w:hAnsi="Times New Roman" w:eastAsia="宋体" w:cs="Times New Roman"/>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COD</w:t>
                  </w: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SS</w:t>
                  </w: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556"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TN</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生活污水</w:t>
                  </w:r>
                </w:p>
              </w:tc>
              <w:tc>
                <w:tcPr>
                  <w:tcW w:w="585"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300</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250</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556"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35</w:t>
                  </w:r>
                </w:p>
              </w:tc>
              <w:tc>
                <w:tcPr>
                  <w:tcW w:w="563" w:type="pct"/>
                  <w:vMerge w:val="restar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化粪池</w:t>
                  </w: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进口浓度</w:t>
                  </w: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56"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c>
                <w:tcPr>
                  <w:tcW w:w="563"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产生量（</w:t>
                  </w:r>
                  <w:r>
                    <w:rPr>
                      <w:rFonts w:hint="default" w:ascii="Times New Roman" w:hAnsi="Times New Roman" w:eastAsia="宋体" w:cs="Times New Roman"/>
                      <w:color w:val="auto"/>
                      <w:sz w:val="18"/>
                      <w:szCs w:val="18"/>
                      <w:highlight w:val="none"/>
                      <w:lang w:val="en-US" w:eastAsia="zh-CN"/>
                    </w:rPr>
                    <w:t>t/a</w:t>
                  </w:r>
                  <w:r>
                    <w:rPr>
                      <w:rFonts w:hint="default" w:ascii="Times New Roman" w:hAnsi="Times New Roman" w:eastAsia="宋体" w:cs="Times New Roman"/>
                      <w:color w:val="auto"/>
                      <w:sz w:val="18"/>
                      <w:szCs w:val="18"/>
                      <w:highlight w:val="none"/>
                      <w:lang w:eastAsia="zh-CN"/>
                    </w:rPr>
                    <w:t>）</w:t>
                  </w: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0.0432 </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0.036 </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0.0039 </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 </w:t>
                  </w:r>
                </w:p>
              </w:tc>
              <w:tc>
                <w:tcPr>
                  <w:tcW w:w="910"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green"/>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处理效率</w:t>
                  </w:r>
                  <w:r>
                    <w:rPr>
                      <w:rFonts w:hint="default" w:ascii="Times New Roman" w:hAnsi="Times New Roman" w:eastAsia="宋体" w:cs="Times New Roman"/>
                      <w:color w:val="auto"/>
                      <w:sz w:val="18"/>
                      <w:szCs w:val="18"/>
                      <w:highlight w:val="none"/>
                      <w:lang w:val="en-US" w:eastAsia="zh-CN"/>
                    </w:rPr>
                    <w:t>%</w:t>
                  </w:r>
                </w:p>
              </w:tc>
              <w:tc>
                <w:tcPr>
                  <w:tcW w:w="585"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10</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60</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w:t>
                  </w:r>
                </w:p>
              </w:tc>
              <w:tc>
                <w:tcPr>
                  <w:tcW w:w="563"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green"/>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出口浓度</w:t>
                  </w:r>
                </w:p>
              </w:tc>
              <w:tc>
                <w:tcPr>
                  <w:tcW w:w="585"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144</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270</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lang w:val="en-US" w:eastAsia="zh-CN"/>
                    </w:rPr>
                    <w:t>35</w:t>
                  </w:r>
                </w:p>
              </w:tc>
              <w:tc>
                <w:tcPr>
                  <w:tcW w:w="910" w:type="dxa"/>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green"/>
                      <w:lang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排放量（</w:t>
                  </w:r>
                  <w:r>
                    <w:rPr>
                      <w:rFonts w:hint="default" w:ascii="Times New Roman" w:hAnsi="Times New Roman" w:eastAsia="宋体" w:cs="Times New Roman"/>
                      <w:color w:val="auto"/>
                      <w:sz w:val="18"/>
                      <w:szCs w:val="18"/>
                      <w:highlight w:val="none"/>
                      <w:lang w:val="en-US" w:eastAsia="zh-CN"/>
                    </w:rPr>
                    <w:t>t/a</w:t>
                  </w:r>
                  <w:r>
                    <w:rPr>
                      <w:rFonts w:hint="default" w:ascii="Times New Roman" w:hAnsi="Times New Roman" w:eastAsia="宋体" w:cs="Times New Roman"/>
                      <w:color w:val="auto"/>
                      <w:sz w:val="18"/>
                      <w:szCs w:val="18"/>
                      <w:highlight w:val="none"/>
                      <w:lang w:eastAsia="zh-CN"/>
                    </w:rPr>
                    <w:t>）</w:t>
                  </w:r>
                </w:p>
              </w:tc>
              <w:tc>
                <w:tcPr>
                  <w:tcW w:w="585"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green"/>
                      <w:lang w:val="en-US" w:eastAsia="zh-CN"/>
                    </w:rPr>
                  </w:pP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0.0389</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0.0144</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0.0039 </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0.0050 </w:t>
                  </w:r>
                </w:p>
              </w:tc>
              <w:tc>
                <w:tcPr>
                  <w:tcW w:w="910" w:type="dxa"/>
                  <w:vAlign w:val="center"/>
                </w:tcPr>
                <w:p>
                  <w:pPr>
                    <w:keepNext w:val="0"/>
                    <w:keepLines w:val="0"/>
                    <w:pageBreakBefore w:val="0"/>
                    <w:kinsoku/>
                    <w:wordWrap/>
                    <w:overflowPunct/>
                    <w:topLinePunct w:val="0"/>
                    <w:autoSpaceDE/>
                    <w:autoSpaceDN/>
                    <w:bidi w:val="0"/>
                    <w:adjustRightInd/>
                    <w:snapToGrid/>
                    <w:spacing w:line="320" w:lineRule="exact"/>
                    <w:ind w:right="0" w:rightChars="0" w:firstLine="0" w:firstLineChars="0"/>
                    <w:jc w:val="center"/>
                    <w:textAlignment w:val="auto"/>
                    <w:rPr>
                      <w:rFonts w:hint="default" w:ascii="Times New Roman" w:hAnsi="Times New Roman" w:eastAsia="宋体" w:cs="Times New Roman"/>
                      <w:color w:val="auto"/>
                      <w:sz w:val="18"/>
                      <w:szCs w:val="18"/>
                      <w:highlight w:val="green"/>
                      <w:lang w:val="en-US" w:eastAsia="zh-CN"/>
                    </w:rPr>
                  </w:pPr>
                  <w:r>
                    <w:rPr>
                      <w:rFonts w:hint="default" w:ascii="Times New Roman" w:hAnsi="Times New Roman" w:eastAsia="宋体" w:cs="Times New Roman"/>
                      <w:color w:val="auto"/>
                      <w:sz w:val="18"/>
                      <w:szCs w:val="18"/>
                      <w:highlight w:val="none"/>
                      <w:lang w:val="en-US" w:eastAsia="zh-CN"/>
                    </w:rPr>
                    <w:t xml:space="preserve">0.0004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pct"/>
                  <w:gridSpan w:val="3"/>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《合成树脂工业污染物排放标准》（GB31572-2015）表2标准</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eastAsia="宋体" w:cs="Times New Roman"/>
                      <w:b w:val="0"/>
                      <w:bCs/>
                      <w:color w:val="auto"/>
                      <w:sz w:val="18"/>
                      <w:szCs w:val="18"/>
                      <w:highlight w:val="none"/>
                      <w:u w:val="none"/>
                      <w:lang w:val="en-US" w:eastAsia="zh-CN"/>
                    </w:rPr>
                    <w:t>/</w:t>
                  </w:r>
                </w:p>
              </w:tc>
              <w:tc>
                <w:tcPr>
                  <w:tcW w:w="563"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eastAsia="宋体" w:cs="Times New Roman"/>
                      <w:b w:val="0"/>
                      <w:bCs/>
                      <w:color w:val="auto"/>
                      <w:sz w:val="18"/>
                      <w:szCs w:val="18"/>
                      <w:highlight w:val="none"/>
                      <w:u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pct"/>
                  <w:gridSpan w:val="3"/>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凤泉区污水处理厂收水标准</w:t>
                  </w:r>
                  <w:r>
                    <w:rPr>
                      <w:rFonts w:hint="default" w:ascii="Times New Roman" w:hAnsi="Times New Roman" w:eastAsia="宋体" w:cs="Times New Roman"/>
                      <w:color w:val="auto"/>
                      <w:sz w:val="18"/>
                      <w:szCs w:val="18"/>
                      <w:highlight w:val="none"/>
                      <w:lang w:val="en-US" w:eastAsia="zh-CN"/>
                    </w:rPr>
                    <w:t>（mg/L）</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350</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cs="Times New Roman"/>
                      <w:b w:val="0"/>
                      <w:bCs/>
                      <w:color w:val="auto"/>
                      <w:sz w:val="18"/>
                      <w:szCs w:val="18"/>
                      <w:highlight w:val="none"/>
                      <w:u w:val="none"/>
                      <w:lang w:val="en-US" w:eastAsia="zh-CN"/>
                    </w:rPr>
                    <w:t>55</w:t>
                  </w:r>
                </w:p>
              </w:tc>
              <w:tc>
                <w:tcPr>
                  <w:tcW w:w="563"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cs="Times New Roman"/>
                      <w:b w:val="0"/>
                      <w:bCs/>
                      <w:color w:val="auto"/>
                      <w:sz w:val="18"/>
                      <w:szCs w:val="18"/>
                      <w:highlight w:val="none"/>
                      <w:u w:val="none"/>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pct"/>
                  <w:gridSpan w:val="3"/>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凤泉区污水处理厂</w:t>
                  </w:r>
                  <w:r>
                    <w:rPr>
                      <w:rFonts w:hint="default" w:ascii="Times New Roman" w:hAnsi="Times New Roman" w:eastAsia="宋体" w:cs="Times New Roman"/>
                      <w:color w:val="auto"/>
                      <w:sz w:val="18"/>
                      <w:szCs w:val="18"/>
                      <w:highlight w:val="none"/>
                    </w:rPr>
                    <w:t>出水水质（mg/L）</w:t>
                  </w:r>
                </w:p>
              </w:tc>
              <w:tc>
                <w:tcPr>
                  <w:tcW w:w="556" w:type="pct"/>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556"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cs="Times New Roman"/>
                      <w:b w:val="0"/>
                      <w:bCs/>
                      <w:color w:val="auto"/>
                      <w:sz w:val="18"/>
                      <w:szCs w:val="18"/>
                      <w:highlight w:val="none"/>
                      <w:u w:val="none"/>
                      <w:lang w:val="en-US" w:eastAsia="zh-CN"/>
                    </w:rPr>
                    <w:t>15</w:t>
                  </w:r>
                </w:p>
              </w:tc>
              <w:tc>
                <w:tcPr>
                  <w:tcW w:w="563" w:type="pct"/>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eastAsia="宋体" w:cs="Times New Roman"/>
                      <w:b w:val="0"/>
                      <w:bCs/>
                      <w:color w:val="auto"/>
                      <w:sz w:val="18"/>
                      <w:szCs w:val="18"/>
                      <w:highlight w:val="none"/>
                      <w:u w:val="none"/>
                      <w:lang w:val="en-US" w:eastAsia="zh-CN"/>
                    </w:rPr>
                  </w:pPr>
                  <w:r>
                    <w:rPr>
                      <w:rFonts w:hint="default" w:ascii="Times New Roman" w:hAnsi="Times New Roman" w:cs="Times New Roman"/>
                      <w:b w:val="0"/>
                      <w:bCs/>
                      <w:color w:val="auto"/>
                      <w:sz w:val="18"/>
                      <w:szCs w:val="18"/>
                      <w:highlight w:val="none"/>
                      <w:u w:val="none"/>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pct"/>
                  <w:gridSpan w:val="3"/>
                  <w:vAlign w:val="center"/>
                </w:tcPr>
                <w:p>
                  <w:pPr>
                    <w:pStyle w:val="20"/>
                    <w:keepNext w:val="0"/>
                    <w:keepLines w:val="0"/>
                    <w:pageBreakBefore w:val="0"/>
                    <w:kinsoku/>
                    <w:wordWrap/>
                    <w:overflowPunct/>
                    <w:topLinePunct w:val="0"/>
                    <w:autoSpaceDE/>
                    <w:autoSpaceDN/>
                    <w:bidi w:val="0"/>
                    <w:adjustRightInd/>
                    <w:snapToGrid/>
                    <w:spacing w:before="0" w:after="0" w:line="320" w:lineRule="exact"/>
                    <w:ind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污水处理厂处理后外排环境量（t/a）</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0.0058 </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0.0014 </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0.0003 </w:t>
                  </w:r>
                </w:p>
              </w:tc>
              <w:tc>
                <w:tcPr>
                  <w:tcW w:w="897"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0.0022 </w:t>
                  </w:r>
                </w:p>
              </w:tc>
              <w:tc>
                <w:tcPr>
                  <w:tcW w:w="910" w:type="dxa"/>
                  <w:vAlign w:val="center"/>
                </w:tcPr>
                <w:p>
                  <w:pPr>
                    <w:keepNext w:val="0"/>
                    <w:keepLines w:val="0"/>
                    <w:pageBreakBefore w:val="0"/>
                    <w:kinsoku/>
                    <w:wordWrap/>
                    <w:overflowPunct/>
                    <w:topLinePunct w:val="0"/>
                    <w:autoSpaceDE/>
                    <w:autoSpaceDN/>
                    <w:bidi w:val="0"/>
                    <w:adjustRightInd/>
                    <w:snapToGrid/>
                    <w:spacing w:line="320" w:lineRule="exact"/>
                    <w:ind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0.0001 </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由上表可知，远期项目生活污水排放能够满足新乡市凤泉区污水处理厂收水标准要求（</w:t>
            </w:r>
            <w:r>
              <w:rPr>
                <w:rFonts w:hint="default" w:ascii="Times New Roman" w:hAnsi="Times New Roman" w:eastAsia="宋体" w:cs="Times New Roman"/>
                <w:color w:val="auto"/>
                <w:kern w:val="2"/>
                <w:sz w:val="21"/>
                <w:szCs w:val="21"/>
                <w:highlight w:val="none"/>
                <w:lang w:val="en-US" w:eastAsia="zh-CN" w:bidi="ar-SA"/>
              </w:rPr>
              <w:t>COD350mg/L、SS</w:t>
            </w:r>
            <w:r>
              <w:rPr>
                <w:rFonts w:hint="default" w:ascii="Times New Roman" w:hAnsi="Times New Roman" w:cs="Times New Roman"/>
                <w:color w:val="auto"/>
                <w:kern w:val="2"/>
                <w:sz w:val="21"/>
                <w:szCs w:val="21"/>
                <w:highlight w:val="none"/>
                <w:lang w:val="en-US" w:eastAsia="zh-CN" w:bidi="ar-SA"/>
              </w:rPr>
              <w:t>24</w:t>
            </w:r>
            <w:r>
              <w:rPr>
                <w:rFonts w:hint="default" w:ascii="Times New Roman" w:hAnsi="Times New Roman" w:eastAsia="宋体" w:cs="Times New Roman"/>
                <w:color w:val="auto"/>
                <w:kern w:val="2"/>
                <w:sz w:val="21"/>
                <w:szCs w:val="21"/>
                <w:highlight w:val="none"/>
                <w:lang w:val="en-US" w:eastAsia="zh-CN" w:bidi="ar-SA"/>
              </w:rPr>
              <w:t>0mg/L、NH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-N35mg/L、TP4mg/L、TN</w:t>
            </w:r>
            <w:r>
              <w:rPr>
                <w:rFonts w:hint="default" w:ascii="Times New Roman" w:hAnsi="Times New Roman"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US" w:eastAsia="zh-CN" w:bidi="ar-SA"/>
              </w:rPr>
              <w:t>mg/L</w:t>
            </w:r>
            <w:r>
              <w:rPr>
                <w:rFonts w:hint="default" w:ascii="Times New Roman" w:hAnsi="Times New Roman" w:cs="Times New Roman"/>
                <w:bCs/>
                <w:color w:val="auto"/>
                <w:kern w:val="0"/>
                <w:sz w:val="21"/>
                <w:szCs w:val="21"/>
                <w:highlight w:val="none"/>
                <w:lang w:val="en-US" w:eastAsia="zh-CN"/>
              </w:rPr>
              <w:t>）以及</w:t>
            </w:r>
            <w:r>
              <w:rPr>
                <w:rFonts w:hint="default" w:ascii="Times New Roman" w:hAnsi="Times New Roman" w:cs="Times New Roman"/>
                <w:color w:val="auto"/>
                <w:szCs w:val="21"/>
                <w:highlight w:val="none"/>
              </w:rPr>
              <w:t>《合成树脂工业污染物排放标准》（GB31572-2015）表2标准</w:t>
            </w:r>
            <w:r>
              <w:rPr>
                <w:rFonts w:hint="default" w:ascii="Times New Roman" w:hAnsi="Times New Roman" w:cs="Times New Roman"/>
                <w:bCs/>
                <w:color w:val="auto"/>
                <w:kern w:val="0"/>
                <w:sz w:val="21"/>
                <w:szCs w:val="21"/>
                <w:highlight w:val="none"/>
                <w:lang w:val="en-US" w:eastAsia="zh-CN"/>
              </w:rPr>
              <w:t>。远期待所在区域规划的新乡市凤泉区污水处理厂建成以及配套污水管网铺设完成后，则通过区域污水管网排入新乡市凤泉区污水处理厂进一步处理后，</w:t>
            </w:r>
            <w:r>
              <w:rPr>
                <w:rFonts w:hint="default" w:ascii="Times New Roman" w:hAnsi="Times New Roman" w:cs="Times New Roman"/>
                <w:color w:val="auto"/>
                <w:sz w:val="21"/>
                <w:szCs w:val="21"/>
                <w:highlight w:val="none"/>
                <w:lang w:eastAsia="zh-CN"/>
              </w:rPr>
              <w:t>经民生渠排入共产主义渠</w:t>
            </w:r>
            <w:r>
              <w:rPr>
                <w:rFonts w:hint="default" w:ascii="Times New Roman" w:hAnsi="Times New Roman" w:cs="Times New Roman"/>
                <w:bCs/>
                <w:color w:val="auto"/>
                <w:kern w:val="0"/>
                <w:sz w:val="21"/>
                <w:szCs w:val="21"/>
                <w:highlight w:val="none"/>
                <w:lang w:val="en-US" w:eastAsia="zh-CN"/>
              </w:rPr>
              <w:t>，新乡市凤泉区污水处理厂</w:t>
            </w:r>
            <w:r>
              <w:rPr>
                <w:rFonts w:hint="default" w:ascii="Times New Roman" w:hAnsi="Times New Roman" w:eastAsia="宋体" w:cs="Times New Roman"/>
                <w:color w:val="auto"/>
                <w:kern w:val="2"/>
                <w:sz w:val="21"/>
                <w:szCs w:val="21"/>
                <w:highlight w:val="none"/>
                <w:lang w:val="en-US" w:eastAsia="zh-CN" w:bidi="ar-SA"/>
              </w:rPr>
              <w:t>出水水质COD、NH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-N、TP指标执行《地表水环境质量标准》（GB3838-2002）V类标准</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COD</w:t>
            </w:r>
            <w:r>
              <w:rPr>
                <w:rFonts w:hint="default" w:ascii="Times New Roman" w:hAnsi="Times New Roman" w:cs="Times New Roman"/>
                <w:color w:val="auto"/>
                <w:kern w:val="2"/>
                <w:sz w:val="21"/>
                <w:szCs w:val="21"/>
                <w:highlight w:val="none"/>
                <w:lang w:val="en-US" w:eastAsia="zh-CN" w:bidi="ar-SA"/>
              </w:rPr>
              <w:t>40mg/L</w:t>
            </w:r>
            <w:r>
              <w:rPr>
                <w:rFonts w:hint="default" w:ascii="Times New Roman" w:hAnsi="Times New Roman" w:eastAsia="宋体" w:cs="Times New Roman"/>
                <w:color w:val="auto"/>
                <w:kern w:val="2"/>
                <w:sz w:val="21"/>
                <w:szCs w:val="21"/>
                <w:highlight w:val="none"/>
                <w:lang w:val="en-US" w:eastAsia="zh-CN" w:bidi="ar-SA"/>
              </w:rPr>
              <w:t>、NH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w:t>
            </w:r>
            <w:r>
              <w:rPr>
                <w:rFonts w:hint="default" w:ascii="Times New Roman" w:hAnsi="Times New Roman" w:cs="Times New Roman"/>
                <w:color w:val="auto"/>
                <w:kern w:val="2"/>
                <w:sz w:val="21"/>
                <w:szCs w:val="21"/>
                <w:highlight w:val="none"/>
                <w:lang w:val="en-US" w:eastAsia="zh-CN" w:bidi="ar-SA"/>
              </w:rPr>
              <w:t>2.0mg/L</w:t>
            </w:r>
            <w:r>
              <w:rPr>
                <w:rFonts w:hint="default" w:ascii="Times New Roman" w:hAnsi="Times New Roman" w:eastAsia="宋体" w:cs="Times New Roman"/>
                <w:color w:val="auto"/>
                <w:kern w:val="2"/>
                <w:sz w:val="21"/>
                <w:szCs w:val="21"/>
                <w:highlight w:val="none"/>
                <w:lang w:val="en-US" w:eastAsia="zh-CN" w:bidi="ar-SA"/>
              </w:rPr>
              <w:t>、TP</w:t>
            </w:r>
            <w:r>
              <w:rPr>
                <w:rFonts w:hint="default" w:ascii="Times New Roman" w:hAnsi="Times New Roman" w:cs="Times New Roman"/>
                <w:color w:val="auto"/>
                <w:kern w:val="2"/>
                <w:sz w:val="21"/>
                <w:szCs w:val="21"/>
                <w:highlight w:val="none"/>
                <w:lang w:val="en-US" w:eastAsia="zh-CN" w:bidi="ar-SA"/>
              </w:rPr>
              <w:t>0.4mg/L）</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cs="Times New Roman"/>
                <w:color w:val="auto"/>
                <w:kern w:val="2"/>
                <w:sz w:val="21"/>
                <w:szCs w:val="21"/>
                <w:highlight w:val="none"/>
                <w:lang w:val="en-US" w:eastAsia="zh-CN" w:bidi="ar-SA"/>
              </w:rPr>
              <w:t>SS、</w:t>
            </w:r>
            <w:r>
              <w:rPr>
                <w:rFonts w:hint="default" w:ascii="Times New Roman" w:hAnsi="Times New Roman" w:eastAsia="宋体" w:cs="Times New Roman"/>
                <w:color w:val="auto"/>
                <w:kern w:val="2"/>
                <w:sz w:val="21"/>
                <w:szCs w:val="21"/>
                <w:highlight w:val="none"/>
                <w:lang w:val="en-US" w:eastAsia="zh-CN" w:bidi="ar-SA"/>
              </w:rPr>
              <w:t>TN执行《城镇污水处理厂污染物排放标准》（GB18918-2002）表1一级A标准</w:t>
            </w:r>
            <w:r>
              <w:rPr>
                <w:rFonts w:hint="default" w:ascii="Times New Roman" w:hAnsi="Times New Roman" w:cs="Times New Roman"/>
                <w:color w:val="auto"/>
                <w:kern w:val="2"/>
                <w:sz w:val="21"/>
                <w:szCs w:val="21"/>
                <w:highlight w:val="none"/>
                <w:lang w:val="en-US" w:eastAsia="zh-CN" w:bidi="ar-SA"/>
              </w:rPr>
              <w:t>（SS10mg/L、</w:t>
            </w:r>
            <w:r>
              <w:rPr>
                <w:rFonts w:hint="default" w:ascii="Times New Roman" w:hAnsi="Times New Roman" w:eastAsia="宋体" w:cs="Times New Roman"/>
                <w:color w:val="auto"/>
                <w:kern w:val="2"/>
                <w:sz w:val="21"/>
                <w:szCs w:val="21"/>
                <w:highlight w:val="none"/>
                <w:lang w:val="en-US" w:eastAsia="zh-CN" w:bidi="ar-SA"/>
              </w:rPr>
              <w:t>TN</w:t>
            </w:r>
            <w:r>
              <w:rPr>
                <w:rFonts w:hint="default" w:ascii="Times New Roman" w:hAnsi="Times New Roman" w:cs="Times New Roman"/>
                <w:color w:val="auto"/>
                <w:kern w:val="2"/>
                <w:sz w:val="21"/>
                <w:szCs w:val="21"/>
                <w:highlight w:val="none"/>
                <w:lang w:val="en-US" w:eastAsia="zh-CN" w:bidi="ar-SA"/>
              </w:rPr>
              <w:t>15mg/L）</w:t>
            </w:r>
            <w:r>
              <w:rPr>
                <w:rFonts w:hint="default" w:ascii="Times New Roman" w:hAnsi="Times New Roman" w:cs="Times New Roman"/>
                <w:bCs/>
                <w:color w:val="auto"/>
                <w:kern w:val="0"/>
                <w:sz w:val="21"/>
                <w:szCs w:val="21"/>
                <w:highlight w:val="none"/>
                <w:shd w:val="clear"/>
                <w:lang w:val="en-US" w:eastAsia="zh-CN"/>
              </w:rPr>
              <w:t>。</w:t>
            </w:r>
          </w:p>
          <w:p>
            <w:pPr>
              <w:pStyle w:val="4"/>
              <w:keepNext w:val="0"/>
              <w:keepLines w:val="0"/>
              <w:pageBreakBefore w:val="0"/>
              <w:widowControl w:val="0"/>
              <w:numPr>
                <w:ilvl w:val="0"/>
                <w:numId w:val="0"/>
              </w:numPr>
              <w:kinsoku/>
              <w:wordWrap/>
              <w:overflowPunct/>
              <w:topLinePunct w:val="0"/>
              <w:bidi w:val="0"/>
              <w:adjustRightInd/>
              <w:snapToGrid/>
              <w:spacing w:before="0" w:after="0" w:line="360" w:lineRule="auto"/>
              <w:ind w:right="0"/>
              <w:textAlignment w:val="auto"/>
              <w:rPr>
                <w:rFonts w:hint="default" w:ascii="Times New Roman" w:hAnsi="Times New Roman" w:cs="Times New Roman"/>
                <w:b/>
                <w:bCs w:val="0"/>
                <w:snapToGrid/>
                <w:color w:val="auto"/>
                <w:kern w:val="2"/>
                <w:sz w:val="21"/>
                <w:szCs w:val="21"/>
                <w:highlight w:val="none"/>
              </w:rPr>
            </w:pPr>
            <w:r>
              <w:rPr>
                <w:rFonts w:hint="default" w:ascii="Times New Roman" w:hAnsi="Times New Roman" w:cs="Times New Roman"/>
                <w:b/>
                <w:bCs w:val="0"/>
                <w:color w:val="auto"/>
                <w:spacing w:val="-4"/>
                <w:sz w:val="21"/>
                <w:szCs w:val="21"/>
                <w:highlight w:val="none"/>
                <w:lang w:val="en-US" w:eastAsia="zh-CN"/>
              </w:rPr>
              <w:t>2.2</w:t>
            </w:r>
            <w:r>
              <w:rPr>
                <w:rFonts w:hint="default" w:ascii="Times New Roman" w:hAnsi="Times New Roman" w:cs="Times New Roman"/>
                <w:b/>
                <w:bCs w:val="0"/>
                <w:color w:val="auto"/>
                <w:spacing w:val="-4"/>
                <w:sz w:val="21"/>
                <w:szCs w:val="21"/>
                <w:highlight w:val="none"/>
                <w:lang w:eastAsia="zh-CN"/>
              </w:rPr>
              <w:t>远期</w:t>
            </w:r>
            <w:r>
              <w:rPr>
                <w:rFonts w:hint="default" w:ascii="Times New Roman" w:hAnsi="Times New Roman" w:cs="Times New Roman"/>
                <w:b/>
                <w:bCs w:val="0"/>
                <w:color w:val="auto"/>
                <w:spacing w:val="-4"/>
                <w:sz w:val="21"/>
                <w:szCs w:val="21"/>
                <w:highlight w:val="none"/>
              </w:rPr>
              <w:t>废水进入</w:t>
            </w:r>
            <w:r>
              <w:rPr>
                <w:rFonts w:hint="default" w:ascii="Times New Roman" w:hAnsi="Times New Roman" w:cs="Times New Roman"/>
                <w:b/>
                <w:bCs w:val="0"/>
                <w:color w:val="auto"/>
                <w:spacing w:val="-4"/>
                <w:sz w:val="21"/>
                <w:szCs w:val="21"/>
                <w:highlight w:val="none"/>
                <w:lang w:eastAsia="zh-CN"/>
              </w:rPr>
              <w:t>新乡市凤泉区</w:t>
            </w:r>
            <w:r>
              <w:rPr>
                <w:rFonts w:hint="default" w:ascii="Times New Roman" w:hAnsi="Times New Roman" w:cs="Times New Roman"/>
                <w:b/>
                <w:bCs w:val="0"/>
                <w:color w:val="auto"/>
                <w:spacing w:val="-4"/>
                <w:sz w:val="21"/>
                <w:szCs w:val="21"/>
                <w:highlight w:val="none"/>
              </w:rPr>
              <w:t>污水处理厂的可行性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项目位于新乡市凤泉区陈堡工业区（选址位于新乡市新能源电池专业园区西片区），根据《新乡市新能源电池专业园区发展规划（2022-2035年）环境影响报告书》相关内容：“规划东片区、北片区和新辉公路以东的西片区污水由拟建的新乡市凤泉污水处理厂进行处理”，本项目位于新乡市新能源电池专业园区西片区新辉公路以东区域，因此本项目位于新乡市凤泉区污水处理厂规划收水范围内。根据调查，新乡市凤泉区污水处理厂目前暂未建设（目前处于筹备阶段），且本项目场址所在区域污水管网尚不完善，根据项目所在地实际情况，项目建成后的生活污水前期均经厂区化粪池处理后定期清运，待规划的污水处理厂建设完成，且区域污水管网铺设完成后，项目生活污水可经污水管网排入新乡市凤泉区污水处理厂进行二次处理，最终经民生渠排入共产主义渠。</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2.2.1</w:t>
            </w:r>
            <w:r>
              <w:rPr>
                <w:rFonts w:hint="default" w:ascii="Times New Roman" w:hAnsi="Times New Roman" w:cs="Times New Roman"/>
                <w:b/>
                <w:bCs/>
                <w:color w:val="auto"/>
                <w:sz w:val="21"/>
                <w:szCs w:val="21"/>
                <w:highlight w:val="none"/>
                <w:lang w:eastAsia="zh-CN"/>
              </w:rPr>
              <w:t>新乡市凤泉区</w:t>
            </w:r>
            <w:r>
              <w:rPr>
                <w:rFonts w:hint="default" w:ascii="Times New Roman" w:hAnsi="Times New Roman" w:cs="Times New Roman"/>
                <w:b/>
                <w:bCs/>
                <w:color w:val="auto"/>
                <w:kern w:val="2"/>
                <w:sz w:val="21"/>
                <w:szCs w:val="21"/>
                <w:highlight w:val="none"/>
                <w:lang w:eastAsia="zh-CN"/>
              </w:rPr>
              <w:t>污水处理厂概况</w:t>
            </w:r>
          </w:p>
          <w:p>
            <w:pPr>
              <w:pStyle w:val="8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新乡市凤泉区</w:t>
            </w:r>
            <w:r>
              <w:rPr>
                <w:rFonts w:hint="default" w:ascii="Times New Roman" w:hAnsi="Times New Roman" w:eastAsia="宋体" w:cs="Times New Roman"/>
                <w:color w:val="auto"/>
                <w:kern w:val="2"/>
                <w:sz w:val="21"/>
                <w:szCs w:val="21"/>
                <w:highlight w:val="none"/>
                <w:lang w:val="en-US" w:eastAsia="zh-CN" w:bidi="ar-SA"/>
              </w:rPr>
              <w:t>污水处理厂</w:t>
            </w:r>
            <w:r>
              <w:rPr>
                <w:rFonts w:hint="default" w:ascii="Times New Roman" w:hAnsi="Times New Roman" w:cs="Times New Roman"/>
                <w:color w:val="auto"/>
                <w:kern w:val="2"/>
                <w:sz w:val="21"/>
                <w:szCs w:val="21"/>
                <w:highlight w:val="none"/>
                <w:lang w:val="en-US" w:eastAsia="zh-CN" w:bidi="ar-SA"/>
              </w:rPr>
              <w:t>选址</w:t>
            </w:r>
            <w:r>
              <w:rPr>
                <w:rFonts w:hint="default" w:ascii="Times New Roman" w:hAnsi="Times New Roman" w:eastAsia="宋体" w:cs="Times New Roman"/>
                <w:color w:val="auto"/>
                <w:kern w:val="2"/>
                <w:sz w:val="21"/>
                <w:szCs w:val="21"/>
                <w:highlight w:val="none"/>
                <w:lang w:val="en-US" w:eastAsia="zh-CN" w:bidi="ar-SA"/>
              </w:rPr>
              <w:t>位于</w:t>
            </w:r>
            <w:r>
              <w:rPr>
                <w:rFonts w:hint="default" w:ascii="Times New Roman" w:hAnsi="Times New Roman" w:cs="Times New Roman"/>
                <w:color w:val="auto"/>
                <w:kern w:val="2"/>
                <w:sz w:val="21"/>
                <w:szCs w:val="21"/>
                <w:highlight w:val="none"/>
                <w:lang w:val="en-US" w:eastAsia="zh-CN" w:bidi="ar-SA"/>
              </w:rPr>
              <w:t>新乡市凤泉区新中大道与京广铁路东南角</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cs="Times New Roman"/>
                <w:color w:val="auto"/>
                <w:kern w:val="2"/>
                <w:sz w:val="21"/>
                <w:szCs w:val="21"/>
                <w:highlight w:val="none"/>
                <w:lang w:val="en-US" w:eastAsia="zh-CN" w:bidi="ar-SA"/>
              </w:rPr>
              <w:t>目前还未开工建设，规划</w:t>
            </w:r>
            <w:r>
              <w:rPr>
                <w:rFonts w:hint="default" w:ascii="Times New Roman" w:hAnsi="Times New Roman" w:eastAsia="宋体" w:cs="Times New Roman"/>
                <w:color w:val="auto"/>
                <w:kern w:val="2"/>
                <w:sz w:val="21"/>
                <w:szCs w:val="21"/>
                <w:highlight w:val="none"/>
                <w:lang w:val="en-US" w:eastAsia="zh-CN" w:bidi="ar-SA"/>
              </w:rPr>
              <w:t>占地面积</w:t>
            </w:r>
            <w:r>
              <w:rPr>
                <w:rFonts w:hint="default" w:ascii="Times New Roman" w:hAnsi="Times New Roman" w:cs="Times New Roman"/>
                <w:color w:val="auto"/>
                <w:kern w:val="2"/>
                <w:sz w:val="21"/>
                <w:szCs w:val="21"/>
                <w:highlight w:val="none"/>
                <w:lang w:val="en-US" w:eastAsia="zh-CN" w:bidi="ar-SA"/>
              </w:rPr>
              <w:t>105亩</w:t>
            </w:r>
            <w:r>
              <w:rPr>
                <w:rFonts w:hint="default" w:ascii="Times New Roman" w:hAnsi="Times New Roman" w:eastAsia="宋体" w:cs="Times New Roman"/>
                <w:color w:val="auto"/>
                <w:kern w:val="2"/>
                <w:sz w:val="21"/>
                <w:szCs w:val="21"/>
                <w:highlight w:val="none"/>
                <w:lang w:val="en-US" w:eastAsia="zh-CN" w:bidi="ar-SA"/>
              </w:rPr>
              <w:t>，设计处理规模为3万m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/d，采用的工艺为“粗格栅+</w:t>
            </w:r>
            <w:r>
              <w:rPr>
                <w:rFonts w:hint="default" w:ascii="Times New Roman" w:hAnsi="Times New Roman" w:cs="Times New Roman"/>
                <w:color w:val="auto"/>
                <w:kern w:val="2"/>
                <w:sz w:val="21"/>
                <w:szCs w:val="21"/>
                <w:highlight w:val="none"/>
                <w:lang w:val="en-US" w:eastAsia="zh-CN" w:bidi="ar-SA"/>
              </w:rPr>
              <w:t>细格栅+</w:t>
            </w:r>
            <w:r>
              <w:rPr>
                <w:rFonts w:hint="default" w:ascii="Times New Roman" w:hAnsi="Times New Roman" w:eastAsia="宋体" w:cs="Times New Roman"/>
                <w:color w:val="auto"/>
                <w:kern w:val="2"/>
                <w:sz w:val="21"/>
                <w:szCs w:val="21"/>
                <w:highlight w:val="none"/>
                <w:lang w:val="en-US" w:eastAsia="zh-CN" w:bidi="ar-SA"/>
              </w:rPr>
              <w:t>调节池+</w:t>
            </w:r>
            <w:r>
              <w:rPr>
                <w:rFonts w:hint="default" w:ascii="Times New Roman" w:hAnsi="Times New Roman" w:cs="Times New Roman"/>
                <w:color w:val="auto"/>
                <w:kern w:val="2"/>
                <w:sz w:val="21"/>
                <w:szCs w:val="21"/>
                <w:highlight w:val="none"/>
                <w:lang w:val="en-US" w:eastAsia="zh-CN" w:bidi="ar-SA"/>
              </w:rPr>
              <w:t>旋流沉砂池</w:t>
            </w:r>
            <w:r>
              <w:rPr>
                <w:rFonts w:hint="default" w:ascii="Times New Roman" w:hAnsi="Times New Roman" w:eastAsia="宋体" w:cs="Times New Roman"/>
                <w:color w:val="auto"/>
                <w:kern w:val="2"/>
                <w:sz w:val="21"/>
                <w:szCs w:val="21"/>
                <w:highlight w:val="none"/>
                <w:lang w:val="en-US" w:eastAsia="zh-CN" w:bidi="ar-SA"/>
              </w:rPr>
              <w:t>+A</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O+MBR+</w:t>
            </w:r>
            <w:r>
              <w:rPr>
                <w:rFonts w:hint="default" w:ascii="Times New Roman" w:hAnsi="Times New Roman" w:cs="Times New Roman"/>
                <w:color w:val="auto"/>
                <w:kern w:val="2"/>
                <w:sz w:val="21"/>
                <w:szCs w:val="21"/>
                <w:highlight w:val="none"/>
                <w:lang w:val="en-US" w:eastAsia="zh-CN" w:bidi="ar-SA"/>
              </w:rPr>
              <w:t>二沉池+高效沉淀池+</w:t>
            </w:r>
            <w:r>
              <w:rPr>
                <w:rFonts w:hint="default" w:ascii="Times New Roman" w:hAnsi="Times New Roman" w:eastAsia="宋体" w:cs="Times New Roman"/>
                <w:color w:val="auto"/>
                <w:kern w:val="2"/>
                <w:sz w:val="21"/>
                <w:szCs w:val="21"/>
                <w:highlight w:val="none"/>
                <w:lang w:val="en-US" w:eastAsia="zh-CN" w:bidi="ar-SA"/>
              </w:rPr>
              <w:t>次氯酸钠消毒工艺”，设计进水水质为COD350mg/L、SS</w:t>
            </w:r>
            <w:r>
              <w:rPr>
                <w:rFonts w:hint="default" w:ascii="Times New Roman" w:hAnsi="Times New Roman" w:cs="Times New Roman"/>
                <w:color w:val="auto"/>
                <w:kern w:val="2"/>
                <w:sz w:val="21"/>
                <w:szCs w:val="21"/>
                <w:highlight w:val="none"/>
                <w:lang w:val="en-US" w:eastAsia="zh-CN" w:bidi="ar-SA"/>
              </w:rPr>
              <w:t>240</w:t>
            </w:r>
            <w:r>
              <w:rPr>
                <w:rFonts w:hint="default" w:ascii="Times New Roman" w:hAnsi="Times New Roman" w:eastAsia="宋体" w:cs="Times New Roman"/>
                <w:color w:val="auto"/>
                <w:kern w:val="2"/>
                <w:sz w:val="21"/>
                <w:szCs w:val="21"/>
                <w:highlight w:val="none"/>
                <w:lang w:val="en-US" w:eastAsia="zh-CN" w:bidi="ar-SA"/>
              </w:rPr>
              <w:t>mg/L、NH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-N35mg/L、TP4mg/L、TN</w:t>
            </w:r>
            <w:r>
              <w:rPr>
                <w:rFonts w:hint="default" w:ascii="Times New Roman" w:hAnsi="Times New Roman"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US" w:eastAsia="zh-CN" w:bidi="ar-SA"/>
              </w:rPr>
              <w:t>mg/L，</w:t>
            </w:r>
            <w:r>
              <w:rPr>
                <w:rFonts w:hint="default" w:ascii="Times New Roman" w:hAnsi="Times New Roman" w:cs="Times New Roman"/>
                <w:color w:val="auto"/>
                <w:kern w:val="2"/>
                <w:sz w:val="21"/>
                <w:szCs w:val="21"/>
                <w:highlight w:val="none"/>
                <w:lang w:val="en-US" w:eastAsia="zh-CN" w:bidi="ar-SA"/>
              </w:rPr>
              <w:t>设计</w:t>
            </w:r>
            <w:r>
              <w:rPr>
                <w:rFonts w:hint="default" w:ascii="Times New Roman" w:hAnsi="Times New Roman" w:eastAsia="宋体" w:cs="Times New Roman"/>
                <w:color w:val="auto"/>
                <w:kern w:val="2"/>
                <w:sz w:val="21"/>
                <w:szCs w:val="21"/>
                <w:highlight w:val="none"/>
                <w:lang w:val="en-US" w:eastAsia="zh-CN" w:bidi="ar-SA"/>
              </w:rPr>
              <w:t>出水水质COD、NH</w:t>
            </w:r>
            <w:r>
              <w:rPr>
                <w:rFonts w:hint="default"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-N、TP指标执行《地表水环境质量标准》（GB3838-2002）V类标准，</w:t>
            </w:r>
            <w:r>
              <w:rPr>
                <w:rFonts w:hint="default" w:ascii="Times New Roman" w:hAnsi="Times New Roman" w:cs="Times New Roman"/>
                <w:color w:val="auto"/>
                <w:kern w:val="2"/>
                <w:sz w:val="21"/>
                <w:szCs w:val="21"/>
                <w:highlight w:val="none"/>
                <w:lang w:val="en-US" w:eastAsia="zh-CN" w:bidi="ar-SA"/>
              </w:rPr>
              <w:t>SS、</w:t>
            </w:r>
            <w:r>
              <w:rPr>
                <w:rFonts w:hint="default" w:ascii="Times New Roman" w:hAnsi="Times New Roman" w:eastAsia="宋体" w:cs="Times New Roman"/>
                <w:color w:val="auto"/>
                <w:kern w:val="2"/>
                <w:sz w:val="21"/>
                <w:szCs w:val="21"/>
                <w:highlight w:val="none"/>
                <w:lang w:val="en-US" w:eastAsia="zh-CN" w:bidi="ar-SA"/>
              </w:rPr>
              <w:t>TN执行《城镇污水处理厂污染物排放标准》（GB18918-2002）表1一级A标准，</w:t>
            </w:r>
            <w:r>
              <w:rPr>
                <w:rFonts w:hint="default" w:ascii="Times New Roman" w:hAnsi="Times New Roman" w:cs="Times New Roman"/>
                <w:color w:val="auto"/>
                <w:kern w:val="2"/>
                <w:sz w:val="21"/>
                <w:szCs w:val="21"/>
                <w:highlight w:val="none"/>
                <w:lang w:val="en-US" w:eastAsia="zh-CN" w:bidi="ar-SA"/>
              </w:rPr>
              <w:t>出水</w:t>
            </w:r>
            <w:r>
              <w:rPr>
                <w:rFonts w:hint="default" w:ascii="Times New Roman" w:hAnsi="Times New Roman" w:eastAsia="宋体" w:cs="Times New Roman"/>
                <w:color w:val="auto"/>
                <w:kern w:val="2"/>
                <w:sz w:val="21"/>
                <w:szCs w:val="21"/>
                <w:highlight w:val="none"/>
                <w:lang w:val="en-US" w:eastAsia="zh-CN" w:bidi="ar-SA"/>
              </w:rPr>
              <w:t>经民生渠最终排入</w:t>
            </w:r>
            <w:r>
              <w:rPr>
                <w:rFonts w:hint="default" w:ascii="Times New Roman" w:hAnsi="Times New Roman" w:cs="Times New Roman"/>
                <w:color w:val="auto"/>
                <w:kern w:val="2"/>
                <w:sz w:val="21"/>
                <w:szCs w:val="21"/>
                <w:highlight w:val="none"/>
                <w:lang w:val="en-US" w:eastAsia="zh-CN" w:bidi="ar-SA"/>
              </w:rPr>
              <w:t>共产主义渠</w:t>
            </w:r>
            <w:r>
              <w:rPr>
                <w:rFonts w:hint="default"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2.2.2</w:t>
            </w:r>
            <w:r>
              <w:rPr>
                <w:rFonts w:hint="default" w:ascii="Times New Roman" w:hAnsi="Times New Roman" w:cs="Times New Roman"/>
                <w:b/>
                <w:bCs/>
                <w:color w:val="auto"/>
                <w:sz w:val="21"/>
                <w:szCs w:val="21"/>
                <w:highlight w:val="none"/>
                <w:lang w:eastAsia="zh-CN"/>
              </w:rPr>
              <w:t>收水水质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kern w:val="0"/>
                <w:sz w:val="21"/>
                <w:szCs w:val="21"/>
                <w:highlight w:val="none"/>
                <w:lang w:eastAsia="zh-CN"/>
              </w:rPr>
              <w:t>本项目废水</w:t>
            </w:r>
            <w:r>
              <w:rPr>
                <w:rFonts w:hint="default" w:ascii="Times New Roman" w:hAnsi="Times New Roman" w:eastAsia="宋体" w:cs="Times New Roman"/>
                <w:bCs/>
                <w:color w:val="auto"/>
                <w:kern w:val="0"/>
                <w:sz w:val="21"/>
                <w:szCs w:val="21"/>
                <w:highlight w:val="none"/>
              </w:rPr>
              <w:t>排水量为</w:t>
            </w:r>
            <w:r>
              <w:rPr>
                <w:rFonts w:hint="default" w:ascii="Times New Roman" w:hAnsi="Times New Roman" w:cs="Times New Roman"/>
                <w:color w:val="auto"/>
                <w:sz w:val="21"/>
                <w:szCs w:val="21"/>
                <w:highlight w:val="none"/>
                <w:lang w:val="en-US" w:eastAsia="zh-CN"/>
              </w:rPr>
              <w:t>0.48</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d（144</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default" w:ascii="Times New Roman" w:hAnsi="Times New Roman" w:cs="Times New Roman"/>
                <w:bCs/>
                <w:color w:val="auto"/>
                <w:sz w:val="21"/>
                <w:szCs w:val="21"/>
                <w:highlight w:val="none"/>
                <w:lang w:eastAsia="zh-CN"/>
              </w:rPr>
              <w:t>，外排</w:t>
            </w:r>
            <w:r>
              <w:rPr>
                <w:rFonts w:hint="default" w:ascii="Times New Roman" w:hAnsi="Times New Roman" w:cs="Times New Roman"/>
                <w:color w:val="auto"/>
                <w:sz w:val="21"/>
                <w:szCs w:val="21"/>
                <w:highlight w:val="none"/>
                <w:lang w:eastAsia="zh-CN"/>
              </w:rPr>
              <w:t>废水</w:t>
            </w:r>
            <w:r>
              <w:rPr>
                <w:rFonts w:hint="default" w:ascii="Times New Roman" w:hAnsi="Times New Roman" w:cs="Times New Roman"/>
                <w:color w:val="auto"/>
                <w:sz w:val="21"/>
                <w:szCs w:val="21"/>
                <w:highlight w:val="none"/>
              </w:rPr>
              <w:t>水质</w:t>
            </w:r>
            <w:r>
              <w:rPr>
                <w:rFonts w:hint="default" w:ascii="Times New Roman" w:hAnsi="Times New Roman" w:eastAsia="宋体" w:cs="Times New Roman"/>
                <w:bCs/>
                <w:color w:val="auto"/>
                <w:kern w:val="0"/>
                <w:sz w:val="21"/>
                <w:szCs w:val="21"/>
                <w:highlight w:val="none"/>
              </w:rPr>
              <w:t>能够满足</w:t>
            </w:r>
            <w:r>
              <w:rPr>
                <w:rFonts w:hint="default" w:ascii="Times New Roman" w:hAnsi="Times New Roman"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污水处理厂设计进水水质要求（</w:t>
            </w:r>
            <w:r>
              <w:rPr>
                <w:rFonts w:hint="default" w:ascii="Times New Roman" w:hAnsi="Times New Roman" w:eastAsia="宋体" w:cs="Times New Roman"/>
                <w:bCs/>
                <w:color w:val="auto"/>
                <w:kern w:val="2"/>
                <w:sz w:val="21"/>
                <w:szCs w:val="21"/>
                <w:highlight w:val="none"/>
              </w:rPr>
              <w:t>COD</w:t>
            </w:r>
            <w:r>
              <w:rPr>
                <w:rFonts w:hint="default" w:ascii="Times New Roman" w:hAnsi="Times New Roman" w:eastAsia="宋体" w:cs="Times New Roman"/>
                <w:bCs/>
                <w:color w:val="auto"/>
                <w:kern w:val="2"/>
                <w:sz w:val="21"/>
                <w:szCs w:val="21"/>
                <w:highlight w:val="none"/>
                <w:lang w:val="en-US" w:eastAsia="zh-CN"/>
              </w:rPr>
              <w:t>350</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cs="Times New Roman"/>
                <w:bCs/>
                <w:color w:val="auto"/>
                <w:kern w:val="2"/>
                <w:sz w:val="21"/>
                <w:szCs w:val="21"/>
                <w:highlight w:val="none"/>
                <w:lang w:eastAsia="zh-CN"/>
              </w:rPr>
              <w:t>、</w:t>
            </w:r>
            <w:r>
              <w:rPr>
                <w:rFonts w:hint="default" w:ascii="Times New Roman" w:hAnsi="Times New Roman" w:eastAsia="宋体" w:cs="Times New Roman"/>
                <w:bCs/>
                <w:color w:val="auto"/>
                <w:kern w:val="2"/>
                <w:sz w:val="21"/>
                <w:szCs w:val="21"/>
                <w:highlight w:val="none"/>
              </w:rPr>
              <w:t>SS</w:t>
            </w:r>
            <w:r>
              <w:rPr>
                <w:rFonts w:hint="default" w:ascii="Times New Roman" w:hAnsi="Times New Roman" w:cs="Times New Roman"/>
                <w:bCs/>
                <w:color w:val="auto"/>
                <w:kern w:val="2"/>
                <w:sz w:val="21"/>
                <w:szCs w:val="21"/>
                <w:highlight w:val="none"/>
                <w:lang w:val="en-US" w:eastAsia="zh-CN"/>
              </w:rPr>
              <w:t>240</w:t>
            </w:r>
            <w:r>
              <w:rPr>
                <w:rFonts w:hint="default" w:ascii="Times New Roman" w:hAnsi="Times New Roman" w:eastAsia="宋体" w:cs="Times New Roman"/>
                <w:bCs/>
                <w:color w:val="auto"/>
                <w:kern w:val="2"/>
                <w:sz w:val="21"/>
                <w:szCs w:val="21"/>
                <w:highlight w:val="none"/>
              </w:rPr>
              <w:t>mg/L、氨氮</w:t>
            </w:r>
            <w:r>
              <w:rPr>
                <w:rFonts w:hint="default" w:ascii="Times New Roman" w:hAnsi="Times New Roman" w:cs="Times New Roman"/>
                <w:bCs/>
                <w:color w:val="auto"/>
                <w:kern w:val="2"/>
                <w:sz w:val="21"/>
                <w:szCs w:val="21"/>
                <w:highlight w:val="none"/>
                <w:lang w:val="en-US" w:eastAsia="zh-CN"/>
              </w:rPr>
              <w:t>35</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eastAsia="宋体" w:cs="Times New Roman"/>
                <w:bCs/>
                <w:color w:val="auto"/>
                <w:kern w:val="2"/>
                <w:sz w:val="21"/>
                <w:szCs w:val="21"/>
                <w:highlight w:val="none"/>
                <w:lang w:eastAsia="zh-CN"/>
              </w:rPr>
              <w:t>、总磷</w:t>
            </w:r>
            <w:r>
              <w:rPr>
                <w:rFonts w:hint="default" w:ascii="Times New Roman" w:hAnsi="Times New Roman" w:cs="Times New Roman"/>
                <w:bCs/>
                <w:color w:val="auto"/>
                <w:kern w:val="2"/>
                <w:sz w:val="21"/>
                <w:szCs w:val="21"/>
                <w:highlight w:val="none"/>
                <w:lang w:val="en-US" w:eastAsia="zh-CN"/>
              </w:rPr>
              <w:t>4</w:t>
            </w:r>
            <w:r>
              <w:rPr>
                <w:rFonts w:hint="default" w:ascii="Times New Roman" w:hAnsi="Times New Roman" w:eastAsia="宋体" w:cs="Times New Roman"/>
                <w:bCs/>
                <w:color w:val="auto"/>
                <w:kern w:val="2"/>
                <w:sz w:val="21"/>
                <w:szCs w:val="21"/>
                <w:highlight w:val="none"/>
              </w:rPr>
              <w:t>mg/L</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eastAsia="zh-CN"/>
              </w:rPr>
              <w:t>且</w:t>
            </w:r>
            <w:r>
              <w:rPr>
                <w:rFonts w:hint="default" w:ascii="Times New Roman" w:hAnsi="Times New Roman" w:eastAsia="宋体" w:cs="Times New Roman"/>
                <w:bCs/>
                <w:color w:val="auto"/>
                <w:kern w:val="0"/>
                <w:sz w:val="21"/>
                <w:szCs w:val="21"/>
                <w:highlight w:val="none"/>
              </w:rPr>
              <w:t>项目</w:t>
            </w:r>
            <w:r>
              <w:rPr>
                <w:rFonts w:hint="default" w:ascii="Times New Roman" w:hAnsi="Times New Roman" w:eastAsia="宋体" w:cs="Times New Roman"/>
                <w:bCs/>
                <w:color w:val="auto"/>
                <w:kern w:val="0"/>
                <w:sz w:val="21"/>
                <w:szCs w:val="21"/>
                <w:highlight w:val="none"/>
                <w:lang w:eastAsia="zh-CN"/>
              </w:rPr>
              <w:t>废水</w:t>
            </w:r>
            <w:r>
              <w:rPr>
                <w:rFonts w:hint="default" w:ascii="Times New Roman" w:hAnsi="Times New Roman" w:eastAsia="宋体" w:cs="Times New Roman"/>
                <w:bCs/>
                <w:color w:val="auto"/>
                <w:kern w:val="0"/>
                <w:sz w:val="21"/>
                <w:szCs w:val="21"/>
                <w:highlight w:val="none"/>
              </w:rPr>
              <w:t>水质简单，</w:t>
            </w:r>
            <w:r>
              <w:rPr>
                <w:rFonts w:hint="default" w:ascii="Times New Roman" w:hAnsi="Times New Roman" w:eastAsia="宋体" w:cs="Times New Roman"/>
                <w:bCs/>
                <w:color w:val="auto"/>
                <w:kern w:val="2"/>
                <w:sz w:val="21"/>
                <w:szCs w:val="21"/>
                <w:highlight w:val="none"/>
              </w:rPr>
              <w:t>废水没有生物毒性，</w:t>
            </w:r>
            <w:r>
              <w:rPr>
                <w:rFonts w:hint="default" w:ascii="Times New Roman" w:hAnsi="Times New Roman" w:eastAsia="宋体" w:cs="Times New Roman"/>
                <w:bCs/>
                <w:color w:val="auto"/>
                <w:kern w:val="0"/>
                <w:sz w:val="21"/>
                <w:szCs w:val="21"/>
                <w:highlight w:val="none"/>
              </w:rPr>
              <w:t>与污水处理厂其他废水混合后不会对污水处理厂的生化工艺造成不利影响。</w:t>
            </w:r>
            <w:r>
              <w:rPr>
                <w:rFonts w:hint="default" w:ascii="Times New Roman" w:hAnsi="Times New Roman"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w:t>
            </w:r>
            <w:r>
              <w:rPr>
                <w:rFonts w:hint="default" w:ascii="Times New Roman" w:hAnsi="Times New Roman" w:cs="Times New Roman"/>
                <w:bCs/>
                <w:color w:val="auto"/>
                <w:kern w:val="0"/>
                <w:sz w:val="21"/>
                <w:szCs w:val="21"/>
                <w:highlight w:val="none"/>
                <w:lang w:eastAsia="zh-CN"/>
              </w:rPr>
              <w:t>目前暂未建设</w:t>
            </w:r>
            <w:r>
              <w:rPr>
                <w:rFonts w:hint="default" w:ascii="Times New Roman" w:hAnsi="Times New Roman" w:eastAsia="宋体"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eastAsia="zh-CN"/>
              </w:rPr>
              <w:t>设计</w:t>
            </w:r>
            <w:r>
              <w:rPr>
                <w:rFonts w:hint="default" w:ascii="Times New Roman" w:hAnsi="Times New Roman" w:eastAsia="宋体" w:cs="Times New Roman"/>
                <w:bCs/>
                <w:color w:val="auto"/>
                <w:kern w:val="0"/>
                <w:sz w:val="21"/>
                <w:szCs w:val="21"/>
                <w:highlight w:val="none"/>
              </w:rPr>
              <w:t>收水量</w:t>
            </w:r>
            <w:r>
              <w:rPr>
                <w:rFonts w:hint="default" w:ascii="Times New Roman" w:hAnsi="Times New Roman" w:cs="Times New Roman"/>
                <w:bCs/>
                <w:color w:val="auto"/>
                <w:kern w:val="0"/>
                <w:sz w:val="21"/>
                <w:szCs w:val="21"/>
                <w:highlight w:val="none"/>
                <w:lang w:val="en-US" w:eastAsia="zh-CN"/>
              </w:rPr>
              <w:t>3万</w:t>
            </w:r>
            <w:r>
              <w:rPr>
                <w:rFonts w:hint="default" w:ascii="Times New Roman" w:hAnsi="Times New Roman" w:eastAsia="宋体" w:cs="Times New Roman"/>
                <w:bCs/>
                <w:color w:val="auto"/>
                <w:kern w:val="0"/>
                <w:sz w:val="21"/>
                <w:szCs w:val="21"/>
                <w:highlight w:val="none"/>
              </w:rPr>
              <w:t>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/d。本项目外排废水量为</w:t>
            </w:r>
            <w:r>
              <w:rPr>
                <w:rFonts w:hint="default" w:ascii="Times New Roman" w:hAnsi="Times New Roman" w:cs="Times New Roman"/>
                <w:bCs/>
                <w:color w:val="auto"/>
                <w:kern w:val="0"/>
                <w:sz w:val="21"/>
                <w:szCs w:val="21"/>
                <w:highlight w:val="none"/>
                <w:lang w:val="en-US" w:eastAsia="zh-CN"/>
              </w:rPr>
              <w:t>0.48</w:t>
            </w:r>
            <w:r>
              <w:rPr>
                <w:rFonts w:hint="default" w:ascii="Times New Roman" w:hAnsi="Times New Roman" w:eastAsia="宋体" w:cs="Times New Roman"/>
                <w:bCs/>
                <w:color w:val="auto"/>
                <w:kern w:val="0"/>
                <w:sz w:val="21"/>
                <w:szCs w:val="21"/>
                <w:highlight w:val="none"/>
              </w:rPr>
              <w:t>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/d，仅占其剩余处理能力的</w:t>
            </w:r>
            <w:r>
              <w:rPr>
                <w:rFonts w:hint="default" w:ascii="Times New Roman" w:hAnsi="Times New Roman" w:cs="Times New Roman"/>
                <w:bCs/>
                <w:color w:val="auto"/>
                <w:kern w:val="0"/>
                <w:sz w:val="21"/>
                <w:szCs w:val="21"/>
                <w:highlight w:val="none"/>
                <w:lang w:val="en-US" w:eastAsia="zh-CN"/>
              </w:rPr>
              <w:t>0.0016</w:t>
            </w:r>
            <w:r>
              <w:rPr>
                <w:rFonts w:hint="default" w:ascii="Times New Roman" w:hAnsi="Times New Roman" w:eastAsia="宋体" w:cs="Times New Roman"/>
                <w:bCs/>
                <w:color w:val="auto"/>
                <w:kern w:val="0"/>
                <w:sz w:val="21"/>
                <w:szCs w:val="21"/>
                <w:highlight w:val="none"/>
              </w:rPr>
              <w:t>%，不会对污水处理厂造成冲击，评价认为本项目生活污水</w:t>
            </w:r>
            <w:r>
              <w:rPr>
                <w:rFonts w:hint="default" w:ascii="Times New Roman" w:hAnsi="Times New Roman" w:cs="Times New Roman"/>
                <w:bCs/>
                <w:color w:val="auto"/>
                <w:kern w:val="0"/>
                <w:sz w:val="21"/>
                <w:szCs w:val="21"/>
                <w:highlight w:val="none"/>
                <w:lang w:eastAsia="zh-CN"/>
              </w:rPr>
              <w:t>远期</w:t>
            </w:r>
            <w:r>
              <w:rPr>
                <w:rFonts w:hint="default" w:ascii="Times New Roman" w:hAnsi="Times New Roman" w:eastAsia="宋体" w:cs="Times New Roman"/>
                <w:bCs/>
                <w:color w:val="auto"/>
                <w:kern w:val="0"/>
                <w:sz w:val="21"/>
                <w:szCs w:val="21"/>
                <w:highlight w:val="none"/>
              </w:rPr>
              <w:t>排入</w:t>
            </w:r>
            <w:r>
              <w:rPr>
                <w:rFonts w:hint="default" w:ascii="Times New Roman" w:hAnsi="Times New Roman"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污水处理厂是可行的。</w:t>
            </w:r>
          </w:p>
          <w:p>
            <w:pPr>
              <w:keepNext w:val="0"/>
              <w:keepLines w:val="0"/>
              <w:pageBreakBefore w:val="0"/>
              <w:widowControl w:val="0"/>
              <w:kinsoku/>
              <w:wordWrap/>
              <w:overflowPunct/>
              <w:topLinePunct w:val="0"/>
              <w:bidi w:val="0"/>
              <w:adjustRightInd/>
              <w:snapToGrid/>
              <w:spacing w:line="360" w:lineRule="auto"/>
              <w:ind w:left="0" w:leftChars="0" w:right="0" w:firstLine="436" w:firstLineChars="200"/>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color w:val="auto"/>
                <w:spacing w:val="4"/>
                <w:sz w:val="21"/>
                <w:szCs w:val="21"/>
                <w:highlight w:val="none"/>
              </w:rPr>
              <w:t>综上分析，本项目生活废水</w:t>
            </w:r>
            <w:r>
              <w:rPr>
                <w:rFonts w:hint="default" w:ascii="Times New Roman" w:hAnsi="Times New Roman" w:cs="Times New Roman"/>
                <w:color w:val="auto"/>
                <w:spacing w:val="4"/>
                <w:sz w:val="21"/>
                <w:szCs w:val="21"/>
                <w:highlight w:val="none"/>
                <w:lang w:eastAsia="zh-CN"/>
              </w:rPr>
              <w:t>远期可</w:t>
            </w:r>
            <w:r>
              <w:rPr>
                <w:rFonts w:hint="default" w:ascii="Times New Roman" w:hAnsi="Times New Roman" w:cs="Times New Roman"/>
                <w:color w:val="auto"/>
                <w:spacing w:val="4"/>
                <w:sz w:val="21"/>
                <w:szCs w:val="21"/>
                <w:highlight w:val="none"/>
              </w:rPr>
              <w:t>经管网排入</w:t>
            </w:r>
            <w:r>
              <w:rPr>
                <w:rFonts w:hint="default" w:ascii="Times New Roman" w:hAnsi="Times New Roman"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w:t>
            </w:r>
            <w:r>
              <w:rPr>
                <w:rFonts w:hint="default" w:ascii="Times New Roman" w:hAnsi="Times New Roman" w:cs="Times New Roman"/>
                <w:color w:val="auto"/>
                <w:spacing w:val="4"/>
                <w:sz w:val="21"/>
                <w:szCs w:val="21"/>
                <w:highlight w:val="none"/>
              </w:rPr>
              <w:t>进行统一处理，本工程废水能够满足该污水处理厂进水设计指标要求。因此本项目废水</w:t>
            </w:r>
            <w:r>
              <w:rPr>
                <w:rFonts w:hint="default" w:ascii="Times New Roman" w:hAnsi="Times New Roman" w:cs="Times New Roman"/>
                <w:color w:val="auto"/>
                <w:spacing w:val="4"/>
                <w:sz w:val="21"/>
                <w:szCs w:val="21"/>
                <w:highlight w:val="none"/>
                <w:lang w:eastAsia="zh-CN"/>
              </w:rPr>
              <w:t>远期</w:t>
            </w:r>
            <w:r>
              <w:rPr>
                <w:rFonts w:hint="default" w:ascii="Times New Roman" w:hAnsi="Times New Roman" w:cs="Times New Roman"/>
                <w:color w:val="auto"/>
                <w:spacing w:val="4"/>
                <w:sz w:val="21"/>
                <w:szCs w:val="21"/>
                <w:highlight w:val="none"/>
              </w:rPr>
              <w:t>进入</w:t>
            </w:r>
            <w:r>
              <w:rPr>
                <w:rFonts w:hint="default" w:ascii="Times New Roman" w:hAnsi="Times New Roman" w:cs="Times New Roman"/>
                <w:bCs/>
                <w:color w:val="auto"/>
                <w:kern w:val="0"/>
                <w:sz w:val="21"/>
                <w:szCs w:val="21"/>
                <w:highlight w:val="none"/>
                <w:lang w:eastAsia="zh-CN"/>
              </w:rPr>
              <w:t>新乡市凤泉区</w:t>
            </w:r>
            <w:r>
              <w:rPr>
                <w:rFonts w:hint="default" w:ascii="Times New Roman" w:hAnsi="Times New Roman" w:eastAsia="宋体" w:cs="Times New Roman"/>
                <w:bCs/>
                <w:color w:val="auto"/>
                <w:kern w:val="0"/>
                <w:sz w:val="21"/>
                <w:szCs w:val="21"/>
                <w:highlight w:val="none"/>
              </w:rPr>
              <w:t>污水处理厂</w:t>
            </w:r>
            <w:r>
              <w:rPr>
                <w:rFonts w:hint="default" w:ascii="Times New Roman" w:hAnsi="Times New Roman" w:cs="Times New Roman"/>
                <w:color w:val="auto"/>
                <w:spacing w:val="4"/>
                <w:sz w:val="21"/>
                <w:szCs w:val="21"/>
                <w:highlight w:val="none"/>
              </w:rPr>
              <w:t>是可行的。</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default" w:ascii="Times New Roman" w:hAnsi="Times New Roman" w:eastAsia="宋体" w:cs="Times New Roman"/>
                <w:b/>
                <w:bCs w:val="0"/>
                <w:color w:val="auto"/>
                <w:spacing w:val="-4"/>
                <w:szCs w:val="21"/>
                <w:highlight w:val="none"/>
              </w:rPr>
            </w:pPr>
            <w:r>
              <w:rPr>
                <w:rFonts w:hint="default" w:ascii="Times New Roman" w:hAnsi="Times New Roman" w:cs="Times New Roman"/>
                <w:b/>
                <w:bCs w:val="0"/>
                <w:color w:val="auto"/>
                <w:spacing w:val="-4"/>
                <w:szCs w:val="21"/>
                <w:highlight w:val="none"/>
                <w:lang w:val="en-US" w:eastAsia="zh-CN"/>
              </w:rPr>
              <w:t>2.2.3</w:t>
            </w:r>
            <w:r>
              <w:rPr>
                <w:rFonts w:hint="default" w:ascii="Times New Roman" w:hAnsi="Times New Roman" w:eastAsia="宋体" w:cs="Times New Roman"/>
                <w:b/>
                <w:bCs w:val="0"/>
                <w:color w:val="auto"/>
                <w:spacing w:val="-4"/>
                <w:szCs w:val="21"/>
                <w:highlight w:val="none"/>
              </w:rPr>
              <w:t>建设项目污染物排放信息</w:t>
            </w:r>
          </w:p>
          <w:p>
            <w:pPr>
              <w:pStyle w:val="28"/>
              <w:keepNext w:val="0"/>
              <w:keepLines w:val="0"/>
              <w:pageBreakBefore w:val="0"/>
              <w:widowControl w:val="0"/>
              <w:kinsoku/>
              <w:wordWrap/>
              <w:overflowPunct/>
              <w:topLinePunct w:val="0"/>
              <w:bidi w:val="0"/>
              <w:adjustRightInd/>
              <w:snapToGrid/>
              <w:spacing w:line="360" w:lineRule="auto"/>
              <w:ind w:firstLine="422"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废水类别、污染物及污染治理设施信息</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废水类别、污染物及污染治理设施信息表</w:t>
            </w:r>
          </w:p>
          <w:tbl>
            <w:tblPr>
              <w:tblStyle w:val="22"/>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
              <w:gridCol w:w="592"/>
              <w:gridCol w:w="764"/>
              <w:gridCol w:w="641"/>
              <w:gridCol w:w="1009"/>
              <w:gridCol w:w="668"/>
              <w:gridCol w:w="668"/>
              <w:gridCol w:w="668"/>
              <w:gridCol w:w="655"/>
              <w:gridCol w:w="810"/>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序号</w:t>
                  </w:r>
                </w:p>
              </w:tc>
              <w:tc>
                <w:tcPr>
                  <w:tcW w:w="367"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废水类别</w:t>
                  </w:r>
                </w:p>
              </w:tc>
              <w:tc>
                <w:tcPr>
                  <w:tcW w:w="473"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污染物种类</w:t>
                  </w:r>
                </w:p>
              </w:tc>
              <w:tc>
                <w:tcPr>
                  <w:tcW w:w="397"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排放去向</w:t>
                  </w:r>
                </w:p>
              </w:tc>
              <w:tc>
                <w:tcPr>
                  <w:tcW w:w="625"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排放规律</w:t>
                  </w:r>
                </w:p>
              </w:tc>
              <w:tc>
                <w:tcPr>
                  <w:tcW w:w="1243" w:type="pct"/>
                  <w:gridSpan w:val="3"/>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污染治理设施</w:t>
                  </w:r>
                </w:p>
              </w:tc>
              <w:tc>
                <w:tcPr>
                  <w:tcW w:w="406"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排放口编号</w:t>
                  </w:r>
                </w:p>
              </w:tc>
              <w:tc>
                <w:tcPr>
                  <w:tcW w:w="502"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排放空间设施是否符合要求</w:t>
                  </w:r>
                </w:p>
              </w:tc>
              <w:tc>
                <w:tcPr>
                  <w:tcW w:w="736" w:type="pct"/>
                  <w:vMerge w:val="restart"/>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排放口类型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p>
              </w:tc>
              <w:tc>
                <w:tcPr>
                  <w:tcW w:w="367"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p>
              </w:tc>
              <w:tc>
                <w:tcPr>
                  <w:tcW w:w="473"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p>
              </w:tc>
              <w:tc>
                <w:tcPr>
                  <w:tcW w:w="397"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p>
              </w:tc>
              <w:tc>
                <w:tcPr>
                  <w:tcW w:w="625"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p>
              </w:tc>
              <w:tc>
                <w:tcPr>
                  <w:tcW w:w="414"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污染治理设施编号</w:t>
                  </w:r>
                </w:p>
              </w:tc>
              <w:tc>
                <w:tcPr>
                  <w:tcW w:w="414"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污染治理设施名称</w:t>
                  </w:r>
                </w:p>
              </w:tc>
              <w:tc>
                <w:tcPr>
                  <w:tcW w:w="414"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污染治理设施工艺</w:t>
                  </w:r>
                </w:p>
              </w:tc>
              <w:tc>
                <w:tcPr>
                  <w:tcW w:w="406"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p>
              </w:tc>
              <w:tc>
                <w:tcPr>
                  <w:tcW w:w="502"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p>
              </w:tc>
              <w:tc>
                <w:tcPr>
                  <w:tcW w:w="736" w:type="pct"/>
                  <w:vMerge w:val="continue"/>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w:t>
                  </w:r>
                </w:p>
              </w:tc>
              <w:tc>
                <w:tcPr>
                  <w:tcW w:w="367"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生活污水</w:t>
                  </w:r>
                </w:p>
              </w:tc>
              <w:tc>
                <w:tcPr>
                  <w:tcW w:w="473"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COD</w:t>
                  </w:r>
                  <w:r>
                    <w:rPr>
                      <w:rFonts w:hint="default" w:ascii="Times New Roman" w:hAnsi="Times New Roman" w:eastAsia="宋体" w:cs="Times New Roman"/>
                      <w:b w:val="0"/>
                      <w:bCs/>
                      <w:color w:val="auto"/>
                      <w:sz w:val="18"/>
                      <w:szCs w:val="18"/>
                      <w:highlight w:val="none"/>
                      <w:lang w:val="en-US" w:eastAsia="zh-CN"/>
                    </w:rPr>
                    <w:t>、SS、NH</w:t>
                  </w:r>
                  <w:r>
                    <w:rPr>
                      <w:rFonts w:hint="default" w:ascii="Times New Roman" w:hAnsi="Times New Roman" w:eastAsia="宋体" w:cs="Times New Roman"/>
                      <w:b w:val="0"/>
                      <w:bCs/>
                      <w:color w:val="auto"/>
                      <w:sz w:val="18"/>
                      <w:szCs w:val="18"/>
                      <w:highlight w:val="none"/>
                      <w:vertAlign w:val="subscript"/>
                      <w:lang w:val="en-US" w:eastAsia="zh-CN"/>
                    </w:rPr>
                    <w:t>3</w:t>
                  </w:r>
                  <w:r>
                    <w:rPr>
                      <w:rFonts w:hint="default" w:ascii="Times New Roman" w:hAnsi="Times New Roman" w:eastAsia="宋体" w:cs="Times New Roman"/>
                      <w:b w:val="0"/>
                      <w:bCs/>
                      <w:color w:val="auto"/>
                      <w:sz w:val="18"/>
                      <w:szCs w:val="18"/>
                      <w:highlight w:val="none"/>
                      <w:lang w:val="en-US" w:eastAsia="zh-CN"/>
                    </w:rPr>
                    <w:t>-N</w:t>
                  </w: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lang w:val="en-US" w:eastAsia="zh-CN"/>
                    </w:rPr>
                    <w:t>TP、TN</w:t>
                  </w:r>
                </w:p>
              </w:tc>
              <w:tc>
                <w:tcPr>
                  <w:tcW w:w="397"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新乡市凤泉区污水处理厂</w:t>
                  </w:r>
                </w:p>
              </w:tc>
              <w:tc>
                <w:tcPr>
                  <w:tcW w:w="625"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间断排放，排放期间流量不稳定且无规律，但不属于冲击型排放</w:t>
                  </w:r>
                </w:p>
              </w:tc>
              <w:tc>
                <w:tcPr>
                  <w:tcW w:w="414"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w:t>
                  </w:r>
                </w:p>
              </w:tc>
              <w:tc>
                <w:tcPr>
                  <w:tcW w:w="414"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化粪池</w:t>
                  </w:r>
                </w:p>
              </w:tc>
              <w:tc>
                <w:tcPr>
                  <w:tcW w:w="414"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化粪池</w:t>
                  </w:r>
                </w:p>
              </w:tc>
              <w:tc>
                <w:tcPr>
                  <w:tcW w:w="406" w:type="pct"/>
                  <w:noWrap w:val="0"/>
                  <w:vAlign w:val="center"/>
                </w:tcPr>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DW</w:t>
                  </w:r>
                </w:p>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001</w:t>
                  </w:r>
                </w:p>
              </w:tc>
              <w:tc>
                <w:tcPr>
                  <w:tcW w:w="502" w:type="pct"/>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sym w:font="Wingdings 2" w:char="0052"/>
                  </w:r>
                  <w:r>
                    <w:rPr>
                      <w:rFonts w:hint="default" w:ascii="Times New Roman" w:hAnsi="Times New Roman" w:cs="Times New Roman"/>
                      <w:b w:val="0"/>
                      <w:bCs/>
                      <w:color w:val="auto"/>
                      <w:sz w:val="18"/>
                      <w:szCs w:val="18"/>
                      <w:highlight w:val="none"/>
                    </w:rPr>
                    <w:t>是</w:t>
                  </w:r>
                </w:p>
                <w:p>
                  <w:pPr>
                    <w:pStyle w:val="28"/>
                    <w:keepNext w:val="0"/>
                    <w:keepLines w:val="0"/>
                    <w:pageBreakBefore w:val="0"/>
                    <w:widowControl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sym w:font="Wingdings 2" w:char="00A3"/>
                  </w:r>
                  <w:r>
                    <w:rPr>
                      <w:rFonts w:hint="default" w:ascii="Times New Roman" w:hAnsi="Times New Roman" w:eastAsia="宋体" w:cs="Times New Roman"/>
                      <w:b w:val="0"/>
                      <w:bCs/>
                      <w:color w:val="auto"/>
                      <w:sz w:val="18"/>
                      <w:szCs w:val="18"/>
                      <w:highlight w:val="none"/>
                    </w:rPr>
                    <w:t>否</w:t>
                  </w:r>
                </w:p>
              </w:tc>
              <w:tc>
                <w:tcPr>
                  <w:tcW w:w="736" w:type="pct"/>
                  <w:noWrap w:val="0"/>
                  <w:vAlign w:val="center"/>
                </w:tcPr>
                <w:p>
                  <w:pPr>
                    <w:pStyle w:val="69"/>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sym w:font="Wingdings 2" w:char="0052"/>
                  </w:r>
                  <w:r>
                    <w:rPr>
                      <w:rFonts w:hint="default" w:ascii="Times New Roman" w:hAnsi="Times New Roman" w:cs="Times New Roman"/>
                      <w:b w:val="0"/>
                      <w:bCs/>
                      <w:color w:val="auto"/>
                      <w:sz w:val="18"/>
                      <w:szCs w:val="18"/>
                      <w:highlight w:val="none"/>
                    </w:rPr>
                    <w:t>企业总排</w:t>
                  </w:r>
                </w:p>
                <w:p>
                  <w:pPr>
                    <w:pStyle w:val="69"/>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sym w:font="Wingdings 2" w:char="00A3"/>
                  </w:r>
                  <w:r>
                    <w:rPr>
                      <w:rFonts w:hint="default" w:ascii="Times New Roman" w:hAnsi="Times New Roman" w:cs="Times New Roman"/>
                      <w:b w:val="0"/>
                      <w:bCs/>
                      <w:color w:val="auto"/>
                      <w:sz w:val="18"/>
                      <w:szCs w:val="18"/>
                      <w:highlight w:val="none"/>
                    </w:rPr>
                    <w:t>雨水排放</w:t>
                  </w:r>
                </w:p>
                <w:p>
                  <w:pPr>
                    <w:pStyle w:val="69"/>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pacing w:val="-18"/>
                      <w:sz w:val="18"/>
                      <w:szCs w:val="18"/>
                      <w:highlight w:val="none"/>
                    </w:rPr>
                    <w:sym w:font="Wingdings 2" w:char="00A3"/>
                  </w:r>
                  <w:r>
                    <w:rPr>
                      <w:rFonts w:hint="default" w:ascii="Times New Roman" w:hAnsi="Times New Roman" w:cs="Times New Roman"/>
                      <w:b w:val="0"/>
                      <w:bCs/>
                      <w:color w:val="auto"/>
                      <w:spacing w:val="-18"/>
                      <w:sz w:val="18"/>
                      <w:szCs w:val="18"/>
                      <w:highlight w:val="none"/>
                    </w:rPr>
                    <w:t>清净下水排放</w:t>
                  </w:r>
                </w:p>
                <w:p>
                  <w:pPr>
                    <w:pStyle w:val="69"/>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sym w:font="Wingdings 2" w:char="00A3"/>
                  </w:r>
                  <w:r>
                    <w:rPr>
                      <w:rFonts w:hint="default" w:ascii="Times New Roman" w:hAnsi="Times New Roman" w:cs="Times New Roman"/>
                      <w:b w:val="0"/>
                      <w:bCs/>
                      <w:color w:val="auto"/>
                      <w:sz w:val="18"/>
                      <w:szCs w:val="18"/>
                      <w:highlight w:val="none"/>
                    </w:rPr>
                    <w:t>温排水排放</w:t>
                  </w:r>
                </w:p>
                <w:p>
                  <w:pPr>
                    <w:pStyle w:val="28"/>
                    <w:keepNext w:val="0"/>
                    <w:keepLines w:val="0"/>
                    <w:pageBreakBefore w:val="0"/>
                    <w:widowControl w:val="0"/>
                    <w:kinsoku/>
                    <w:wordWrap/>
                    <w:overflowPunct/>
                    <w:topLinePunct w:val="0"/>
                    <w:bidi w:val="0"/>
                    <w:adjustRightInd/>
                    <w:snapToGrid/>
                    <w:spacing w:line="320" w:lineRule="exact"/>
                    <w:ind w:firstLine="0" w:firstLineChars="0"/>
                    <w:jc w:val="left"/>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sym w:font="Wingdings 2" w:char="00A3"/>
                  </w:r>
                  <w:r>
                    <w:rPr>
                      <w:rFonts w:hint="default" w:ascii="Times New Roman" w:hAnsi="Times New Roman" w:eastAsia="宋体" w:cs="Times New Roman"/>
                      <w:b w:val="0"/>
                      <w:bCs/>
                      <w:color w:val="auto"/>
                      <w:spacing w:val="-66"/>
                      <w:sz w:val="18"/>
                      <w:szCs w:val="18"/>
                      <w:highlight w:val="none"/>
                    </w:rPr>
                    <w:t xml:space="preserve"> </w:t>
                  </w:r>
                  <w:r>
                    <w:rPr>
                      <w:rFonts w:hint="default" w:ascii="Times New Roman" w:hAnsi="Times New Roman" w:eastAsia="宋体" w:cs="Times New Roman"/>
                      <w:b w:val="0"/>
                      <w:bCs/>
                      <w:color w:val="auto"/>
                      <w:sz w:val="18"/>
                      <w:szCs w:val="18"/>
                      <w:highlight w:val="none"/>
                    </w:rPr>
                    <w:t>车</w:t>
                  </w:r>
                  <w:r>
                    <w:rPr>
                      <w:rFonts w:hint="default" w:ascii="Times New Roman" w:hAnsi="Times New Roman" w:eastAsia="宋体" w:cs="Times New Roman"/>
                      <w:b w:val="0"/>
                      <w:bCs/>
                      <w:color w:val="auto"/>
                      <w:spacing w:val="-67"/>
                      <w:sz w:val="18"/>
                      <w:szCs w:val="18"/>
                      <w:highlight w:val="none"/>
                    </w:rPr>
                    <w:t xml:space="preserve"> </w:t>
                  </w:r>
                  <w:r>
                    <w:rPr>
                      <w:rFonts w:hint="default" w:ascii="Times New Roman" w:hAnsi="Times New Roman" w:eastAsia="宋体" w:cs="Times New Roman"/>
                      <w:b w:val="0"/>
                      <w:bCs/>
                      <w:color w:val="auto"/>
                      <w:sz w:val="18"/>
                      <w:szCs w:val="18"/>
                      <w:highlight w:val="none"/>
                    </w:rPr>
                    <w:t>间</w:t>
                  </w:r>
                  <w:r>
                    <w:rPr>
                      <w:rFonts w:hint="default" w:ascii="Times New Roman" w:hAnsi="Times New Roman" w:eastAsia="宋体" w:cs="Times New Roman"/>
                      <w:b w:val="0"/>
                      <w:bCs/>
                      <w:color w:val="auto"/>
                      <w:spacing w:val="-64"/>
                      <w:sz w:val="18"/>
                      <w:szCs w:val="18"/>
                      <w:highlight w:val="none"/>
                    </w:rPr>
                    <w:t xml:space="preserve"> </w:t>
                  </w:r>
                  <w:r>
                    <w:rPr>
                      <w:rFonts w:hint="default" w:ascii="Times New Roman" w:hAnsi="Times New Roman" w:eastAsia="宋体" w:cs="Times New Roman"/>
                      <w:b w:val="0"/>
                      <w:bCs/>
                      <w:color w:val="auto"/>
                      <w:sz w:val="18"/>
                      <w:szCs w:val="18"/>
                      <w:highlight w:val="none"/>
                    </w:rPr>
                    <w:t>或</w:t>
                  </w:r>
                  <w:r>
                    <w:rPr>
                      <w:rFonts w:hint="default" w:ascii="Times New Roman" w:hAnsi="Times New Roman" w:eastAsia="宋体" w:cs="Times New Roman"/>
                      <w:b w:val="0"/>
                      <w:bCs/>
                      <w:color w:val="auto"/>
                      <w:spacing w:val="-67"/>
                      <w:sz w:val="18"/>
                      <w:szCs w:val="18"/>
                      <w:highlight w:val="none"/>
                    </w:rPr>
                    <w:t xml:space="preserve"> </w:t>
                  </w:r>
                  <w:r>
                    <w:rPr>
                      <w:rFonts w:hint="default" w:ascii="Times New Roman" w:hAnsi="Times New Roman" w:eastAsia="宋体" w:cs="Times New Roman"/>
                      <w:b w:val="0"/>
                      <w:bCs/>
                      <w:color w:val="auto"/>
                      <w:sz w:val="18"/>
                      <w:szCs w:val="18"/>
                      <w:highlight w:val="none"/>
                    </w:rPr>
                    <w:t>车</w:t>
                  </w:r>
                  <w:r>
                    <w:rPr>
                      <w:rFonts w:hint="default" w:ascii="Times New Roman" w:hAnsi="Times New Roman" w:eastAsia="宋体" w:cs="Times New Roman"/>
                      <w:b w:val="0"/>
                      <w:bCs/>
                      <w:color w:val="auto"/>
                      <w:spacing w:val="-67"/>
                      <w:sz w:val="18"/>
                      <w:szCs w:val="18"/>
                      <w:highlight w:val="none"/>
                    </w:rPr>
                    <w:t xml:space="preserve"> </w:t>
                  </w:r>
                  <w:r>
                    <w:rPr>
                      <w:rFonts w:hint="default" w:ascii="Times New Roman" w:hAnsi="Times New Roman" w:eastAsia="宋体" w:cs="Times New Roman"/>
                      <w:b w:val="0"/>
                      <w:bCs/>
                      <w:color w:val="auto"/>
                      <w:sz w:val="18"/>
                      <w:szCs w:val="18"/>
                      <w:highlight w:val="none"/>
                    </w:rPr>
                    <w:t>间处</w:t>
                  </w:r>
                  <w:r>
                    <w:rPr>
                      <w:rFonts w:hint="default" w:ascii="Times New Roman" w:hAnsi="Times New Roman" w:eastAsia="宋体" w:cs="Times New Roman"/>
                      <w:b w:val="0"/>
                      <w:bCs/>
                      <w:color w:val="auto"/>
                      <w:spacing w:val="-67"/>
                      <w:sz w:val="18"/>
                      <w:szCs w:val="18"/>
                      <w:highlight w:val="none"/>
                    </w:rPr>
                    <w:t xml:space="preserve"> </w:t>
                  </w:r>
                  <w:r>
                    <w:rPr>
                      <w:rFonts w:hint="default" w:ascii="Times New Roman" w:hAnsi="Times New Roman" w:eastAsia="宋体" w:cs="Times New Roman"/>
                      <w:b w:val="0"/>
                      <w:bCs/>
                      <w:color w:val="auto"/>
                      <w:sz w:val="18"/>
                      <w:szCs w:val="18"/>
                      <w:highlight w:val="none"/>
                    </w:rPr>
                    <w:t>理</w:t>
                  </w:r>
                  <w:r>
                    <w:rPr>
                      <w:rFonts w:hint="default" w:ascii="Times New Roman" w:hAnsi="Times New Roman" w:eastAsia="宋体" w:cs="Times New Roman"/>
                      <w:b w:val="0"/>
                      <w:bCs/>
                      <w:color w:val="auto"/>
                      <w:spacing w:val="-67"/>
                      <w:sz w:val="18"/>
                      <w:szCs w:val="18"/>
                      <w:highlight w:val="none"/>
                    </w:rPr>
                    <w:t xml:space="preserve"> </w:t>
                  </w:r>
                  <w:r>
                    <w:rPr>
                      <w:rFonts w:hint="default" w:ascii="Times New Roman" w:hAnsi="Times New Roman" w:eastAsia="宋体" w:cs="Times New Roman"/>
                      <w:b w:val="0"/>
                      <w:bCs/>
                      <w:color w:val="auto"/>
                      <w:sz w:val="18"/>
                      <w:szCs w:val="18"/>
                      <w:highlight w:val="none"/>
                    </w:rPr>
                    <w:t>设</w:t>
                  </w:r>
                  <w:r>
                    <w:rPr>
                      <w:rFonts w:hint="default" w:ascii="Times New Roman" w:hAnsi="Times New Roman" w:eastAsia="宋体" w:cs="Times New Roman"/>
                      <w:b w:val="0"/>
                      <w:bCs/>
                      <w:color w:val="auto"/>
                      <w:spacing w:val="-64"/>
                      <w:sz w:val="18"/>
                      <w:szCs w:val="18"/>
                      <w:highlight w:val="none"/>
                    </w:rPr>
                    <w:t xml:space="preserve"> </w:t>
                  </w:r>
                  <w:r>
                    <w:rPr>
                      <w:rFonts w:hint="default" w:ascii="Times New Roman" w:hAnsi="Times New Roman" w:eastAsia="宋体" w:cs="Times New Roman"/>
                      <w:b w:val="0"/>
                      <w:bCs/>
                      <w:color w:val="auto"/>
                      <w:sz w:val="18"/>
                      <w:szCs w:val="18"/>
                      <w:highlight w:val="none"/>
                    </w:rPr>
                    <w:t>施</w:t>
                  </w:r>
                  <w:r>
                    <w:rPr>
                      <w:rFonts w:hint="default" w:ascii="Times New Roman" w:hAnsi="Times New Roman" w:eastAsia="宋体" w:cs="Times New Roman"/>
                      <w:b w:val="0"/>
                      <w:bCs/>
                      <w:color w:val="auto"/>
                      <w:spacing w:val="-67"/>
                      <w:sz w:val="18"/>
                      <w:szCs w:val="18"/>
                      <w:highlight w:val="none"/>
                    </w:rPr>
                    <w:t xml:space="preserve"> </w:t>
                  </w:r>
                  <w:r>
                    <w:rPr>
                      <w:rFonts w:hint="default" w:ascii="Times New Roman" w:hAnsi="Times New Roman" w:eastAsia="宋体" w:cs="Times New Roman"/>
                      <w:b w:val="0"/>
                      <w:bCs/>
                      <w:color w:val="auto"/>
                      <w:sz w:val="18"/>
                      <w:szCs w:val="18"/>
                      <w:highlight w:val="none"/>
                    </w:rPr>
                    <w:t>排</w:t>
                  </w:r>
                  <w:r>
                    <w:rPr>
                      <w:rFonts w:hint="default" w:ascii="Times New Roman" w:hAnsi="Times New Roman" w:eastAsia="宋体" w:cs="Times New Roman"/>
                      <w:b w:val="0"/>
                      <w:bCs/>
                      <w:color w:val="auto"/>
                      <w:spacing w:val="-67"/>
                      <w:sz w:val="18"/>
                      <w:szCs w:val="18"/>
                      <w:highlight w:val="none"/>
                    </w:rPr>
                    <w:t xml:space="preserve"> </w:t>
                  </w:r>
                  <w:r>
                    <w:rPr>
                      <w:rFonts w:hint="default" w:ascii="Times New Roman" w:hAnsi="Times New Roman" w:eastAsia="宋体" w:cs="Times New Roman"/>
                      <w:b w:val="0"/>
                      <w:bCs/>
                      <w:color w:val="auto"/>
                      <w:sz w:val="18"/>
                      <w:szCs w:val="18"/>
                      <w:highlight w:val="none"/>
                    </w:rPr>
                    <w:t>放口</w:t>
                  </w:r>
                </w:p>
              </w:tc>
            </w:tr>
          </w:tbl>
          <w:p>
            <w:pPr>
              <w:pStyle w:val="28"/>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废水间接排放口基本情况,</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废水间接排放口基本情况</w:t>
            </w:r>
          </w:p>
          <w:tbl>
            <w:tblPr>
              <w:tblStyle w:val="22"/>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2"/>
              <w:gridCol w:w="708"/>
              <w:gridCol w:w="884"/>
              <w:gridCol w:w="831"/>
              <w:gridCol w:w="860"/>
              <w:gridCol w:w="531"/>
              <w:gridCol w:w="1002"/>
              <w:gridCol w:w="542"/>
              <w:gridCol w:w="542"/>
              <w:gridCol w:w="681"/>
              <w:gridCol w:w="129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号</w:t>
                  </w:r>
                </w:p>
              </w:tc>
              <w:tc>
                <w:tcPr>
                  <w:tcW w:w="4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106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排放口地理坐标</w:t>
                  </w:r>
                </w:p>
              </w:tc>
              <w:tc>
                <w:tcPr>
                  <w:tcW w:w="5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排放量/</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万</w:t>
                  </w:r>
                  <w:r>
                    <w:rPr>
                      <w:rFonts w:hint="default" w:ascii="Times New Roman" w:hAnsi="Times New Roman" w:cs="Times New Roman"/>
                      <w:color w:val="auto"/>
                      <w:sz w:val="18"/>
                      <w:szCs w:val="18"/>
                      <w:highlight w:val="none"/>
                    </w:rPr>
                    <w:t>t/a）</w:t>
                  </w:r>
                </w:p>
              </w:tc>
              <w:tc>
                <w:tcPr>
                  <w:tcW w:w="32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去向</w:t>
                  </w:r>
                </w:p>
              </w:tc>
              <w:tc>
                <w:tcPr>
                  <w:tcW w:w="6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规律</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间歇排放时段</w:t>
                  </w:r>
                </w:p>
              </w:tc>
              <w:tc>
                <w:tcPr>
                  <w:tcW w:w="155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受纳污水处理厂信息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4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经度</w:t>
                  </w:r>
                </w:p>
              </w:tc>
              <w:tc>
                <w:tcPr>
                  <w:tcW w:w="5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纬度</w:t>
                  </w:r>
                </w:p>
              </w:tc>
              <w:tc>
                <w:tcPr>
                  <w:tcW w:w="5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7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国家或地方污染物排放标准浓度限值(mg/L)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5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113°51′2.226″</w:t>
                  </w:r>
                </w:p>
              </w:tc>
              <w:tc>
                <w:tcPr>
                  <w:tcW w:w="5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35°21′46.501″</w:t>
                  </w:r>
                </w:p>
              </w:tc>
              <w:tc>
                <w:tcPr>
                  <w:tcW w:w="5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0.0144</w:t>
                  </w:r>
                </w:p>
              </w:tc>
              <w:tc>
                <w:tcPr>
                  <w:tcW w:w="32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新乡市凤泉区</w:t>
                  </w:r>
                  <w:r>
                    <w:rPr>
                      <w:rFonts w:hint="default" w:ascii="Times New Roman" w:hAnsi="Times New Roman" w:eastAsia="宋体" w:cs="Times New Roman"/>
                      <w:color w:val="auto"/>
                      <w:sz w:val="18"/>
                      <w:szCs w:val="18"/>
                      <w:highlight w:val="none"/>
                      <w:lang w:eastAsia="zh-CN"/>
                    </w:rPr>
                    <w:t>污水处理厂</w:t>
                  </w:r>
                </w:p>
              </w:tc>
              <w:tc>
                <w:tcPr>
                  <w:tcW w:w="62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r>
                    <w:rPr>
                      <w:rFonts w:hint="default" w:ascii="Times New Roman" w:hAnsi="Times New Roman" w:cs="Times New Roman"/>
                      <w:color w:val="auto"/>
                      <w:spacing w:val="-12"/>
                      <w:sz w:val="18"/>
                      <w:szCs w:val="18"/>
                      <w:highlight w:val="none"/>
                    </w:rPr>
                    <w:t>间断排放，排放期间流量不稳定且无规律，但不属于冲击型排放</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新乡市凤泉区</w:t>
                  </w:r>
                  <w:r>
                    <w:rPr>
                      <w:rFonts w:hint="default" w:ascii="Times New Roman" w:hAnsi="Times New Roman" w:eastAsia="宋体" w:cs="Times New Roman"/>
                      <w:color w:val="auto"/>
                      <w:sz w:val="18"/>
                      <w:szCs w:val="18"/>
                      <w:highlight w:val="none"/>
                      <w:lang w:eastAsia="zh-CN"/>
                    </w:rPr>
                    <w:t>污水处理厂</w:t>
                  </w: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COD</w:t>
                  </w:r>
                </w:p>
              </w:tc>
              <w:tc>
                <w:tcPr>
                  <w:tcW w:w="7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p>
              </w:tc>
              <w:tc>
                <w:tcPr>
                  <w:tcW w:w="5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6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pacing w:val="-12"/>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eastAsia="zh-CN"/>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SS</w:t>
                  </w:r>
                </w:p>
              </w:tc>
              <w:tc>
                <w:tcPr>
                  <w:tcW w:w="7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NH</w:t>
                  </w:r>
                  <w:r>
                    <w:rPr>
                      <w:rFonts w:hint="default" w:ascii="Times New Roman" w:hAnsi="Times New Roman" w:cs="Times New Roman"/>
                      <w:color w:val="auto"/>
                      <w:kern w:val="2"/>
                      <w:sz w:val="18"/>
                      <w:szCs w:val="18"/>
                      <w:highlight w:val="none"/>
                      <w:vertAlign w:val="subscript"/>
                      <w:lang w:val="en-US" w:eastAsia="zh-CN" w:bidi="ar-SA"/>
                    </w:rPr>
                    <w:t>3</w:t>
                  </w:r>
                  <w:r>
                    <w:rPr>
                      <w:rFonts w:hint="default" w:ascii="Times New Roman" w:hAnsi="Times New Roman" w:cs="Times New Roman"/>
                      <w:color w:val="auto"/>
                      <w:kern w:val="2"/>
                      <w:sz w:val="18"/>
                      <w:szCs w:val="18"/>
                      <w:highlight w:val="none"/>
                      <w:lang w:val="en-US" w:eastAsia="zh-CN" w:bidi="ar-SA"/>
                    </w:rPr>
                    <w:t>-N</w:t>
                  </w:r>
                </w:p>
              </w:tc>
              <w:tc>
                <w:tcPr>
                  <w:tcW w:w="7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TN</w:t>
                  </w:r>
                </w:p>
              </w:tc>
              <w:tc>
                <w:tcPr>
                  <w:tcW w:w="7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5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2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2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TP</w:t>
                  </w:r>
                </w:p>
              </w:tc>
              <w:tc>
                <w:tcPr>
                  <w:tcW w:w="79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0.4</w:t>
                  </w:r>
                </w:p>
              </w:tc>
            </w:tr>
          </w:tbl>
          <w:p>
            <w:pPr>
              <w:pStyle w:val="2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jc w:val="both"/>
              <w:textAlignment w:val="auto"/>
              <w:rPr>
                <w:rFonts w:hint="default" w:ascii="Times New Roman" w:hAnsi="Times New Roman" w:eastAsia="宋体" w:cs="Times New Roman"/>
                <w:b/>
                <w:bCs/>
                <w:color w:val="auto"/>
                <w:sz w:val="21"/>
                <w:szCs w:val="21"/>
                <w:highlight w:val="none"/>
              </w:rPr>
            </w:pPr>
            <w:r>
              <w:rPr>
                <w:rFonts w:hint="eastAsia" w:ascii="Times New Roman" w:eastAsia="宋体" w:cs="Times New Roman"/>
                <w:b/>
                <w:bCs/>
                <w:color w:val="auto"/>
                <w:sz w:val="21"/>
                <w:szCs w:val="21"/>
                <w:highlight w:val="none"/>
                <w:lang w:eastAsia="zh-CN"/>
              </w:rPr>
              <w:t>（</w:t>
            </w:r>
            <w:r>
              <w:rPr>
                <w:rFonts w:hint="eastAsia" w:ascii="Times New Roman" w:eastAsia="宋体" w:cs="Times New Roman"/>
                <w:b/>
                <w:bCs/>
                <w:color w:val="auto"/>
                <w:sz w:val="21"/>
                <w:szCs w:val="21"/>
                <w:highlight w:val="none"/>
                <w:lang w:val="en-US" w:eastAsia="zh-CN"/>
              </w:rPr>
              <w:t>3</w:t>
            </w:r>
            <w:r>
              <w:rPr>
                <w:rFonts w:hint="eastAsia" w:asci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废水污染物排放执行标准</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废水污染物排放执行标准表</w:t>
            </w:r>
          </w:p>
          <w:tbl>
            <w:tblPr>
              <w:tblStyle w:val="22"/>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29"/>
              <w:gridCol w:w="1047"/>
              <w:gridCol w:w="1037"/>
              <w:gridCol w:w="3274"/>
              <w:gridCol w:w="187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649"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643"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3193" w:type="pct"/>
                  <w:gridSpan w:val="2"/>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国家或地方污染物排放标准及其他按规定商定的排放协议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9"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2030"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163"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浓度限值/</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mg/L</w:t>
                  </w:r>
                  <w:r>
                    <w:rPr>
                      <w:rFonts w:hint="default" w:ascii="Times New Roman" w:hAnsi="Times New Roman" w:cs="Times New Roman"/>
                      <w:color w:val="auto"/>
                      <w:sz w:val="18"/>
                      <w:szCs w:val="18"/>
                      <w:highlight w:val="none"/>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49"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COD</w:t>
                  </w:r>
                </w:p>
              </w:tc>
              <w:tc>
                <w:tcPr>
                  <w:tcW w:w="2030" w:type="pct"/>
                  <w:vMerge w:val="restar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zh-CN"/>
                    </w:rPr>
                    <w:t>《合成树脂工业污染物排放标准》（GB31572-2015）表2标准和新乡市凤泉区污水处理厂收水标准（取严）</w:t>
                  </w:r>
                </w:p>
              </w:tc>
              <w:tc>
                <w:tcPr>
                  <w:tcW w:w="1163"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9"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SS</w:t>
                  </w:r>
                </w:p>
              </w:tc>
              <w:tc>
                <w:tcPr>
                  <w:tcW w:w="203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163"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9"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US" w:eastAsia="zh-CN"/>
                    </w:rPr>
                    <w:t>NH</w:t>
                  </w:r>
                  <w:r>
                    <w:rPr>
                      <w:rFonts w:hint="default" w:ascii="Times New Roman" w:hAnsi="Times New Roman" w:cs="Times New Roman"/>
                      <w:bCs/>
                      <w:color w:val="auto"/>
                      <w:sz w:val="18"/>
                      <w:szCs w:val="18"/>
                      <w:highlight w:val="none"/>
                      <w:vertAlign w:val="subscript"/>
                      <w:lang w:val="en-US" w:eastAsia="zh-CN"/>
                    </w:rPr>
                    <w:t>3</w:t>
                  </w:r>
                  <w:r>
                    <w:rPr>
                      <w:rFonts w:hint="default" w:ascii="Times New Roman" w:hAnsi="Times New Roman" w:cs="Times New Roman"/>
                      <w:bCs/>
                      <w:color w:val="auto"/>
                      <w:sz w:val="18"/>
                      <w:szCs w:val="18"/>
                      <w:highlight w:val="none"/>
                      <w:lang w:val="en-US" w:eastAsia="zh-CN"/>
                    </w:rPr>
                    <w:t>-N</w:t>
                  </w:r>
                </w:p>
              </w:tc>
              <w:tc>
                <w:tcPr>
                  <w:tcW w:w="203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163"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9"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bidi="ar"/>
                    </w:rPr>
                    <w:t>TP</w:t>
                  </w:r>
                </w:p>
              </w:tc>
              <w:tc>
                <w:tcPr>
                  <w:tcW w:w="203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163"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14"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green"/>
                    </w:rPr>
                  </w:pPr>
                </w:p>
              </w:tc>
              <w:tc>
                <w:tcPr>
                  <w:tcW w:w="649"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green"/>
                    </w:rPr>
                  </w:pPr>
                </w:p>
              </w:tc>
              <w:tc>
                <w:tcPr>
                  <w:tcW w:w="64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18"/>
                      <w:szCs w:val="18"/>
                      <w:highlight w:val="green"/>
                      <w:lang w:val="en-US" w:eastAsia="zh-CN"/>
                    </w:rPr>
                  </w:pPr>
                  <w:r>
                    <w:rPr>
                      <w:rFonts w:hint="default" w:ascii="Times New Roman" w:hAnsi="Times New Roman" w:cs="Times New Roman"/>
                      <w:color w:val="auto"/>
                      <w:kern w:val="0"/>
                      <w:sz w:val="18"/>
                      <w:szCs w:val="18"/>
                      <w:highlight w:val="none"/>
                      <w:lang w:val="en-US" w:eastAsia="zh-CN" w:bidi="ar"/>
                    </w:rPr>
                    <w:t>TN</w:t>
                  </w:r>
                </w:p>
              </w:tc>
              <w:tc>
                <w:tcPr>
                  <w:tcW w:w="2030" w:type="pct"/>
                  <w:vMerge w:val="continue"/>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rPr>
                  </w:pPr>
                </w:p>
              </w:tc>
              <w:tc>
                <w:tcPr>
                  <w:tcW w:w="1163" w:type="pct"/>
                  <w:noWrap w:val="0"/>
                  <w:vAlign w:val="center"/>
                </w:tcPr>
                <w:p>
                  <w:pPr>
                    <w:pStyle w:val="69"/>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r>
          </w:tbl>
          <w:p>
            <w:pPr>
              <w:pStyle w:val="4"/>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right="0" w:rightChars="0"/>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b/>
                <w:bCs w:val="0"/>
                <w:color w:val="auto"/>
                <w:spacing w:val="-4"/>
                <w:sz w:val="21"/>
                <w:szCs w:val="21"/>
                <w:highlight w:val="none"/>
                <w:lang w:val="en-US" w:eastAsia="zh-CN"/>
              </w:rPr>
              <w:t>2.3</w:t>
            </w:r>
            <w:r>
              <w:rPr>
                <w:rFonts w:hint="default" w:ascii="Times New Roman" w:hAnsi="Times New Roman" w:cs="Times New Roman"/>
                <w:b/>
                <w:bCs w:val="0"/>
                <w:color w:val="auto"/>
                <w:spacing w:val="-4"/>
                <w:sz w:val="21"/>
                <w:szCs w:val="21"/>
                <w:highlight w:val="none"/>
                <w:lang w:eastAsia="zh-CN"/>
              </w:rPr>
              <w:t>监测要求</w:t>
            </w:r>
          </w:p>
          <w:p>
            <w:pPr>
              <w:pStyle w:val="4"/>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leftChars="0" w:right="0" w:rightChars="0" w:firstLine="420" w:firstLineChars="200"/>
              <w:textAlignment w:val="auto"/>
              <w:rPr>
                <w:rFonts w:hint="default" w:ascii="Times New Roman" w:hAnsi="Times New Roman" w:cs="Times New Roman"/>
                <w:b w:val="0"/>
                <w:bCs/>
                <w:color w:val="auto"/>
                <w:spacing w:val="-4"/>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eastAsia="zh-CN"/>
              </w:rPr>
              <w:t>参</w:t>
            </w:r>
            <w:r>
              <w:rPr>
                <w:rFonts w:hint="default" w:ascii="Times New Roman" w:hAnsi="Times New Roman" w:eastAsia="宋体" w:cs="Times New Roman"/>
                <w:b w:val="0"/>
                <w:bCs w:val="0"/>
                <w:color w:val="auto"/>
                <w:spacing w:val="4"/>
                <w:kern w:val="2"/>
                <w:sz w:val="21"/>
                <w:szCs w:val="21"/>
                <w:highlight w:val="none"/>
                <w:lang w:val="en-US" w:eastAsia="zh-CN" w:bidi="ar-SA"/>
              </w:rPr>
              <w:t>考</w:t>
            </w:r>
            <w:r>
              <w:rPr>
                <w:rFonts w:hint="default" w:ascii="Times New Roman" w:hAnsi="Times New Roman" w:eastAsia="宋体" w:cs="Times New Roman"/>
                <w:b w:val="0"/>
                <w:bCs w:val="0"/>
                <w:color w:val="auto"/>
                <w:sz w:val="21"/>
                <w:szCs w:val="21"/>
                <w:highlight w:val="none"/>
                <w:vertAlign w:val="baseline"/>
                <w:lang w:eastAsia="zh-CN"/>
              </w:rPr>
              <w:t>《</w:t>
            </w:r>
            <w:r>
              <w:rPr>
                <w:rFonts w:hint="default" w:ascii="Times New Roman" w:hAnsi="Times New Roman" w:eastAsia="宋体" w:cs="Times New Roman"/>
                <w:b w:val="0"/>
                <w:bCs w:val="0"/>
                <w:color w:val="auto"/>
                <w:sz w:val="21"/>
                <w:szCs w:val="21"/>
                <w:highlight w:val="none"/>
                <w:lang w:val="en-US" w:eastAsia="zh-CN"/>
              </w:rPr>
              <w:t>排污单位自行监测技术指南 橡胶和塑料制品</w:t>
            </w:r>
            <w:r>
              <w:rPr>
                <w:rFonts w:hint="default" w:ascii="Times New Roman" w:hAnsi="Times New Roman" w:eastAsia="宋体" w:cs="Times New Roman"/>
                <w:b w:val="0"/>
                <w:bCs w:val="0"/>
                <w:color w:val="auto"/>
                <w:sz w:val="21"/>
                <w:szCs w:val="21"/>
                <w:highlight w:val="none"/>
                <w:vertAlign w:val="baseline"/>
                <w:lang w:eastAsia="zh-CN"/>
              </w:rPr>
              <w:t>》</w:t>
            </w:r>
            <w:r>
              <w:rPr>
                <w:rFonts w:hint="default" w:ascii="Times New Roman" w:hAnsi="Times New Roman" w:eastAsia="宋体" w:cs="Times New Roman"/>
                <w:b w:val="0"/>
                <w:bCs w:val="0"/>
                <w:color w:val="auto"/>
                <w:sz w:val="21"/>
                <w:szCs w:val="21"/>
                <w:highlight w:val="none"/>
                <w:lang w:val="en-US" w:eastAsia="zh-CN"/>
              </w:rPr>
              <w:t>（HJ 1207—2021）</w:t>
            </w:r>
            <w:r>
              <w:rPr>
                <w:rFonts w:hint="default" w:ascii="Times New Roman" w:hAnsi="Times New Roman" w:eastAsia="宋体" w:cs="Times New Roman"/>
                <w:b w:val="0"/>
                <w:bCs w:val="0"/>
                <w:color w:val="auto"/>
                <w:spacing w:val="4"/>
                <w:kern w:val="2"/>
                <w:sz w:val="21"/>
                <w:szCs w:val="21"/>
                <w:highlight w:val="none"/>
                <w:lang w:val="en-US" w:eastAsia="zh-CN" w:bidi="ar-SA"/>
              </w:rPr>
              <w:t>相</w:t>
            </w:r>
            <w:r>
              <w:rPr>
                <w:rFonts w:hint="default" w:ascii="Times New Roman" w:hAnsi="Times New Roman" w:eastAsia="宋体" w:cs="Times New Roman"/>
                <w:b w:val="0"/>
                <w:bCs w:val="0"/>
                <w:color w:val="auto"/>
                <w:sz w:val="21"/>
                <w:szCs w:val="21"/>
                <w:highlight w:val="none"/>
                <w:vertAlign w:val="baseline"/>
                <w:lang w:eastAsia="zh-CN"/>
              </w:rPr>
              <w:t>关要求，</w:t>
            </w:r>
            <w:r>
              <w:rPr>
                <w:rFonts w:hint="default" w:ascii="Times New Roman" w:hAnsi="Times New Roman" w:cs="Times New Roman"/>
                <w:b w:val="0"/>
                <w:bCs w:val="0"/>
                <w:color w:val="auto"/>
                <w:spacing w:val="-4"/>
                <w:sz w:val="21"/>
                <w:szCs w:val="21"/>
                <w:highlight w:val="none"/>
                <w:lang w:eastAsia="zh-CN"/>
              </w:rPr>
              <w:t>项目废水</w:t>
            </w:r>
            <w:r>
              <w:rPr>
                <w:rFonts w:hint="default" w:ascii="Times New Roman" w:hAnsi="Times New Roman" w:cs="Times New Roman"/>
                <w:b w:val="0"/>
                <w:bCs/>
                <w:color w:val="auto"/>
                <w:spacing w:val="-4"/>
                <w:sz w:val="21"/>
                <w:szCs w:val="21"/>
                <w:highlight w:val="none"/>
                <w:lang w:eastAsia="zh-CN"/>
              </w:rPr>
              <w:t>监测要求如下：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废水监测计划表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752"/>
              <w:gridCol w:w="998"/>
              <w:gridCol w:w="40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监测内容</w:t>
                  </w:r>
                </w:p>
              </w:tc>
              <w:tc>
                <w:tcPr>
                  <w:tcW w:w="10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default" w:ascii="Times New Roman" w:hAnsi="Times New Roman" w:cs="Times New Roman"/>
                      <w:color w:val="auto"/>
                      <w:kern w:val="0"/>
                      <w:sz w:val="18"/>
                      <w:szCs w:val="18"/>
                      <w:highlight w:val="none"/>
                      <w:lang w:eastAsia="zh-CN"/>
                    </w:rPr>
                    <w:t>项目</w:t>
                  </w:r>
                </w:p>
              </w:tc>
              <w:tc>
                <w:tcPr>
                  <w:tcW w:w="61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监测频次</w:t>
                  </w:r>
                </w:p>
              </w:tc>
              <w:tc>
                <w:tcPr>
                  <w:tcW w:w="2491"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3"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生活污水</w:t>
                  </w:r>
                </w:p>
              </w:tc>
              <w:tc>
                <w:tcPr>
                  <w:tcW w:w="108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COD、SS、NH</w:t>
                  </w:r>
                  <w:r>
                    <w:rPr>
                      <w:rFonts w:hint="default" w:ascii="Times New Roman" w:hAnsi="Times New Roman" w:cs="Times New Roman"/>
                      <w:color w:val="auto"/>
                      <w:kern w:val="0"/>
                      <w:sz w:val="18"/>
                      <w:szCs w:val="18"/>
                      <w:highlight w:val="none"/>
                      <w:vertAlign w:val="subscript"/>
                      <w:lang w:val="en-US" w:eastAsia="zh-CN"/>
                    </w:rPr>
                    <w:t>3</w:t>
                  </w:r>
                  <w:r>
                    <w:rPr>
                      <w:rFonts w:hint="default" w:ascii="Times New Roman" w:hAnsi="Times New Roman" w:cs="Times New Roman"/>
                      <w:color w:val="auto"/>
                      <w:kern w:val="0"/>
                      <w:sz w:val="18"/>
                      <w:szCs w:val="18"/>
                      <w:highlight w:val="none"/>
                      <w:lang w:val="en-US" w:eastAsia="zh-CN"/>
                    </w:rPr>
                    <w:t>-N、TP、TN</w:t>
                  </w:r>
                </w:p>
              </w:tc>
              <w:tc>
                <w:tcPr>
                  <w:tcW w:w="61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r>
                    <w:rPr>
                      <w:rFonts w:hint="default" w:ascii="Times New Roman" w:hAnsi="Times New Roman" w:cs="Times New Roman"/>
                      <w:color w:val="auto"/>
                      <w:kern w:val="0"/>
                      <w:sz w:val="18"/>
                      <w:szCs w:val="18"/>
                      <w:highlight w:val="none"/>
                      <w:lang w:eastAsia="zh-CN"/>
                    </w:rPr>
                    <w:t>次</w:t>
                  </w:r>
                  <w:r>
                    <w:rPr>
                      <w:rFonts w:hint="default" w:ascii="Times New Roman" w:hAnsi="Times New Roman" w:cs="Times New Roman"/>
                      <w:color w:val="auto"/>
                      <w:kern w:val="0"/>
                      <w:sz w:val="18"/>
                      <w:szCs w:val="18"/>
                      <w:highlight w:val="none"/>
                      <w:lang w:val="en-US" w:eastAsia="zh-CN"/>
                    </w:rPr>
                    <w:t>/年</w:t>
                  </w:r>
                </w:p>
              </w:tc>
              <w:tc>
                <w:tcPr>
                  <w:tcW w:w="2491"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zh-CN"/>
                    </w:rPr>
                  </w:pPr>
                  <w:r>
                    <w:rPr>
                      <w:rFonts w:hint="default" w:ascii="Times New Roman" w:hAnsi="Times New Roman" w:cs="Times New Roman"/>
                      <w:bCs/>
                      <w:color w:val="auto"/>
                      <w:sz w:val="18"/>
                      <w:szCs w:val="18"/>
                      <w:highlight w:val="none"/>
                      <w:lang w:val="zh-CN"/>
                    </w:rPr>
                    <w:t>《合成树脂工业污染物排放标准》（GB31572-2015）表2标准以及新乡市凤泉区污水处理厂收水标准（取严）</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3、</w:t>
            </w:r>
            <w:r>
              <w:rPr>
                <w:rFonts w:hint="default" w:ascii="Times New Roman" w:hAnsi="Times New Roman" w:cs="Times New Roman"/>
                <w:b/>
                <w:color w:val="auto"/>
                <w:kern w:val="0"/>
                <w:sz w:val="21"/>
                <w:szCs w:val="21"/>
                <w:highlight w:val="none"/>
              </w:rPr>
              <w:t>噪声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
                <w:bCs/>
                <w:color w:val="auto"/>
                <w:kern w:val="0"/>
                <w:szCs w:val="21"/>
                <w:highlight w:val="none"/>
                <w:lang w:val="en-US" w:eastAsia="zh-CN"/>
              </w:rPr>
              <w:t>3.1</w:t>
            </w:r>
            <w:r>
              <w:rPr>
                <w:rFonts w:hint="default" w:ascii="Times New Roman" w:hAnsi="Times New Roman" w:cs="Times New Roman"/>
                <w:b/>
                <w:bCs/>
                <w:color w:val="auto"/>
                <w:kern w:val="0"/>
                <w:szCs w:val="21"/>
                <w:highlight w:val="none"/>
              </w:rPr>
              <w:t>噪声污染源及治理措施</w:t>
            </w:r>
          </w:p>
          <w:p>
            <w:pPr>
              <w:bidi w:val="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项目噪声主要来自生产过程中</w:t>
            </w:r>
            <w:r>
              <w:rPr>
                <w:rFonts w:hint="default" w:ascii="Times New Roman" w:hAnsi="Times New Roman" w:cs="Times New Roman"/>
                <w:bCs/>
                <w:color w:val="auto"/>
                <w:kern w:val="0"/>
                <w:szCs w:val="21"/>
                <w:highlight w:val="none"/>
                <w:lang w:eastAsia="zh-CN"/>
              </w:rPr>
              <w:t>注塑机、破碎机等</w:t>
            </w:r>
            <w:r>
              <w:rPr>
                <w:rFonts w:hint="default" w:ascii="Times New Roman" w:hAnsi="Times New Roman" w:cs="Times New Roman"/>
                <w:bCs/>
                <w:color w:val="auto"/>
                <w:kern w:val="0"/>
                <w:szCs w:val="21"/>
                <w:highlight w:val="none"/>
              </w:rPr>
              <w:t>高噪声设备运行产生的</w:t>
            </w:r>
            <w:r>
              <w:rPr>
                <w:rFonts w:hint="default" w:ascii="Times New Roman" w:hAnsi="Times New Roman" w:cs="Times New Roman"/>
                <w:bCs/>
                <w:color w:val="auto"/>
                <w:kern w:val="0"/>
                <w:szCs w:val="21"/>
                <w:highlight w:val="none"/>
                <w:lang w:eastAsia="zh-CN"/>
              </w:rPr>
              <w:t>机械</w:t>
            </w:r>
            <w:r>
              <w:rPr>
                <w:rFonts w:hint="default" w:ascii="Times New Roman" w:hAnsi="Times New Roman" w:cs="Times New Roman"/>
                <w:bCs/>
                <w:color w:val="auto"/>
                <w:kern w:val="0"/>
                <w:szCs w:val="21"/>
                <w:highlight w:val="none"/>
              </w:rPr>
              <w:t>噪声</w:t>
            </w:r>
            <w:r>
              <w:rPr>
                <w:rFonts w:hint="default" w:ascii="Times New Roman" w:hAnsi="Times New Roman" w:cs="Times New Roman"/>
                <w:bCs/>
                <w:color w:val="auto"/>
                <w:kern w:val="0"/>
                <w:szCs w:val="21"/>
                <w:highlight w:val="none"/>
                <w:lang w:eastAsia="zh-CN"/>
              </w:rPr>
              <w:t>和风机工作产生的空气动力噪声</w:t>
            </w:r>
            <w:r>
              <w:rPr>
                <w:rFonts w:hint="default" w:ascii="Times New Roman" w:hAnsi="Times New Roman" w:cs="Times New Roman"/>
                <w:bCs/>
                <w:color w:val="auto"/>
                <w:kern w:val="0"/>
                <w:szCs w:val="21"/>
                <w:highlight w:val="none"/>
              </w:rPr>
              <w:t>。通过设置减振基础</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厂房隔声</w:t>
            </w:r>
            <w:r>
              <w:rPr>
                <w:rFonts w:hint="default" w:ascii="Times New Roman" w:hAnsi="Times New Roman" w:cs="Times New Roman"/>
                <w:bCs/>
                <w:color w:val="auto"/>
                <w:kern w:val="0"/>
                <w:szCs w:val="21"/>
                <w:highlight w:val="none"/>
                <w:lang w:eastAsia="zh-CN"/>
              </w:rPr>
              <w:t>、安装隔声罩</w:t>
            </w:r>
            <w:r>
              <w:rPr>
                <w:rFonts w:hint="default" w:ascii="Times New Roman" w:hAnsi="Times New Roman" w:cs="Times New Roman"/>
                <w:bCs/>
                <w:color w:val="auto"/>
                <w:kern w:val="0"/>
                <w:szCs w:val="21"/>
                <w:highlight w:val="none"/>
              </w:rPr>
              <w:t>等措施。</w:t>
            </w:r>
            <w:r>
              <w:rPr>
                <w:rFonts w:hint="default" w:ascii="Times New Roman" w:hAnsi="Times New Roman" w:cs="Times New Roman"/>
                <w:bCs/>
                <w:color w:val="auto"/>
                <w:kern w:val="0"/>
                <w:szCs w:val="21"/>
                <w:highlight w:val="none"/>
                <w:lang w:eastAsia="zh-CN"/>
              </w:rPr>
              <w:t>本项目</w:t>
            </w:r>
            <w:r>
              <w:rPr>
                <w:rFonts w:hint="default" w:ascii="Times New Roman" w:hAnsi="Times New Roman" w:cs="Times New Roman"/>
                <w:bCs/>
                <w:color w:val="auto"/>
                <w:kern w:val="0"/>
                <w:szCs w:val="21"/>
                <w:highlight w:val="none"/>
              </w:rPr>
              <w:t>主要设备的噪声值及经过降噪措施处理后的噪声值见下表。</w:t>
            </w: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ind w:left="0" w:leftChars="0" w:firstLine="0" w:firstLineChars="0"/>
              <w:rPr>
                <w:rFonts w:hint="default" w:ascii="Times New Roman" w:hAnsi="Times New Roman" w:cs="Times New Roman"/>
                <w:color w:val="auto"/>
                <w:lang w:eastAsia="zh-CN"/>
              </w:rPr>
            </w:pPr>
          </w:p>
        </w:tc>
      </w:tr>
    </w:tbl>
    <w:p>
      <w:pPr>
        <w:rPr>
          <w:rFonts w:hint="default" w:ascii="Times New Roman" w:hAnsi="Times New Roman" w:cs="Times New Roman"/>
          <w:color w:val="auto"/>
          <w:highlight w:val="gree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4" w:hRule="atLeast"/>
        </w:trPr>
        <w:tc>
          <w:tcPr>
            <w:tcW w:w="13450" w:type="dxa"/>
          </w:tcPr>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工业企业室内噪声源强及治理情况一览表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00"/>
              <w:gridCol w:w="553"/>
              <w:gridCol w:w="1576"/>
              <w:gridCol w:w="437"/>
              <w:gridCol w:w="1358"/>
              <w:gridCol w:w="1107"/>
              <w:gridCol w:w="728"/>
              <w:gridCol w:w="728"/>
              <w:gridCol w:w="736"/>
              <w:gridCol w:w="789"/>
              <w:gridCol w:w="996"/>
              <w:gridCol w:w="585"/>
              <w:gridCol w:w="993"/>
              <w:gridCol w:w="1094"/>
              <w:gridCol w:w="11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序号</w:t>
                  </w:r>
                </w:p>
              </w:tc>
              <w:tc>
                <w:tcPr>
                  <w:tcW w:w="209"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建筑物名称</w:t>
                  </w:r>
                </w:p>
              </w:tc>
              <w:tc>
                <w:tcPr>
                  <w:tcW w:w="59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声源名称</w:t>
                  </w:r>
                </w:p>
              </w:tc>
              <w:tc>
                <w:tcPr>
                  <w:tcW w:w="16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设置</w:t>
                  </w:r>
                </w:p>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位置</w:t>
                  </w:r>
                </w:p>
              </w:tc>
              <w:tc>
                <w:tcPr>
                  <w:tcW w:w="513"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声功率级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418"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声源控制措施</w:t>
                  </w:r>
                </w:p>
              </w:tc>
              <w:tc>
                <w:tcPr>
                  <w:tcW w:w="828" w:type="pct"/>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空间相对位置</w:t>
                  </w:r>
                  <w:r>
                    <w:rPr>
                      <w:rFonts w:hint="default" w:ascii="Times New Roman" w:hAnsi="Times New Roman" w:eastAsia="宋体" w:cs="Times New Roman"/>
                      <w:b w:val="0"/>
                      <w:bCs/>
                      <w:color w:val="auto"/>
                      <w:kern w:val="0"/>
                      <w:sz w:val="18"/>
                      <w:szCs w:val="18"/>
                      <w:highlight w:val="none"/>
                      <w:vertAlign w:val="baseline"/>
                      <w:lang w:val="en-US" w:eastAsia="zh-CN"/>
                    </w:rPr>
                    <w:t>/m</w:t>
                  </w:r>
                </w:p>
              </w:tc>
              <w:tc>
                <w:tcPr>
                  <w:tcW w:w="298"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距室内边界距离</w:t>
                  </w:r>
                  <w:r>
                    <w:rPr>
                      <w:rFonts w:hint="default" w:ascii="Times New Roman" w:hAnsi="Times New Roman" w:eastAsia="宋体" w:cs="Times New Roman"/>
                      <w:b w:val="0"/>
                      <w:bCs/>
                      <w:color w:val="auto"/>
                      <w:kern w:val="0"/>
                      <w:sz w:val="18"/>
                      <w:szCs w:val="18"/>
                      <w:highlight w:val="none"/>
                      <w:vertAlign w:val="baseline"/>
                      <w:lang w:val="en-US" w:eastAsia="zh-CN"/>
                    </w:rPr>
                    <w:t>/m</w:t>
                  </w:r>
                </w:p>
              </w:tc>
              <w:tc>
                <w:tcPr>
                  <w:tcW w:w="376"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室内边界声级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22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运行</w:t>
                  </w:r>
                </w:p>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时段</w:t>
                  </w:r>
                </w:p>
              </w:tc>
              <w:tc>
                <w:tcPr>
                  <w:tcW w:w="37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建筑物插入损失</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847" w:type="pct"/>
                  <w:gridSpan w:val="2"/>
                  <w:tcBorders>
                    <w:bottom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209"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59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16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513"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41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27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X</w:t>
                  </w:r>
                </w:p>
              </w:tc>
              <w:tc>
                <w:tcPr>
                  <w:tcW w:w="27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Y</w:t>
                  </w:r>
                </w:p>
              </w:tc>
              <w:tc>
                <w:tcPr>
                  <w:tcW w:w="27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Z</w:t>
                  </w:r>
                </w:p>
              </w:tc>
              <w:tc>
                <w:tcPr>
                  <w:tcW w:w="29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376"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22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37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413" w:type="pct"/>
                  <w:tcBorders>
                    <w:top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声压级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434" w:type="pct"/>
                  <w:tcBorders>
                    <w:top w:val="single" w:color="000000" w:sz="4" w:space="0"/>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建筑物外距离/m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1</w:t>
                  </w:r>
                </w:p>
              </w:tc>
              <w:tc>
                <w:tcPr>
                  <w:tcW w:w="209"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生产</w:t>
                  </w:r>
                </w:p>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车间</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注塑机</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rPr>
                    <w:t>台，按点声源组预测）</w:t>
                  </w:r>
                </w:p>
              </w:tc>
              <w:tc>
                <w:tcPr>
                  <w:tcW w:w="16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1F</w:t>
                  </w:r>
                </w:p>
              </w:tc>
              <w:tc>
                <w:tcPr>
                  <w:tcW w:w="5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val="en-US" w:eastAsia="zh-CN"/>
                    </w:rPr>
                    <w:t>98.5（等效后）</w:t>
                  </w:r>
                </w:p>
              </w:tc>
              <w:tc>
                <w:tcPr>
                  <w:tcW w:w="41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rPr>
                  </w:pPr>
                  <w:r>
                    <w:rPr>
                      <w:rFonts w:hint="default" w:ascii="Times New Roman" w:hAnsi="Times New Roman" w:cs="Times New Roman"/>
                      <w:b w:val="0"/>
                      <w:bCs w:val="0"/>
                      <w:color w:val="auto"/>
                      <w:sz w:val="18"/>
                      <w:szCs w:val="18"/>
                      <w:highlight w:val="none"/>
                      <w:lang w:eastAsia="zh-CN"/>
                    </w:rPr>
                    <w:t>室内布置、</w:t>
                  </w:r>
                  <w:r>
                    <w:rPr>
                      <w:rFonts w:hint="default" w:ascii="Times New Roman" w:hAnsi="Times New Roman" w:cs="Times New Roman"/>
                      <w:b w:val="0"/>
                      <w:bCs w:val="0"/>
                      <w:color w:val="auto"/>
                      <w:sz w:val="18"/>
                      <w:szCs w:val="18"/>
                      <w:highlight w:val="none"/>
                    </w:rPr>
                    <w:t>基础减振、厂房隔声</w:t>
                  </w:r>
                </w:p>
              </w:tc>
              <w:tc>
                <w:tcPr>
                  <w:tcW w:w="275"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20</w:t>
                  </w:r>
                </w:p>
              </w:tc>
              <w:tc>
                <w:tcPr>
                  <w:tcW w:w="275"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w:t>
                  </w:r>
                </w:p>
              </w:tc>
              <w:tc>
                <w:tcPr>
                  <w:tcW w:w="278"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2.5</w:t>
                  </w:r>
                </w:p>
              </w:tc>
              <w:tc>
                <w:tcPr>
                  <w:tcW w:w="29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4</w:t>
                  </w:r>
                </w:p>
              </w:tc>
              <w:tc>
                <w:tcPr>
                  <w:tcW w:w="37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86.5</w:t>
                  </w:r>
                </w:p>
              </w:tc>
              <w:tc>
                <w:tcPr>
                  <w:tcW w:w="2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频发</w:t>
                  </w:r>
                </w:p>
              </w:tc>
              <w:tc>
                <w:tcPr>
                  <w:tcW w:w="37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25</w:t>
                  </w:r>
                </w:p>
              </w:tc>
              <w:tc>
                <w:tcPr>
                  <w:tcW w:w="413"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55.5</w:t>
                  </w:r>
                </w:p>
              </w:tc>
              <w:tc>
                <w:tcPr>
                  <w:tcW w:w="434" w:type="pct"/>
                  <w:vMerge w:val="restar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东侧：2m</w:t>
                  </w:r>
                </w:p>
                <w:p>
                  <w:pPr>
                    <w:keepLines w:val="0"/>
                    <w:pageBreakBefore w:val="0"/>
                    <w:widowControl w:val="0"/>
                    <w:kinsoku/>
                    <w:wordWrap/>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南侧：3m</w:t>
                  </w:r>
                </w:p>
                <w:p>
                  <w:pPr>
                    <w:pStyle w:val="2"/>
                    <w:keepLines w:val="0"/>
                    <w:pageBreakBefore w:val="0"/>
                    <w:widowControl w:val="0"/>
                    <w:kinsoku/>
                    <w:wordWrap/>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北侧：12m</w:t>
                  </w:r>
                </w:p>
                <w:p>
                  <w:pPr>
                    <w:keepLines w:val="0"/>
                    <w:pageBreakBefore w:val="0"/>
                    <w:widowControl w:val="0"/>
                    <w:kinsoku/>
                    <w:wordWrap/>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西侧：2m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209"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color w:val="auto"/>
                      <w:sz w:val="18"/>
                      <w:szCs w:val="18"/>
                      <w:highlight w:val="none"/>
                      <w:lang w:val="en-US" w:eastAsia="zh-CN"/>
                    </w:rPr>
                    <w:t>牙线自动注塑成型机</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台，按点声源组预测）</w:t>
                  </w:r>
                </w:p>
              </w:tc>
              <w:tc>
                <w:tcPr>
                  <w:tcW w:w="16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1F</w:t>
                  </w:r>
                </w:p>
              </w:tc>
              <w:tc>
                <w:tcPr>
                  <w:tcW w:w="5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cs="Times New Roman"/>
                      <w:b w:val="0"/>
                      <w:bCs/>
                      <w:color w:val="auto"/>
                      <w:sz w:val="18"/>
                      <w:szCs w:val="18"/>
                      <w:highlight w:val="none"/>
                      <w:lang w:val="en-US" w:eastAsia="zh-CN"/>
                    </w:rPr>
                    <w:t>98.5（等效后）</w:t>
                  </w:r>
                </w:p>
              </w:tc>
              <w:tc>
                <w:tcPr>
                  <w:tcW w:w="41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val="0"/>
                      <w:color w:val="auto"/>
                      <w:kern w:val="0"/>
                      <w:sz w:val="18"/>
                      <w:szCs w:val="18"/>
                      <w:highlight w:val="none"/>
                    </w:rPr>
                  </w:pPr>
                </w:p>
              </w:tc>
              <w:tc>
                <w:tcPr>
                  <w:tcW w:w="275"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18</w:t>
                  </w:r>
                </w:p>
              </w:tc>
              <w:tc>
                <w:tcPr>
                  <w:tcW w:w="275"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8</w:t>
                  </w:r>
                </w:p>
              </w:tc>
              <w:tc>
                <w:tcPr>
                  <w:tcW w:w="278"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2.5</w:t>
                  </w:r>
                </w:p>
              </w:tc>
              <w:tc>
                <w:tcPr>
                  <w:tcW w:w="29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4</w:t>
                  </w:r>
                </w:p>
              </w:tc>
              <w:tc>
                <w:tcPr>
                  <w:tcW w:w="37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86.5</w:t>
                  </w:r>
                </w:p>
              </w:tc>
              <w:tc>
                <w:tcPr>
                  <w:tcW w:w="2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green"/>
                      <w:lang w:val="en-US" w:eastAsia="zh-CN" w:bidi="ar-SA"/>
                    </w:rPr>
                  </w:pPr>
                  <w:r>
                    <w:rPr>
                      <w:rFonts w:hint="default" w:ascii="Times New Roman" w:hAnsi="Times New Roman" w:cs="Times New Roman"/>
                      <w:color w:val="auto"/>
                      <w:kern w:val="2"/>
                      <w:sz w:val="18"/>
                      <w:szCs w:val="18"/>
                      <w:highlight w:val="none"/>
                      <w:lang w:val="en-US" w:eastAsia="zh-CN" w:bidi="ar-SA"/>
                    </w:rPr>
                    <w:t>频发</w:t>
                  </w:r>
                </w:p>
              </w:tc>
              <w:tc>
                <w:tcPr>
                  <w:tcW w:w="37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25</w:t>
                  </w:r>
                </w:p>
              </w:tc>
              <w:tc>
                <w:tcPr>
                  <w:tcW w:w="413"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55.5</w:t>
                  </w:r>
                </w:p>
              </w:tc>
              <w:tc>
                <w:tcPr>
                  <w:tcW w:w="434"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default" w:ascii="Times New Roman" w:hAnsi="Times New Roman" w:cs="Times New Roman"/>
                      <w:b w:val="0"/>
                      <w:bCs/>
                      <w:color w:val="auto"/>
                      <w:kern w:val="0"/>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209"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color w:val="auto"/>
                      <w:kern w:val="2"/>
                      <w:sz w:val="18"/>
                      <w:szCs w:val="18"/>
                      <w:highlight w:val="none"/>
                      <w:lang w:val="en-US" w:eastAsia="zh-CN" w:bidi="ar-SA"/>
                    </w:rPr>
                    <w:t>破碎机</w:t>
                  </w:r>
                  <w:r>
                    <w:rPr>
                      <w:rFonts w:hint="default" w:ascii="Times New Roman" w:hAnsi="Times New Roman" w:cs="Times New Roman"/>
                      <w:color w:val="auto"/>
                      <w:kern w:val="2"/>
                      <w:sz w:val="18"/>
                      <w:szCs w:val="18"/>
                      <w:highlight w:val="none"/>
                      <w:lang w:val="en-US" w:eastAsia="zh-CN" w:bidi="ar-SA"/>
                    </w:rPr>
                    <w:t>（9</w:t>
                  </w:r>
                  <w:r>
                    <w:rPr>
                      <w:rFonts w:hint="default" w:ascii="Times New Roman" w:hAnsi="Times New Roman" w:cs="Times New Roman"/>
                      <w:color w:val="auto"/>
                      <w:sz w:val="18"/>
                      <w:szCs w:val="18"/>
                      <w:highlight w:val="none"/>
                    </w:rPr>
                    <w:t>台，按点声源组预测</w:t>
                  </w:r>
                  <w:r>
                    <w:rPr>
                      <w:rFonts w:hint="default" w:ascii="Times New Roman" w:hAnsi="Times New Roman" w:cs="Times New Roman"/>
                      <w:color w:val="auto"/>
                      <w:kern w:val="2"/>
                      <w:sz w:val="18"/>
                      <w:szCs w:val="18"/>
                      <w:highlight w:val="none"/>
                      <w:lang w:val="en-US" w:eastAsia="zh-CN" w:bidi="ar-SA"/>
                    </w:rPr>
                    <w:t>）</w:t>
                  </w:r>
                </w:p>
              </w:tc>
              <w:tc>
                <w:tcPr>
                  <w:tcW w:w="16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1F</w:t>
                  </w:r>
                </w:p>
              </w:tc>
              <w:tc>
                <w:tcPr>
                  <w:tcW w:w="5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104.5</w:t>
                  </w:r>
                  <w:r>
                    <w:rPr>
                      <w:rFonts w:hint="default" w:ascii="Times New Roman" w:hAnsi="Times New Roman" w:cs="Times New Roman"/>
                      <w:b w:val="0"/>
                      <w:bCs/>
                      <w:color w:val="auto"/>
                      <w:sz w:val="18"/>
                      <w:szCs w:val="18"/>
                      <w:highlight w:val="none"/>
                      <w:lang w:val="en-US" w:eastAsia="zh-CN"/>
                    </w:rPr>
                    <w:t>（等效后）</w:t>
                  </w:r>
                </w:p>
              </w:tc>
              <w:tc>
                <w:tcPr>
                  <w:tcW w:w="41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val="0"/>
                      <w:color w:val="auto"/>
                      <w:kern w:val="0"/>
                      <w:sz w:val="18"/>
                      <w:szCs w:val="18"/>
                      <w:highlight w:val="none"/>
                    </w:rPr>
                  </w:pPr>
                </w:p>
              </w:tc>
              <w:tc>
                <w:tcPr>
                  <w:tcW w:w="275"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18</w:t>
                  </w:r>
                </w:p>
              </w:tc>
              <w:tc>
                <w:tcPr>
                  <w:tcW w:w="275"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5</w:t>
                  </w:r>
                </w:p>
              </w:tc>
              <w:tc>
                <w:tcPr>
                  <w:tcW w:w="278"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1.2</w:t>
                  </w:r>
                </w:p>
              </w:tc>
              <w:tc>
                <w:tcPr>
                  <w:tcW w:w="29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7</w:t>
                  </w:r>
                </w:p>
              </w:tc>
              <w:tc>
                <w:tcPr>
                  <w:tcW w:w="37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87.6</w:t>
                  </w:r>
                </w:p>
              </w:tc>
              <w:tc>
                <w:tcPr>
                  <w:tcW w:w="2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green"/>
                      <w:lang w:val="en-US" w:eastAsia="zh-CN" w:bidi="ar-SA"/>
                    </w:rPr>
                  </w:pPr>
                  <w:r>
                    <w:rPr>
                      <w:rFonts w:hint="default" w:ascii="Times New Roman" w:hAnsi="Times New Roman" w:cs="Times New Roman"/>
                      <w:color w:val="auto"/>
                      <w:kern w:val="2"/>
                      <w:sz w:val="18"/>
                      <w:szCs w:val="18"/>
                      <w:highlight w:val="none"/>
                      <w:lang w:val="en-US" w:eastAsia="zh-CN" w:bidi="ar-SA"/>
                    </w:rPr>
                    <w:t>频发</w:t>
                  </w:r>
                </w:p>
              </w:tc>
              <w:tc>
                <w:tcPr>
                  <w:tcW w:w="37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25</w:t>
                  </w:r>
                </w:p>
              </w:tc>
              <w:tc>
                <w:tcPr>
                  <w:tcW w:w="413"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56.6</w:t>
                  </w:r>
                </w:p>
              </w:tc>
              <w:tc>
                <w:tcPr>
                  <w:tcW w:w="434"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default" w:ascii="Times New Roman" w:hAnsi="Times New Roman" w:cs="Times New Roman"/>
                      <w:b w:val="0"/>
                      <w:bCs/>
                      <w:color w:val="auto"/>
                      <w:kern w:val="0"/>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209"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cs="Times New Roman"/>
                      <w:color w:val="auto"/>
                      <w:kern w:val="2"/>
                      <w:sz w:val="18"/>
                      <w:szCs w:val="18"/>
                      <w:highlight w:val="none"/>
                      <w:lang w:val="zh-CN" w:eastAsia="en-US" w:bidi="ar-SA"/>
                    </w:rPr>
                    <w:t>真空泵</w:t>
                  </w:r>
                  <w:r>
                    <w:rPr>
                      <w:rFonts w:hint="default" w:ascii="Times New Roman" w:hAnsi="Times New Roman" w:cs="Times New Roman"/>
                      <w:color w:val="auto"/>
                      <w:kern w:val="2"/>
                      <w:sz w:val="18"/>
                      <w:szCs w:val="18"/>
                      <w:highlight w:val="none"/>
                      <w:lang w:val="en-US" w:eastAsia="zh-CN" w:bidi="ar-SA"/>
                    </w:rPr>
                    <w:t>（</w:t>
                  </w:r>
                  <w:r>
                    <w:rPr>
                      <w:rFonts w:hint="default"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台，按点声源组预测</w:t>
                  </w:r>
                  <w:r>
                    <w:rPr>
                      <w:rFonts w:hint="default" w:ascii="Times New Roman" w:hAnsi="Times New Roman" w:cs="Times New Roman"/>
                      <w:color w:val="auto"/>
                      <w:kern w:val="2"/>
                      <w:sz w:val="18"/>
                      <w:szCs w:val="18"/>
                      <w:highlight w:val="none"/>
                      <w:lang w:val="en-US" w:eastAsia="zh-CN" w:bidi="ar-SA"/>
                    </w:rPr>
                    <w:t>）</w:t>
                  </w:r>
                </w:p>
              </w:tc>
              <w:tc>
                <w:tcPr>
                  <w:tcW w:w="16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kern w:val="2"/>
                      <w:sz w:val="18"/>
                      <w:szCs w:val="18"/>
                      <w:highlight w:val="none"/>
                      <w:lang w:val="zh-CN" w:eastAsia="en-US" w:bidi="ar-SA"/>
                    </w:rPr>
                  </w:pPr>
                  <w:r>
                    <w:rPr>
                      <w:rFonts w:hint="default" w:ascii="Times New Roman" w:hAnsi="Times New Roman" w:cs="Times New Roman"/>
                      <w:color w:val="auto"/>
                      <w:sz w:val="18"/>
                      <w:szCs w:val="18"/>
                      <w:highlight w:val="none"/>
                      <w:lang w:val="en-US" w:eastAsia="zh-CN"/>
                    </w:rPr>
                    <w:t>1F</w:t>
                  </w:r>
                </w:p>
              </w:tc>
              <w:tc>
                <w:tcPr>
                  <w:tcW w:w="5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kern w:val="2"/>
                      <w:sz w:val="18"/>
                      <w:szCs w:val="18"/>
                      <w:highlight w:val="none"/>
                      <w:lang w:val="en-US" w:eastAsia="zh-CN" w:bidi="ar-SA"/>
                    </w:rPr>
                    <w:t>101</w:t>
                  </w:r>
                  <w:r>
                    <w:rPr>
                      <w:rFonts w:hint="default" w:ascii="Times New Roman" w:hAnsi="Times New Roman" w:cs="Times New Roman"/>
                      <w:b w:val="0"/>
                      <w:bCs/>
                      <w:color w:val="auto"/>
                      <w:sz w:val="18"/>
                      <w:szCs w:val="18"/>
                      <w:highlight w:val="none"/>
                      <w:lang w:val="en-US" w:eastAsia="zh-CN"/>
                    </w:rPr>
                    <w:t>（等效后）</w:t>
                  </w:r>
                </w:p>
              </w:tc>
              <w:tc>
                <w:tcPr>
                  <w:tcW w:w="41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cs="Times New Roman"/>
                      <w:b w:val="0"/>
                      <w:bCs w:val="0"/>
                      <w:color w:val="auto"/>
                      <w:kern w:val="0"/>
                      <w:sz w:val="18"/>
                      <w:szCs w:val="18"/>
                      <w:highlight w:val="none"/>
                      <w:lang w:eastAsia="zh-CN"/>
                    </w:rPr>
                    <w:t>安装隔声罩</w:t>
                  </w:r>
                </w:p>
              </w:tc>
              <w:tc>
                <w:tcPr>
                  <w:tcW w:w="275"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25</w:t>
                  </w:r>
                </w:p>
              </w:tc>
              <w:tc>
                <w:tcPr>
                  <w:tcW w:w="275"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10</w:t>
                  </w:r>
                </w:p>
              </w:tc>
              <w:tc>
                <w:tcPr>
                  <w:tcW w:w="278"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0.5</w:t>
                  </w:r>
                </w:p>
              </w:tc>
              <w:tc>
                <w:tcPr>
                  <w:tcW w:w="29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2</w:t>
                  </w:r>
                </w:p>
              </w:tc>
              <w:tc>
                <w:tcPr>
                  <w:tcW w:w="37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94.9</w:t>
                  </w:r>
                </w:p>
              </w:tc>
              <w:tc>
                <w:tcPr>
                  <w:tcW w:w="2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kern w:val="2"/>
                      <w:sz w:val="18"/>
                      <w:szCs w:val="18"/>
                      <w:highlight w:val="green"/>
                      <w:lang w:val="en-US" w:eastAsia="zh-CN" w:bidi="ar-SA"/>
                    </w:rPr>
                  </w:pPr>
                  <w:r>
                    <w:rPr>
                      <w:rFonts w:hint="default" w:ascii="Times New Roman" w:hAnsi="Times New Roman" w:cs="Times New Roman"/>
                      <w:color w:val="auto"/>
                      <w:kern w:val="2"/>
                      <w:sz w:val="18"/>
                      <w:szCs w:val="18"/>
                      <w:highlight w:val="none"/>
                      <w:lang w:val="en-US" w:eastAsia="zh-CN" w:bidi="ar-SA"/>
                    </w:rPr>
                    <w:t>频发</w:t>
                  </w:r>
                </w:p>
              </w:tc>
              <w:tc>
                <w:tcPr>
                  <w:tcW w:w="37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25</w:t>
                  </w:r>
                </w:p>
              </w:tc>
              <w:tc>
                <w:tcPr>
                  <w:tcW w:w="413"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63.9</w:t>
                  </w:r>
                </w:p>
              </w:tc>
              <w:tc>
                <w:tcPr>
                  <w:tcW w:w="434"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right="0" w:rightChars="0" w:firstLine="0" w:firstLineChars="0"/>
                    <w:jc w:val="both"/>
                    <w:textAlignment w:val="auto"/>
                    <w:rPr>
                      <w:rFonts w:hint="default" w:ascii="Times New Roman" w:hAnsi="Times New Roman" w:cs="Times New Roman"/>
                      <w:b w:val="0"/>
                      <w:bCs/>
                      <w:color w:val="auto"/>
                      <w:kern w:val="0"/>
                      <w:sz w:val="18"/>
                      <w:szCs w:val="18"/>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209"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kern w:val="2"/>
                      <w:sz w:val="18"/>
                      <w:szCs w:val="18"/>
                      <w:highlight w:val="none"/>
                      <w:lang w:val="zh-CN" w:eastAsia="en-US" w:bidi="ar-SA"/>
                    </w:rPr>
                  </w:pPr>
                  <w:r>
                    <w:rPr>
                      <w:rFonts w:hint="default" w:ascii="Times New Roman" w:hAnsi="Times New Roman" w:cs="Times New Roman"/>
                      <w:color w:val="auto"/>
                      <w:kern w:val="2"/>
                      <w:sz w:val="18"/>
                      <w:szCs w:val="18"/>
                      <w:highlight w:val="none"/>
                      <w:lang w:val="zh-CN" w:eastAsia="en-US" w:bidi="ar-SA"/>
                    </w:rPr>
                    <w:t>风机（</w:t>
                  </w:r>
                  <w:r>
                    <w:rPr>
                      <w:rFonts w:hint="default" w:ascii="Times New Roman" w:hAnsi="Times New Roman" w:cs="Times New Roman"/>
                      <w:color w:val="auto"/>
                      <w:kern w:val="2"/>
                      <w:sz w:val="18"/>
                      <w:szCs w:val="18"/>
                      <w:highlight w:val="none"/>
                      <w:lang w:val="en-US" w:eastAsia="zh-CN" w:bidi="ar-SA"/>
                    </w:rPr>
                    <w:t>2台，</w:t>
                  </w:r>
                  <w:r>
                    <w:rPr>
                      <w:rFonts w:hint="default" w:ascii="Times New Roman" w:hAnsi="Times New Roman" w:cs="Times New Roman"/>
                      <w:color w:val="auto"/>
                      <w:sz w:val="18"/>
                      <w:szCs w:val="18"/>
                      <w:highlight w:val="none"/>
                    </w:rPr>
                    <w:t>按点声源组预测</w:t>
                  </w:r>
                  <w:r>
                    <w:rPr>
                      <w:rFonts w:hint="default" w:ascii="Times New Roman" w:hAnsi="Times New Roman" w:cs="Times New Roman"/>
                      <w:color w:val="auto"/>
                      <w:kern w:val="2"/>
                      <w:sz w:val="18"/>
                      <w:szCs w:val="18"/>
                      <w:highlight w:val="none"/>
                      <w:lang w:val="zh-CN" w:eastAsia="en-US" w:bidi="ar-SA"/>
                    </w:rPr>
                    <w:t>）</w:t>
                  </w:r>
                </w:p>
              </w:tc>
              <w:tc>
                <w:tcPr>
                  <w:tcW w:w="16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2F</w:t>
                  </w:r>
                </w:p>
              </w:tc>
              <w:tc>
                <w:tcPr>
                  <w:tcW w:w="5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color w:val="auto"/>
                      <w:kern w:val="2"/>
                      <w:sz w:val="18"/>
                      <w:szCs w:val="18"/>
                      <w:highlight w:val="none"/>
                      <w:lang w:val="en-US" w:eastAsia="zh-CN" w:bidi="ar-SA"/>
                    </w:rPr>
                  </w:pPr>
                  <w:r>
                    <w:rPr>
                      <w:rFonts w:hint="default" w:ascii="Times New Roman" w:hAnsi="Times New Roman" w:cs="Times New Roman"/>
                      <w:b w:val="0"/>
                      <w:bCs/>
                      <w:color w:val="auto"/>
                      <w:kern w:val="2"/>
                      <w:sz w:val="18"/>
                      <w:szCs w:val="18"/>
                      <w:highlight w:val="none"/>
                      <w:lang w:val="en-US" w:eastAsia="zh-CN" w:bidi="ar-SA"/>
                    </w:rPr>
                    <w:t>98</w:t>
                  </w:r>
                  <w:r>
                    <w:rPr>
                      <w:rFonts w:hint="default" w:ascii="Times New Roman" w:hAnsi="Times New Roman" w:cs="Times New Roman"/>
                      <w:b w:val="0"/>
                      <w:bCs/>
                      <w:color w:val="auto"/>
                      <w:sz w:val="18"/>
                      <w:szCs w:val="18"/>
                      <w:highlight w:val="none"/>
                      <w:lang w:val="en-US" w:eastAsia="zh-CN"/>
                    </w:rPr>
                    <w:t>（等效后）</w:t>
                  </w:r>
                </w:p>
              </w:tc>
              <w:tc>
                <w:tcPr>
                  <w:tcW w:w="41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cs="Times New Roman"/>
                      <w:b w:val="0"/>
                      <w:bCs w:val="0"/>
                      <w:color w:val="auto"/>
                      <w:kern w:val="0"/>
                      <w:sz w:val="18"/>
                      <w:szCs w:val="18"/>
                      <w:highlight w:val="none"/>
                      <w:lang w:eastAsia="zh-CN"/>
                    </w:rPr>
                  </w:pPr>
                  <w:r>
                    <w:rPr>
                      <w:rFonts w:hint="default" w:ascii="Times New Roman" w:hAnsi="Times New Roman" w:cs="Times New Roman"/>
                      <w:b w:val="0"/>
                      <w:bCs w:val="0"/>
                      <w:color w:val="auto"/>
                      <w:kern w:val="0"/>
                      <w:sz w:val="18"/>
                      <w:szCs w:val="18"/>
                      <w:highlight w:val="none"/>
                      <w:lang w:eastAsia="zh-CN"/>
                    </w:rPr>
                    <w:t>安装隔声罩</w:t>
                  </w:r>
                </w:p>
              </w:tc>
              <w:tc>
                <w:tcPr>
                  <w:tcW w:w="275"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35</w:t>
                  </w:r>
                </w:p>
              </w:tc>
              <w:tc>
                <w:tcPr>
                  <w:tcW w:w="275"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5</w:t>
                  </w:r>
                </w:p>
              </w:tc>
              <w:tc>
                <w:tcPr>
                  <w:tcW w:w="278"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0.5</w:t>
                  </w:r>
                </w:p>
              </w:tc>
              <w:tc>
                <w:tcPr>
                  <w:tcW w:w="29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10</w:t>
                  </w:r>
                </w:p>
              </w:tc>
              <w:tc>
                <w:tcPr>
                  <w:tcW w:w="37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bidi="ar-SA"/>
                    </w:rPr>
                  </w:pPr>
                  <w:r>
                    <w:rPr>
                      <w:rFonts w:hint="default" w:ascii="Times New Roman" w:hAnsi="Times New Roman" w:cs="Times New Roman"/>
                      <w:b w:val="0"/>
                      <w:bCs/>
                      <w:color w:val="auto"/>
                      <w:kern w:val="0"/>
                      <w:sz w:val="18"/>
                      <w:szCs w:val="18"/>
                      <w:highlight w:val="none"/>
                      <w:vertAlign w:val="baseline"/>
                      <w:lang w:val="en-US" w:eastAsia="zh-CN" w:bidi="ar-SA"/>
                    </w:rPr>
                    <w:t>78</w:t>
                  </w:r>
                </w:p>
              </w:tc>
              <w:tc>
                <w:tcPr>
                  <w:tcW w:w="2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频发</w:t>
                  </w:r>
                </w:p>
              </w:tc>
              <w:tc>
                <w:tcPr>
                  <w:tcW w:w="37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25</w:t>
                  </w:r>
                </w:p>
              </w:tc>
              <w:tc>
                <w:tcPr>
                  <w:tcW w:w="413"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49</w:t>
                  </w:r>
                </w:p>
              </w:tc>
              <w:tc>
                <w:tcPr>
                  <w:tcW w:w="434"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default" w:ascii="Times New Roman" w:hAnsi="Times New Roman" w:cs="Times New Roman"/>
                      <w:b w:val="0"/>
                      <w:bCs/>
                      <w:color w:val="auto"/>
                      <w:kern w:val="0"/>
                      <w:sz w:val="18"/>
                      <w:szCs w:val="18"/>
                      <w:highlight w:val="none"/>
                      <w:vertAlign w:val="baseline"/>
                      <w:lang w:val="en-US" w:eastAsia="zh-CN"/>
                    </w:rPr>
                  </w:pPr>
                </w:p>
              </w:tc>
            </w:tr>
          </w:tbl>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 xml:space="preserve"> 工业企业室外噪声源强及治理情况一览表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5"/>
              <w:gridCol w:w="1091"/>
              <w:gridCol w:w="1027"/>
              <w:gridCol w:w="892"/>
              <w:gridCol w:w="892"/>
              <w:gridCol w:w="895"/>
              <w:gridCol w:w="3177"/>
              <w:gridCol w:w="3537"/>
              <w:gridCol w:w="10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6"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序号</w:t>
                  </w:r>
                </w:p>
              </w:tc>
              <w:tc>
                <w:tcPr>
                  <w:tcW w:w="412" w:type="pct"/>
                  <w:vMerge w:val="restar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声源名称</w:t>
                  </w:r>
                </w:p>
              </w:tc>
              <w:tc>
                <w:tcPr>
                  <w:tcW w:w="388"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型号</w:t>
                  </w:r>
                </w:p>
              </w:tc>
              <w:tc>
                <w:tcPr>
                  <w:tcW w:w="1012" w:type="pct"/>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空间相对位置</w:t>
                  </w:r>
                  <w:r>
                    <w:rPr>
                      <w:rFonts w:hint="default" w:ascii="Times New Roman" w:hAnsi="Times New Roman" w:eastAsia="宋体" w:cs="Times New Roman"/>
                      <w:b w:val="0"/>
                      <w:bCs/>
                      <w:color w:val="auto"/>
                      <w:kern w:val="0"/>
                      <w:sz w:val="18"/>
                      <w:szCs w:val="18"/>
                      <w:highlight w:val="none"/>
                      <w:vertAlign w:val="baseline"/>
                      <w:lang w:val="en-US" w:eastAsia="zh-CN"/>
                    </w:rPr>
                    <w:t>/m</w:t>
                  </w:r>
                </w:p>
              </w:tc>
              <w:tc>
                <w:tcPr>
                  <w:tcW w:w="120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val="en-US" w:eastAsia="zh-CN"/>
                    </w:rPr>
                    <w:t>声源源强</w:t>
                  </w:r>
                </w:p>
              </w:tc>
              <w:tc>
                <w:tcPr>
                  <w:tcW w:w="1336"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声源控制措施</w:t>
                  </w:r>
                </w:p>
              </w:tc>
              <w:tc>
                <w:tcPr>
                  <w:tcW w:w="413"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运行时段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6"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412"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388"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33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val="en-US" w:eastAsia="zh-CN"/>
                    </w:rPr>
                    <w:t>X</w:t>
                  </w:r>
                </w:p>
              </w:tc>
              <w:tc>
                <w:tcPr>
                  <w:tcW w:w="33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Y</w:t>
                  </w:r>
                </w:p>
              </w:tc>
              <w:tc>
                <w:tcPr>
                  <w:tcW w:w="33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default" w:ascii="Times New Roman" w:hAnsi="Times New Roman" w:eastAsia="宋体" w:cs="Times New Roman"/>
                      <w:b w:val="0"/>
                      <w:bCs/>
                      <w:color w:val="auto"/>
                      <w:kern w:val="0"/>
                      <w:sz w:val="18"/>
                      <w:szCs w:val="18"/>
                      <w:highlight w:val="none"/>
                      <w:lang w:val="en-US" w:eastAsia="zh-CN"/>
                    </w:rPr>
                    <w:t>Z</w:t>
                  </w:r>
                </w:p>
              </w:tc>
              <w:tc>
                <w:tcPr>
                  <w:tcW w:w="120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声功率级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1336"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c>
                <w:tcPr>
                  <w:tcW w:w="413"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w:t>
                  </w:r>
                </w:p>
              </w:tc>
              <w:tc>
                <w:tcPr>
                  <w:tcW w:w="412"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kern w:val="2"/>
                      <w:sz w:val="18"/>
                      <w:szCs w:val="18"/>
                      <w:highlight w:val="none"/>
                      <w:lang w:val="en-US" w:eastAsia="zh-CN" w:bidi="ar-SA"/>
                    </w:rPr>
                    <w:t>泵机</w:t>
                  </w:r>
                </w:p>
              </w:tc>
              <w:tc>
                <w:tcPr>
                  <w:tcW w:w="388"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cs="Times New Roman"/>
                      <w:b w:val="0"/>
                      <w:bCs w:val="0"/>
                      <w:color w:val="auto"/>
                      <w:kern w:val="0"/>
                      <w:sz w:val="18"/>
                      <w:szCs w:val="18"/>
                      <w:highlight w:val="none"/>
                      <w:vertAlign w:val="baseline"/>
                      <w:lang w:val="en-US" w:eastAsia="zh-CN"/>
                    </w:rPr>
                    <w:t>/</w:t>
                  </w:r>
                </w:p>
              </w:tc>
              <w:tc>
                <w:tcPr>
                  <w:tcW w:w="337"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15</w:t>
                  </w:r>
                </w:p>
              </w:tc>
              <w:tc>
                <w:tcPr>
                  <w:tcW w:w="337"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21</w:t>
                  </w:r>
                </w:p>
              </w:tc>
              <w:tc>
                <w:tcPr>
                  <w:tcW w:w="338"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0.3</w:t>
                  </w:r>
                </w:p>
              </w:tc>
              <w:tc>
                <w:tcPr>
                  <w:tcW w:w="120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Times New Roman" w:hAnsi="Times New Roman" w:cs="Times New Roman"/>
                      <w:b w:val="0"/>
                      <w:bCs/>
                      <w:color w:val="auto"/>
                      <w:kern w:val="0"/>
                      <w:sz w:val="18"/>
                      <w:szCs w:val="18"/>
                      <w:highlight w:val="none"/>
                      <w:vertAlign w:val="baseline"/>
                      <w:lang w:val="en-US" w:eastAsia="zh-CN"/>
                    </w:rPr>
                  </w:pPr>
                  <w:r>
                    <w:rPr>
                      <w:rFonts w:hint="default" w:ascii="Times New Roman" w:hAnsi="Times New Roman" w:cs="Times New Roman"/>
                      <w:b w:val="0"/>
                      <w:bCs/>
                      <w:color w:val="auto"/>
                      <w:kern w:val="0"/>
                      <w:sz w:val="18"/>
                      <w:szCs w:val="18"/>
                      <w:highlight w:val="none"/>
                      <w:vertAlign w:val="baseline"/>
                      <w:lang w:val="en-US" w:eastAsia="zh-CN"/>
                    </w:rPr>
                    <w:t>95</w:t>
                  </w:r>
                </w:p>
              </w:tc>
              <w:tc>
                <w:tcPr>
                  <w:tcW w:w="133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安装隔声罩，设置减振基础</w:t>
                  </w:r>
                </w:p>
              </w:tc>
              <w:tc>
                <w:tcPr>
                  <w:tcW w:w="4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频发</w:t>
                  </w:r>
                </w:p>
              </w:tc>
            </w:tr>
          </w:tbl>
          <w:p>
            <w:pPr>
              <w:pStyle w:val="21"/>
              <w:ind w:left="0" w:leftChars="0" w:firstLine="0" w:firstLineChars="0"/>
              <w:rPr>
                <w:rFonts w:hint="default" w:ascii="Times New Roman" w:hAnsi="Times New Roman" w:eastAsia="宋体" w:cs="Times New Roman"/>
                <w:color w:val="auto"/>
                <w:highlight w:val="green"/>
                <w:vertAlign w:val="baseline"/>
                <w:lang w:eastAsia="zh-CN"/>
              </w:rPr>
            </w:pPr>
          </w:p>
        </w:tc>
      </w:tr>
    </w:tbl>
    <w:p>
      <w:pPr>
        <w:pStyle w:val="21"/>
        <w:rPr>
          <w:rFonts w:hint="default" w:ascii="Times New Roman" w:hAnsi="Times New Roman" w:cs="Times New Roman"/>
          <w:color w:val="auto"/>
          <w:highlight w:val="green"/>
        </w:rPr>
        <w:sectPr>
          <w:pgSz w:w="16840" w:h="11907" w:orient="landscape"/>
          <w:pgMar w:top="1440" w:right="1803" w:bottom="1440" w:left="1803"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8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highlight w:val="green"/>
                <w:vertAlign w:val="baseline"/>
              </w:rPr>
            </w:pPr>
            <w:r>
              <w:rPr>
                <w:rFonts w:hint="default" w:ascii="Times New Roman" w:hAnsi="Times New Roman" w:cs="Times New Roman"/>
                <w:bCs/>
                <w:color w:val="auto"/>
                <w:szCs w:val="21"/>
                <w:highlight w:val="none"/>
              </w:rPr>
              <w:t>措施</w:t>
            </w:r>
          </w:p>
        </w:tc>
        <w:tc>
          <w:tcPr>
            <w:tcW w:w="8475" w:type="dxa"/>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3.2 噪声影响分析</w:t>
            </w:r>
          </w:p>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3.2.1</w:t>
            </w:r>
            <w:r>
              <w:rPr>
                <w:rFonts w:hint="default" w:ascii="Times New Roman" w:hAnsi="Times New Roman" w:cs="Times New Roman"/>
                <w:b/>
                <w:bCs/>
                <w:color w:val="auto"/>
                <w:sz w:val="21"/>
                <w:szCs w:val="21"/>
                <w:highlight w:val="none"/>
              </w:rPr>
              <w:t xml:space="preserve">预测范围及点位 </w:t>
            </w:r>
          </w:p>
          <w:p>
            <w:pPr>
              <w:pStyle w:val="7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噪声预测范围为：预测</w:t>
            </w:r>
            <w:r>
              <w:rPr>
                <w:rFonts w:hint="default" w:ascii="Times New Roman" w:hAnsi="Times New Roman" w:cs="Times New Roman"/>
                <w:color w:val="auto"/>
                <w:sz w:val="21"/>
                <w:szCs w:val="21"/>
                <w:highlight w:val="none"/>
                <w:lang w:eastAsia="zh-CN"/>
              </w:rPr>
              <w:t>厂界</w:t>
            </w:r>
            <w:r>
              <w:rPr>
                <w:rFonts w:hint="default" w:ascii="Times New Roman" w:hAnsi="Times New Roman" w:cs="Times New Roman"/>
                <w:color w:val="auto"/>
                <w:sz w:val="21"/>
                <w:szCs w:val="21"/>
                <w:highlight w:val="none"/>
              </w:rPr>
              <w:t>外1m</w:t>
            </w:r>
            <w:r>
              <w:rPr>
                <w:rFonts w:hint="default" w:ascii="Times New Roman" w:hAnsi="Times New Roman" w:cs="Times New Roman"/>
                <w:color w:val="auto"/>
                <w:sz w:val="21"/>
                <w:szCs w:val="21"/>
                <w:highlight w:val="none"/>
                <w:lang w:eastAsia="zh-CN"/>
              </w:rPr>
              <w:t>处</w:t>
            </w:r>
            <w:r>
              <w:rPr>
                <w:rFonts w:hint="default" w:ascii="Times New Roman" w:hAnsi="Times New Roman" w:cs="Times New Roman"/>
                <w:color w:val="auto"/>
                <w:sz w:val="21"/>
                <w:szCs w:val="21"/>
                <w:highlight w:val="none"/>
              </w:rPr>
              <w:t xml:space="preserve">； </w:t>
            </w:r>
          </w:p>
          <w:p>
            <w:pPr>
              <w:pStyle w:val="7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预测点位：东、南、西、北四厂界噪声。</w:t>
            </w:r>
          </w:p>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3.2.2</w:t>
            </w:r>
            <w:r>
              <w:rPr>
                <w:rFonts w:hint="default" w:ascii="Times New Roman" w:hAnsi="Times New Roman" w:cs="Times New Roman"/>
                <w:b/>
                <w:bCs/>
                <w:color w:val="auto"/>
                <w:sz w:val="21"/>
                <w:szCs w:val="21"/>
                <w:highlight w:val="none"/>
              </w:rPr>
              <w:t>预测因子</w:t>
            </w:r>
          </w:p>
          <w:p>
            <w:pPr>
              <w:pStyle w:val="7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生产车间边界</w:t>
            </w:r>
            <w:r>
              <w:rPr>
                <w:rFonts w:hint="default" w:ascii="Times New Roman" w:hAnsi="Times New Roman" w:cs="Times New Roman"/>
                <w:color w:val="auto"/>
                <w:sz w:val="21"/>
                <w:szCs w:val="21"/>
                <w:highlight w:val="none"/>
              </w:rPr>
              <w:t>噪声预测因子：等效连续A声级。</w:t>
            </w:r>
          </w:p>
          <w:p>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3.2.3</w:t>
            </w:r>
            <w:r>
              <w:rPr>
                <w:rFonts w:hint="default" w:ascii="Times New Roman" w:hAnsi="Times New Roman" w:cs="Times New Roman"/>
                <w:b/>
                <w:bCs/>
                <w:color w:val="auto"/>
                <w:sz w:val="21"/>
                <w:szCs w:val="21"/>
                <w:highlight w:val="none"/>
              </w:rPr>
              <w:t>预测模式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预测模式采用《环境影响评价技术导则——声环境》</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HJ2.4-2021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中推荐的模型。噪声在传播过程中受到多种因素的干扰，使其产生衰减，根据建设项目噪声源和环境特征，预测过程中考虑了建筑物的屏障作用、空气吸收。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室内声源采用等效室外声源声功率级法进行计算，设靠近开口处（或窗户）室内、室外某倍频带的声压级或A声级分比为</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color w:val="auto"/>
                <w:sz w:val="21"/>
                <w:szCs w:val="21"/>
                <w:highlight w:val="none"/>
              </w:rPr>
              <w:t>和</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color w:val="auto"/>
                <w:sz w:val="21"/>
                <w:szCs w:val="21"/>
                <w:highlight w:val="none"/>
              </w:rPr>
              <w:t>。若声源所在室内声场为近似扩散声场，则室外的倍频带声压级可按下式近似求出：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i/>
                <w:iCs/>
                <w:color w:val="auto"/>
                <w:sz w:val="21"/>
                <w:szCs w:val="21"/>
                <w:highlight w:val="none"/>
              </w:rPr>
            </w:pP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i/>
                <w:iCs/>
                <w:color w:val="auto"/>
                <w:sz w:val="21"/>
                <w:szCs w:val="21"/>
                <w:highlight w:val="none"/>
              </w:rPr>
              <w:t xml:space="preserve"> 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i/>
                <w:iCs/>
                <w:color w:val="auto"/>
                <w:sz w:val="21"/>
                <w:szCs w:val="21"/>
                <w:highlight w:val="none"/>
              </w:rPr>
              <w:t>-（TL+6）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w:t>
            </w: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p1</w:t>
            </w:r>
            <w:r>
              <w:rPr>
                <w:rFonts w:hint="default" w:ascii="Times New Roman" w:hAnsi="Times New Roman" w:cs="Times New Roman"/>
                <w:color w:val="auto"/>
                <w:sz w:val="21"/>
                <w:szCs w:val="21"/>
                <w:highlight w:val="none"/>
              </w:rPr>
              <w:t>——靠近开口处（或窗户）室内某倍频带的声压级或A声级，dB；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638" w:firstLineChars="304"/>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z w:val="21"/>
                <w:szCs w:val="21"/>
                <w:highlight w:val="none"/>
              </w:rPr>
              <w:t>L</w:t>
            </w:r>
            <w:r>
              <w:rPr>
                <w:rFonts w:hint="default" w:ascii="Times New Roman" w:hAnsi="Times New Roman" w:cs="Times New Roman"/>
                <w:i/>
                <w:iCs/>
                <w:color w:val="auto"/>
                <w:sz w:val="21"/>
                <w:szCs w:val="21"/>
                <w:highlight w:val="none"/>
                <w:vertAlign w:val="subscript"/>
              </w:rPr>
              <w:t>p2</w:t>
            </w:r>
            <w:r>
              <w:rPr>
                <w:rFonts w:hint="default" w:ascii="Times New Roman" w:hAnsi="Times New Roman" w:cs="Times New Roman"/>
                <w:color w:val="auto"/>
                <w:sz w:val="21"/>
                <w:szCs w:val="21"/>
                <w:highlight w:val="none"/>
              </w:rPr>
              <w:t>——靠近开口处（或窗户）室外某倍频带的声压级或A声级，dB；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638" w:firstLineChars="304"/>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z w:val="21"/>
                <w:szCs w:val="21"/>
                <w:highlight w:val="none"/>
              </w:rPr>
              <w:t>TL</w:t>
            </w:r>
            <w:r>
              <w:rPr>
                <w:rFonts w:hint="default" w:ascii="Times New Roman" w:hAnsi="Times New Roman" w:cs="Times New Roman"/>
                <w:color w:val="auto"/>
                <w:sz w:val="21"/>
                <w:szCs w:val="21"/>
                <w:highlight w:val="none"/>
              </w:rPr>
              <w:t>——隔墙（或窗户）倍频带或A声级的隔音量，dB。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如下图所示。</w:t>
            </w:r>
          </w:p>
          <w:p>
            <w:pPr>
              <w:ind w:left="0" w:leftChars="0" w:right="0" w:rightChars="0" w:firstLine="0" w:firstLineChars="0"/>
              <w:jc w:val="center"/>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drawing>
                <wp:inline distT="0" distB="0" distL="114300" distR="114300">
                  <wp:extent cx="2867025" cy="1409700"/>
                  <wp:effectExtent l="9525" t="9525" r="19050" b="952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2"/>
                          <a:stretch>
                            <a:fillRect/>
                          </a:stretch>
                        </pic:blipFill>
                        <pic:spPr>
                          <a:xfrm>
                            <a:off x="0" y="0"/>
                            <a:ext cx="2867025" cy="1409700"/>
                          </a:xfrm>
                          <a:prstGeom prst="rect">
                            <a:avLst/>
                          </a:prstGeom>
                          <a:noFill/>
                          <a:ln>
                            <a:solidFill>
                              <a:schemeClr val="tx1"/>
                            </a:solidFill>
                          </a:ln>
                        </pic:spPr>
                      </pic:pic>
                    </a:graphicData>
                  </a:graphic>
                </wp:inline>
              </w:drawing>
            </w:r>
          </w:p>
          <w:p>
            <w:pPr>
              <w:pStyle w:val="28"/>
              <w:keepNext w:val="0"/>
              <w:keepLines w:val="0"/>
              <w:pageBreakBefore w:val="0"/>
              <w:widowControl w:val="0"/>
              <w:numPr>
                <w:ilvl w:val="0"/>
                <w:numId w:val="5"/>
              </w:numPr>
              <w:kinsoku/>
              <w:wordWrap/>
              <w:overflowPunct/>
              <w:topLinePunct w:val="0"/>
              <w:bidi w:val="0"/>
              <w:adjustRightInd/>
              <w:snapToGrid/>
              <w:spacing w:line="360" w:lineRule="auto"/>
              <w:ind w:left="900" w:leftChars="0" w:hanging="420" w:firstLineChars="0"/>
              <w:textAlignment w:val="auto"/>
              <w:rPr>
                <w:rFonts w:hint="default" w:ascii="Times New Roman" w:hAnsi="Times New Roman" w:eastAsia="黑体" w:cs="Times New Roman"/>
                <w:b w:val="0"/>
                <w:bCs/>
                <w:color w:val="auto"/>
                <w:kern w:val="2"/>
                <w:sz w:val="21"/>
                <w:szCs w:val="24"/>
                <w:highlight w:val="none"/>
                <w:lang w:val="en-US" w:eastAsia="zh-CN" w:bidi="ar-SA"/>
              </w:rPr>
            </w:pPr>
            <w:r>
              <w:rPr>
                <w:rFonts w:hint="default" w:ascii="Times New Roman" w:hAnsi="Times New Roman" w:eastAsia="黑体" w:cs="Times New Roman"/>
                <w:b w:val="0"/>
                <w:bCs/>
                <w:color w:val="auto"/>
                <w:kern w:val="2"/>
                <w:sz w:val="21"/>
                <w:szCs w:val="24"/>
                <w:highlight w:val="none"/>
                <w:lang w:val="en-US" w:eastAsia="zh-CN" w:bidi="ar-SA"/>
              </w:rPr>
              <w:t>室内声源等效为室外声源图例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●室外点声源利用点源衰减公式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it-IT"/>
              </w:rPr>
            </w:pPr>
            <w:r>
              <w:rPr>
                <w:rFonts w:hint="default" w:ascii="Times New Roman" w:hAnsi="Times New Roman" w:cs="Times New Roman"/>
                <w:color w:val="auto"/>
                <w:kern w:val="0"/>
                <w:sz w:val="21"/>
                <w:szCs w:val="21"/>
                <w:highlight w:val="none"/>
                <w:lang w:val="it-IT"/>
              </w:rPr>
              <w:t>LA（r）=LA(r</w:t>
            </w:r>
            <w:r>
              <w:rPr>
                <w:rFonts w:hint="default" w:ascii="Times New Roman" w:hAnsi="Times New Roman" w:cs="Times New Roman"/>
                <w:color w:val="auto"/>
                <w:kern w:val="0"/>
                <w:sz w:val="21"/>
                <w:szCs w:val="21"/>
                <w:highlight w:val="none"/>
                <w:vertAlign w:val="subscript"/>
                <w:lang w:val="it-IT"/>
              </w:rPr>
              <w:t>0</w:t>
            </w:r>
            <w:r>
              <w:rPr>
                <w:rFonts w:hint="default" w:ascii="Times New Roman" w:hAnsi="Times New Roman" w:cs="Times New Roman"/>
                <w:color w:val="auto"/>
                <w:kern w:val="0"/>
                <w:sz w:val="21"/>
                <w:szCs w:val="21"/>
                <w:highlight w:val="none"/>
                <w:lang w:val="it-IT"/>
              </w:rPr>
              <w:t>)</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lang w:val="it-IT"/>
              </w:rPr>
              <w:t>20lgr/r</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lang w:val="it-IT"/>
              </w:rPr>
              <w:t>8</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式中LA(r)、LA(r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)分别是距声源、r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处的A声级值。</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●户外建筑物的声屏障效应</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声屏障的隔声效应与声源和接收点、屏障位置、屏障高度和屏障长度及结构性质有关，评价根据它们之间的距离、声音的频率（一般取500HZ）算出菲涅尔系数，然后再查表找出相对应的衰减值（dB）。菲涅尔系数的计算方法如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N=2（A+B+d）</w:t>
            </w:r>
            <w:r>
              <w:rPr>
                <w:rFonts w:hint="default" w:ascii="Times New Roman" w:hAnsi="Times New Roman" w:cs="Times New Roman"/>
                <w:color w:val="auto"/>
                <w:kern w:val="0"/>
                <w:sz w:val="21"/>
                <w:szCs w:val="21"/>
                <w:highlight w:val="none"/>
              </w:rPr>
              <w:sym w:font="Symbol" w:char="F06C"/>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式中：A—是声源与屏障顶端的距离；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638" w:firstLineChars="304"/>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B—是接收点与屏障顶端的距离；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638" w:firstLineChars="304"/>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d—是声源与接收点间的距离；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638" w:firstLineChars="304"/>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sym w:font="Symbol" w:char="F06C"/>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声波</w:t>
            </w:r>
            <w:r>
              <w:rPr>
                <w:rFonts w:hint="default" w:ascii="Times New Roman" w:hAnsi="Times New Roman" w:cs="Times New Roman"/>
                <w:color w:val="auto"/>
                <w:kern w:val="0"/>
                <w:sz w:val="21"/>
                <w:szCs w:val="21"/>
                <w:highlight w:val="none"/>
              </w:rPr>
              <w:t>波长。</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●空气吸收引起的衰减（Aatm）</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空气吸收引起的衰减按以下公式计算：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Aatm=a（r</w:t>
            </w:r>
            <w:r>
              <w:rPr>
                <w:rFonts w:hint="default" w:ascii="Times New Roman" w:hAnsi="Times New Roman" w:cs="Times New Roman"/>
                <w:color w:val="auto"/>
                <w:kern w:val="0"/>
                <w:sz w:val="21"/>
                <w:szCs w:val="21"/>
                <w:highlight w:val="none"/>
              </w:rPr>
              <w:sym w:font="Symbol" w:char="F02D"/>
            </w:r>
            <w:r>
              <w:rPr>
                <w:rFonts w:hint="default" w:ascii="Times New Roman" w:hAnsi="Times New Roman" w:cs="Times New Roman"/>
                <w:color w:val="auto"/>
                <w:kern w:val="0"/>
                <w:sz w:val="21"/>
                <w:szCs w:val="21"/>
                <w:highlight w:val="none"/>
              </w:rPr>
              <w:t>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）1000</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式中：a为温度、湿度和声波频率的函数，预测计算中一般根据建设项目所处区域常年平均气温和湿度选择相应的空气吸收系数</w:t>
            </w:r>
            <w:r>
              <w:rPr>
                <w:rFonts w:hint="default" w:ascii="Times New Roman" w:hAnsi="Times New Roman" w:cs="Times New Roman"/>
                <w:color w:val="auto"/>
                <w:kern w:val="0"/>
                <w:sz w:val="21"/>
                <w:szCs w:val="21"/>
                <w:highlight w:val="none"/>
                <w:lang w:eastAsia="zh-CN"/>
              </w:rPr>
              <w:t>，见下表</w:t>
            </w:r>
            <w:r>
              <w:rPr>
                <w:rFonts w:hint="eastAsia" w:ascii="Times New Roman" w:hAnsi="Times New Roman" w:cs="Times New Roman"/>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420" w:leftChars="200" w:firstLine="420" w:firstLineChars="20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r为预测点距声源的距离；</w:t>
            </w:r>
          </w:p>
          <w:p>
            <w:pPr>
              <w:keepNext w:val="0"/>
              <w:keepLines w:val="0"/>
              <w:pageBreakBefore w:val="0"/>
              <w:widowControl/>
              <w:kinsoku/>
              <w:wordWrap/>
              <w:overflowPunct/>
              <w:topLinePunct w:val="0"/>
              <w:autoSpaceDE/>
              <w:autoSpaceDN/>
              <w:bidi w:val="0"/>
              <w:adjustRightInd/>
              <w:snapToGrid/>
              <w:spacing w:line="360" w:lineRule="auto"/>
              <w:ind w:left="420" w:leftChars="200"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r</w:t>
            </w:r>
            <w:r>
              <w:rPr>
                <w:rFonts w:hint="default" w:ascii="Times New Roman" w:hAnsi="Times New Roman" w:cs="Times New Roman"/>
                <w:color w:val="auto"/>
                <w:kern w:val="0"/>
                <w:sz w:val="21"/>
                <w:szCs w:val="21"/>
                <w:highlight w:val="none"/>
                <w:vertAlign w:val="subscript"/>
                <w:lang w:val="en-US" w:eastAsia="zh-CN"/>
              </w:rPr>
              <w:t>0</w:t>
            </w:r>
            <w:r>
              <w:rPr>
                <w:rFonts w:hint="default" w:ascii="Times New Roman" w:hAnsi="Times New Roman" w:cs="Times New Roman"/>
                <w:color w:val="auto"/>
                <w:kern w:val="0"/>
                <w:sz w:val="21"/>
                <w:szCs w:val="21"/>
                <w:highlight w:val="none"/>
                <w:lang w:val="en-US" w:eastAsia="zh-CN"/>
              </w:rPr>
              <w:t>为参考位置距声源的距离。</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倍频带噪声的大气吸收衰减系数</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104"/>
              <w:gridCol w:w="1053"/>
              <w:gridCol w:w="1016"/>
              <w:gridCol w:w="1109"/>
              <w:gridCol w:w="1016"/>
              <w:gridCol w:w="1018"/>
              <w:gridCol w:w="9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6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相对湿度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74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大气吸收衰减系数a，dB/km，倍频带中心频率Hz</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250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500</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0.4</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1.9</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3.7</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7.4</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0.6</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2.7</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2.2</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2.4</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8.3</w:t>
                  </w:r>
                </w:p>
              </w:tc>
            </w:tr>
          </w:tbl>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3.2.4</w:t>
            </w:r>
            <w:r>
              <w:rPr>
                <w:rFonts w:hint="default" w:ascii="Times New Roman" w:hAnsi="Times New Roman" w:cs="Times New Roman"/>
                <w:b/>
                <w:bCs/>
                <w:color w:val="auto"/>
                <w:kern w:val="0"/>
                <w:sz w:val="21"/>
                <w:szCs w:val="21"/>
                <w:highlight w:val="none"/>
              </w:rPr>
              <w:t>参数选取</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w:t>
            </w:r>
            <w:r>
              <w:rPr>
                <w:rFonts w:hint="default" w:ascii="Times New Roman" w:hAnsi="Times New Roman" w:cs="Times New Roman"/>
                <w:color w:val="auto"/>
                <w:kern w:val="0"/>
                <w:sz w:val="21"/>
                <w:szCs w:val="21"/>
                <w:highlight w:val="none"/>
                <w:lang w:eastAsia="zh-CN"/>
              </w:rPr>
              <w:t>位于新乡市凤泉区，</w:t>
            </w:r>
            <w:r>
              <w:rPr>
                <w:rFonts w:hint="default" w:ascii="Times New Roman" w:hAnsi="Times New Roman" w:cs="Times New Roman"/>
                <w:color w:val="auto"/>
                <w:kern w:val="0"/>
                <w:sz w:val="21"/>
                <w:szCs w:val="21"/>
                <w:highlight w:val="none"/>
              </w:rPr>
              <w:t>所在区域的年平均温度为</w:t>
            </w:r>
            <w:r>
              <w:rPr>
                <w:rFonts w:hint="default" w:ascii="Times New Roman" w:hAnsi="Times New Roman" w:cs="Times New Roman"/>
                <w:color w:val="auto"/>
                <w:kern w:val="0"/>
                <w:sz w:val="21"/>
                <w:szCs w:val="21"/>
                <w:highlight w:val="none"/>
                <w:lang w:val="en-US" w:eastAsia="zh-CN"/>
              </w:rPr>
              <w:t>14</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年均</w:t>
            </w:r>
            <w:r>
              <w:rPr>
                <w:rFonts w:hint="default" w:ascii="Times New Roman" w:hAnsi="Times New Roman" w:cs="Times New Roman"/>
                <w:color w:val="auto"/>
                <w:kern w:val="0"/>
                <w:sz w:val="21"/>
                <w:szCs w:val="21"/>
                <w:highlight w:val="none"/>
              </w:rPr>
              <w:t>湿度为6</w:t>
            </w:r>
            <w:r>
              <w:rPr>
                <w:rFonts w:hint="default" w:ascii="Times New Roman" w:hAnsi="Times New Roman"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rPr>
              <w:t>%。计算过程考虑了建筑物的屏障作用和室内源向室外的传播。</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3.2.5</w:t>
            </w:r>
            <w:r>
              <w:rPr>
                <w:rFonts w:hint="default" w:ascii="Times New Roman" w:hAnsi="Times New Roman" w:cs="Times New Roman"/>
                <w:b/>
                <w:bCs/>
                <w:color w:val="auto"/>
                <w:kern w:val="0"/>
                <w:sz w:val="21"/>
                <w:szCs w:val="21"/>
                <w:highlight w:val="none"/>
              </w:rPr>
              <w:t>预测结果</w:t>
            </w:r>
          </w:p>
          <w:p>
            <w:pPr>
              <w:pStyle w:val="7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本项目为新建项目，每天仅昼间生产，因此本次评价仅对昼间噪声影响进行预测分析，</w:t>
            </w:r>
            <w:r>
              <w:rPr>
                <w:rFonts w:hint="default" w:ascii="Times New Roman" w:hAnsi="Times New Roman" w:cs="Times New Roman"/>
                <w:color w:val="auto"/>
                <w:kern w:val="0"/>
                <w:sz w:val="21"/>
                <w:szCs w:val="21"/>
                <w:highlight w:val="none"/>
              </w:rPr>
              <w:t>采用《噪声环境影响评价系统（NoiseSystem）》预测软件进行计算。场界噪声预测结果见</w:t>
            </w:r>
            <w:r>
              <w:rPr>
                <w:rFonts w:hint="default" w:ascii="Times New Roman" w:hAnsi="Times New Roman" w:cs="Times New Roman"/>
                <w:color w:val="auto"/>
                <w:kern w:val="0"/>
                <w:sz w:val="21"/>
                <w:szCs w:val="21"/>
                <w:highlight w:val="none"/>
                <w:lang w:eastAsia="zh-CN"/>
              </w:rPr>
              <w:t>下表</w:t>
            </w:r>
            <w:r>
              <w:rPr>
                <w:rFonts w:hint="default" w:ascii="Times New Roman" w:hAnsi="Times New Roman" w:cs="Times New Roman"/>
                <w:color w:val="auto"/>
                <w:kern w:val="0"/>
                <w:sz w:val="21"/>
                <w:szCs w:val="21"/>
                <w:highlight w:val="none"/>
              </w:rPr>
              <w:t>。</w:t>
            </w:r>
          </w:p>
          <w:p>
            <w:pPr>
              <w:pStyle w:val="7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green"/>
              </w:rPr>
            </w:pPr>
          </w:p>
          <w:p>
            <w:pPr>
              <w:pStyle w:val="7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green"/>
              </w:rPr>
            </w:pPr>
          </w:p>
          <w:p>
            <w:pPr>
              <w:pStyle w:val="78"/>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1"/>
                <w:szCs w:val="21"/>
                <w:highlight w:val="green"/>
              </w:rPr>
            </w:pP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厂界昼间噪声预测结果</w:t>
            </w:r>
          </w:p>
          <w:tbl>
            <w:tblPr>
              <w:tblStyle w:val="2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2357"/>
              <w:gridCol w:w="2201"/>
              <w:gridCol w:w="14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tcBorders>
                    <w:tl2br w:val="single" w:color="auto" w:sz="4" w:space="0"/>
                  </w:tcBorders>
                  <w:noWrap w:val="0"/>
                  <w:vAlign w:val="bottom"/>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righ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eastAsia="宋体" w:cs="Times New Roman"/>
                      <w:color w:val="auto"/>
                      <w:sz w:val="18"/>
                      <w:szCs w:val="18"/>
                      <w:highlight w:val="none"/>
                    </w:rPr>
                    <w:t xml:space="preserve">  项目</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预测点位</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贡献值dB（A）</w:t>
                  </w:r>
                </w:p>
              </w:tc>
              <w:tc>
                <w:tcPr>
                  <w:tcW w:w="13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eastAsia="zh-CN"/>
                    </w:rPr>
                    <w:t>昼间</w:t>
                  </w:r>
                  <w:r>
                    <w:rPr>
                      <w:rFonts w:hint="default" w:ascii="Times New Roman" w:hAnsi="Times New Roman" w:eastAsia="宋体" w:cs="Times New Roman"/>
                      <w:color w:val="auto"/>
                      <w:sz w:val="18"/>
                      <w:szCs w:val="18"/>
                      <w:highlight w:val="none"/>
                    </w:rPr>
                    <w:t>标准dB（A）</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东厂界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56.2</w:t>
                  </w:r>
                </w:p>
              </w:tc>
              <w:tc>
                <w:tcPr>
                  <w:tcW w:w="13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西厂界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56.2</w:t>
                  </w:r>
                </w:p>
              </w:tc>
              <w:tc>
                <w:tcPr>
                  <w:tcW w:w="13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南厂界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59.6</w:t>
                  </w:r>
                </w:p>
              </w:tc>
              <w:tc>
                <w:tcPr>
                  <w:tcW w:w="13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北厂界</w:t>
                  </w:r>
                </w:p>
              </w:tc>
              <w:tc>
                <w:tcPr>
                  <w:tcW w:w="1428" w:type="pct"/>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45.7</w:t>
                  </w:r>
                </w:p>
              </w:tc>
              <w:tc>
                <w:tcPr>
                  <w:tcW w:w="13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w:t>
                  </w:r>
                </w:p>
              </w:tc>
              <w:tc>
                <w:tcPr>
                  <w:tcW w:w="90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pStyle w:val="28"/>
              <w:spacing w:line="360" w:lineRule="auto"/>
              <w:ind w:firstLine="420" w:firstLineChars="200"/>
              <w:jc w:val="both"/>
              <w:rPr>
                <w:rFonts w:hint="default" w:ascii="Times New Roman" w:hAnsi="Times New Roman" w:cs="Times New Roman"/>
                <w:b w:val="0"/>
                <w:bCs/>
                <w:color w:val="auto"/>
                <w:highlight w:val="none"/>
              </w:rPr>
            </w:pPr>
            <w:r>
              <w:rPr>
                <w:rFonts w:hint="default" w:ascii="Times New Roman" w:hAnsi="Times New Roman" w:eastAsia="宋体" w:cs="Times New Roman"/>
                <w:b w:val="0"/>
                <w:bCs/>
                <w:color w:val="auto"/>
                <w:sz w:val="21"/>
                <w:szCs w:val="21"/>
                <w:highlight w:val="none"/>
              </w:rPr>
              <w:t>由以上预测结果可知，项目营运期噪声经消声、隔声、减振及距离衰减后，项目厂界噪声值均可以满足《工业企业厂界环境噪声排放标准》（GB12348-2008）中的</w:t>
            </w:r>
            <w:r>
              <w:rPr>
                <w:rFonts w:hint="default" w:ascii="Times New Roman" w:hAnsi="Times New Roman"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类标准（昼间≤6</w:t>
            </w:r>
            <w:r>
              <w:rPr>
                <w:rFonts w:hint="default" w:ascii="Times New Roman" w:hAnsi="Times New Roman" w:eastAsia="宋体" w:cs="Times New Roman"/>
                <w:b w:val="0"/>
                <w:bCs/>
                <w:color w:val="auto"/>
                <w:sz w:val="21"/>
                <w:szCs w:val="21"/>
                <w:highlight w:val="none"/>
                <w:lang w:val="en-US" w:eastAsia="zh-CN"/>
              </w:rPr>
              <w:t>5</w:t>
            </w:r>
            <w:r>
              <w:rPr>
                <w:rFonts w:hint="default" w:ascii="Times New Roman" w:hAnsi="Times New Roman" w:eastAsia="宋体" w:cs="Times New Roman"/>
                <w:b w:val="0"/>
                <w:bCs/>
                <w:color w:val="auto"/>
                <w:sz w:val="21"/>
                <w:szCs w:val="21"/>
                <w:highlight w:val="none"/>
              </w:rPr>
              <w:t>dB（A））。</w:t>
            </w:r>
          </w:p>
          <w:p>
            <w:pPr>
              <w:pStyle w:val="2"/>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3.2.6</w:t>
            </w:r>
            <w:r>
              <w:rPr>
                <w:rFonts w:hint="default" w:ascii="Times New Roman" w:hAnsi="Times New Roman" w:cs="Times New Roman"/>
                <w:b/>
                <w:bCs/>
                <w:color w:val="auto"/>
                <w:highlight w:val="none"/>
              </w:rPr>
              <w:t>监测计划</w:t>
            </w:r>
          </w:p>
          <w:p>
            <w:pPr>
              <w:pStyle w:val="4"/>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right="0" w:rightChars="0" w:firstLine="420" w:firstLineChars="200"/>
              <w:textAlignment w:val="auto"/>
              <w:rPr>
                <w:rFonts w:hint="default" w:ascii="Times New Roman" w:hAnsi="Times New Roman" w:cs="Times New Roman"/>
                <w:b w:val="0"/>
                <w:bCs/>
                <w:color w:val="auto"/>
                <w:spacing w:val="-4"/>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eastAsia="zh-CN"/>
              </w:rPr>
              <w:t>参考《</w:t>
            </w:r>
            <w:r>
              <w:rPr>
                <w:rFonts w:hint="default" w:ascii="Times New Roman" w:hAnsi="Times New Roman" w:eastAsia="宋体" w:cs="Times New Roman"/>
                <w:b w:val="0"/>
                <w:bCs w:val="0"/>
                <w:color w:val="auto"/>
                <w:sz w:val="21"/>
                <w:szCs w:val="21"/>
                <w:highlight w:val="none"/>
                <w:lang w:val="en-US" w:eastAsia="zh-CN"/>
              </w:rPr>
              <w:t>排污单位自行监测技术指南 橡胶和塑料制品</w:t>
            </w:r>
            <w:r>
              <w:rPr>
                <w:rFonts w:hint="default" w:ascii="Times New Roman" w:hAnsi="Times New Roman" w:eastAsia="宋体" w:cs="Times New Roman"/>
                <w:b w:val="0"/>
                <w:bCs w:val="0"/>
                <w:color w:val="auto"/>
                <w:sz w:val="21"/>
                <w:szCs w:val="21"/>
                <w:highlight w:val="none"/>
                <w:vertAlign w:val="baseline"/>
                <w:lang w:eastAsia="zh-CN"/>
              </w:rPr>
              <w:t>》</w:t>
            </w:r>
            <w:r>
              <w:rPr>
                <w:rFonts w:hint="default" w:ascii="Times New Roman" w:hAnsi="Times New Roman" w:eastAsia="宋体" w:cs="Times New Roman"/>
                <w:b w:val="0"/>
                <w:bCs w:val="0"/>
                <w:color w:val="auto"/>
                <w:sz w:val="21"/>
                <w:szCs w:val="21"/>
                <w:highlight w:val="none"/>
                <w:lang w:val="en-US" w:eastAsia="zh-CN"/>
              </w:rPr>
              <w:t>（HJ 1207—2021）</w:t>
            </w:r>
            <w:r>
              <w:rPr>
                <w:rFonts w:hint="default" w:ascii="Times New Roman" w:hAnsi="Times New Roman" w:eastAsia="宋体" w:cs="Times New Roman"/>
                <w:b w:val="0"/>
                <w:bCs w:val="0"/>
                <w:color w:val="auto"/>
                <w:sz w:val="21"/>
                <w:szCs w:val="21"/>
                <w:highlight w:val="none"/>
                <w:vertAlign w:val="baseline"/>
                <w:lang w:eastAsia="zh-CN"/>
              </w:rPr>
              <w:t>相关要求，</w:t>
            </w:r>
            <w:r>
              <w:rPr>
                <w:rFonts w:hint="default" w:ascii="Times New Roman" w:hAnsi="Times New Roman" w:cs="Times New Roman"/>
                <w:b w:val="0"/>
                <w:bCs/>
                <w:color w:val="auto"/>
                <w:spacing w:val="-4"/>
                <w:sz w:val="21"/>
                <w:szCs w:val="21"/>
                <w:highlight w:val="none"/>
                <w:lang w:eastAsia="zh-CN"/>
              </w:rPr>
              <w:t>项目噪声监测要求如下：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噪声监测计划表</w:t>
            </w:r>
          </w:p>
          <w:tbl>
            <w:tblPr>
              <w:tblStyle w:val="22"/>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250"/>
              <w:gridCol w:w="1847"/>
              <w:gridCol w:w="1002"/>
              <w:gridCol w:w="3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监测内容</w:t>
                  </w:r>
                </w:p>
              </w:tc>
              <w:tc>
                <w:tcPr>
                  <w:tcW w:w="75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default" w:ascii="Times New Roman" w:hAnsi="Times New Roman" w:cs="Times New Roman"/>
                      <w:color w:val="auto"/>
                      <w:kern w:val="0"/>
                      <w:sz w:val="18"/>
                      <w:szCs w:val="18"/>
                      <w:highlight w:val="none"/>
                      <w:lang w:eastAsia="zh-CN"/>
                    </w:rPr>
                    <w:t>项目</w:t>
                  </w:r>
                </w:p>
              </w:tc>
              <w:tc>
                <w:tcPr>
                  <w:tcW w:w="111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监测点位</w:t>
                  </w:r>
                </w:p>
              </w:tc>
              <w:tc>
                <w:tcPr>
                  <w:tcW w:w="60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监测频次</w:t>
                  </w:r>
                </w:p>
              </w:tc>
              <w:tc>
                <w:tcPr>
                  <w:tcW w:w="1931"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噪声</w:t>
                  </w:r>
                </w:p>
              </w:tc>
              <w:tc>
                <w:tcPr>
                  <w:tcW w:w="75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等效A声级</w:t>
                  </w:r>
                </w:p>
              </w:tc>
              <w:tc>
                <w:tcPr>
                  <w:tcW w:w="111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厂界外1m处，东、西、南、北4个点位</w:t>
                  </w:r>
                </w:p>
              </w:tc>
              <w:tc>
                <w:tcPr>
                  <w:tcW w:w="607"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1次/季度</w:t>
                  </w:r>
                </w:p>
              </w:tc>
              <w:tc>
                <w:tcPr>
                  <w:tcW w:w="1931"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zh-CN"/>
                    </w:rPr>
                  </w:pPr>
                  <w:r>
                    <w:rPr>
                      <w:rFonts w:hint="default" w:ascii="Times New Roman" w:hAnsi="Times New Roman" w:eastAsia="宋体" w:cs="Times New Roman"/>
                      <w:color w:val="auto"/>
                      <w:sz w:val="18"/>
                      <w:szCs w:val="18"/>
                      <w:highlight w:val="none"/>
                    </w:rPr>
                    <w:t>《工业企业厂界环境噪声排放标准》（GB12348-2008）中的</w:t>
                  </w:r>
                  <w:r>
                    <w:rPr>
                      <w:rFonts w:hint="default" w:ascii="Times New Roman" w:hAnsi="Times New Roman"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类标准</w:t>
                  </w:r>
                </w:p>
              </w:tc>
            </w:tr>
          </w:tbl>
          <w:p>
            <w:pPr>
              <w:pStyle w:val="2"/>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固体废物</w:t>
            </w:r>
          </w:p>
          <w:p>
            <w:pPr>
              <w:pStyle w:val="2"/>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4.1</w:t>
            </w:r>
            <w:r>
              <w:rPr>
                <w:rFonts w:hint="default" w:ascii="Times New Roman" w:hAnsi="Times New Roman" w:cs="Times New Roman"/>
                <w:color w:val="auto"/>
                <w:highlight w:val="none"/>
              </w:rPr>
              <w:t>固体废物污染源及治理措施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根据《固体废物鉴别标准通则》（GB34330-2017）等文件要求对拟建项目的固体废物污染源强进行分析核算。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（1）</w:t>
            </w:r>
            <w:r>
              <w:rPr>
                <w:rFonts w:hint="default" w:ascii="Times New Roman" w:hAnsi="Times New Roman" w:eastAsia="宋体" w:cs="Times New Roman"/>
                <w:b w:val="0"/>
                <w:bCs w:val="0"/>
                <w:color w:val="auto"/>
                <w:kern w:val="0"/>
                <w:sz w:val="21"/>
                <w:szCs w:val="21"/>
                <w:highlight w:val="none"/>
                <w:lang w:val="en-US" w:eastAsia="zh-CN"/>
              </w:rPr>
              <w:t>袋式除尘器清理集尘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项目设置的</w:t>
            </w:r>
            <w:r>
              <w:rPr>
                <w:rFonts w:hint="default" w:ascii="Times New Roman" w:hAnsi="Times New Roman" w:cs="Times New Roman"/>
                <w:b w:val="0"/>
                <w:bCs w:val="0"/>
                <w:color w:val="auto"/>
                <w:kern w:val="0"/>
                <w:sz w:val="21"/>
                <w:szCs w:val="21"/>
                <w:highlight w:val="none"/>
                <w:lang w:val="en-US" w:eastAsia="zh-CN"/>
              </w:rPr>
              <w:t>脉冲</w:t>
            </w:r>
            <w:r>
              <w:rPr>
                <w:rFonts w:hint="default" w:ascii="Times New Roman" w:hAnsi="Times New Roman" w:eastAsia="宋体" w:cs="Times New Roman"/>
                <w:b w:val="0"/>
                <w:bCs w:val="0"/>
                <w:color w:val="auto"/>
                <w:kern w:val="0"/>
                <w:sz w:val="21"/>
                <w:szCs w:val="21"/>
                <w:highlight w:val="none"/>
                <w:lang w:val="en-US" w:eastAsia="zh-CN"/>
              </w:rPr>
              <w:t>袋式除尘器在定期清理过程会产生集尘，主要为</w:t>
            </w:r>
            <w:r>
              <w:rPr>
                <w:rFonts w:hint="default" w:ascii="Times New Roman" w:hAnsi="Times New Roman" w:cs="Times New Roman"/>
                <w:b w:val="0"/>
                <w:bCs w:val="0"/>
                <w:color w:val="auto"/>
                <w:kern w:val="0"/>
                <w:sz w:val="21"/>
                <w:szCs w:val="21"/>
                <w:highlight w:val="none"/>
                <w:lang w:val="en-US" w:eastAsia="zh-CN"/>
              </w:rPr>
              <w:t>塑料</w:t>
            </w:r>
            <w:r>
              <w:rPr>
                <w:rFonts w:hint="default" w:ascii="Times New Roman" w:hAnsi="Times New Roman" w:eastAsia="宋体" w:cs="Times New Roman"/>
                <w:b w:val="0"/>
                <w:bCs w:val="0"/>
                <w:color w:val="auto"/>
                <w:kern w:val="0"/>
                <w:sz w:val="21"/>
                <w:szCs w:val="21"/>
                <w:highlight w:val="none"/>
                <w:lang w:val="en-US" w:eastAsia="zh-CN"/>
              </w:rPr>
              <w:t>颗粒，均属于一般固废，经计算产生量约为</w:t>
            </w:r>
            <w:r>
              <w:rPr>
                <w:rFonts w:hint="default" w:ascii="Times New Roman" w:hAnsi="Times New Roman" w:cs="Times New Roman"/>
                <w:b w:val="0"/>
                <w:bCs w:val="0"/>
                <w:color w:val="auto"/>
                <w:kern w:val="0"/>
                <w:sz w:val="21"/>
                <w:szCs w:val="21"/>
                <w:highlight w:val="none"/>
                <w:lang w:val="en-US" w:eastAsia="zh-CN"/>
              </w:rPr>
              <w:t>0.0191t</w:t>
            </w:r>
            <w:r>
              <w:rPr>
                <w:rFonts w:hint="default" w:ascii="Times New Roman" w:hAnsi="Times New Roman" w:eastAsia="宋体" w:cs="Times New Roman"/>
                <w:b w:val="0"/>
                <w:bCs w:val="0"/>
                <w:color w:val="auto"/>
                <w:kern w:val="0"/>
                <w:sz w:val="21"/>
                <w:szCs w:val="21"/>
                <w:highlight w:val="none"/>
                <w:lang w:val="en-US" w:eastAsia="zh-CN"/>
              </w:rPr>
              <w:t>/a，该部分集尘经密闭容器收集后</w:t>
            </w:r>
            <w:r>
              <w:rPr>
                <w:rFonts w:hint="default" w:ascii="Times New Roman" w:hAnsi="Times New Roman" w:cs="Times New Roman"/>
                <w:b w:val="0"/>
                <w:bCs w:val="0"/>
                <w:color w:val="auto"/>
                <w:kern w:val="0"/>
                <w:sz w:val="21"/>
                <w:szCs w:val="21"/>
                <w:highlight w:val="none"/>
                <w:lang w:val="en-US" w:eastAsia="zh-CN"/>
              </w:rPr>
              <w:t>，于</w:t>
            </w:r>
            <w:r>
              <w:rPr>
                <w:rFonts w:hint="default" w:ascii="Times New Roman" w:hAnsi="Times New Roman" w:eastAsia="宋体" w:cs="Times New Roman"/>
                <w:b w:val="0"/>
                <w:bCs w:val="0"/>
                <w:color w:val="auto"/>
                <w:kern w:val="0"/>
                <w:sz w:val="21"/>
                <w:szCs w:val="21"/>
                <w:highlight w:val="none"/>
                <w:lang w:val="en-US" w:eastAsia="zh-CN"/>
              </w:rPr>
              <w:t>设置的一般固废暂存</w:t>
            </w:r>
            <w:r>
              <w:rPr>
                <w:rFonts w:hint="default" w:ascii="Times New Roman" w:hAnsi="Times New Roman" w:cs="Times New Roman"/>
                <w:b w:val="0"/>
                <w:bCs w:val="0"/>
                <w:color w:val="auto"/>
                <w:kern w:val="0"/>
                <w:sz w:val="21"/>
                <w:szCs w:val="21"/>
                <w:highlight w:val="none"/>
                <w:lang w:val="en-US" w:eastAsia="zh-CN"/>
              </w:rPr>
              <w:t>间</w:t>
            </w:r>
            <w:r>
              <w:rPr>
                <w:rFonts w:hint="default" w:ascii="Times New Roman" w:hAnsi="Times New Roman" w:eastAsia="宋体" w:cs="Times New Roman"/>
                <w:b w:val="0"/>
                <w:bCs w:val="0"/>
                <w:color w:val="auto"/>
                <w:kern w:val="0"/>
                <w:sz w:val="21"/>
                <w:szCs w:val="21"/>
                <w:highlight w:val="none"/>
                <w:lang w:val="en-US" w:eastAsia="zh-CN"/>
              </w:rPr>
              <w:t>暂存，定期</w:t>
            </w:r>
            <w:r>
              <w:rPr>
                <w:rFonts w:hint="default" w:ascii="Times New Roman" w:hAnsi="Times New Roman" w:cs="Times New Roman"/>
                <w:b w:val="0"/>
                <w:bCs w:val="0"/>
                <w:color w:val="auto"/>
                <w:kern w:val="0"/>
                <w:sz w:val="21"/>
                <w:szCs w:val="21"/>
                <w:highlight w:val="none"/>
                <w:lang w:val="en-US" w:eastAsia="zh-CN"/>
              </w:rPr>
              <w:t>回用于生产</w:t>
            </w:r>
            <w:r>
              <w:rPr>
                <w:rFonts w:hint="default" w:ascii="Times New Roman" w:hAnsi="Times New Roman" w:eastAsia="宋体" w:cs="Times New Roman"/>
                <w:b w:val="0"/>
                <w:bCs w:val="0"/>
                <w:color w:val="auto"/>
                <w:kern w:val="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（2）原辅材料使用后废包装</w:t>
            </w:r>
          </w:p>
          <w:p>
            <w:pPr>
              <w:pStyle w:val="2"/>
              <w:bidi w:val="0"/>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highlight w:val="none"/>
                <w:lang w:val="de-DE" w:eastAsia="zh-CN"/>
              </w:rPr>
              <w:t>项目原辅材料使用后均会产生一定量的废包装，主要为废纸箱、编织袋等，属于一般固废。根据企业提供资料，项目原辅材料废包装量约为</w:t>
            </w:r>
            <w:r>
              <w:rPr>
                <w:rFonts w:hint="default" w:ascii="Times New Roman" w:hAnsi="Times New Roman" w:cs="Times New Roman"/>
                <w:b w:val="0"/>
                <w:bCs w:val="0"/>
                <w:color w:val="auto"/>
                <w:highlight w:val="none"/>
                <w:lang w:val="en-US" w:eastAsia="zh-CN"/>
              </w:rPr>
              <w:t>0.5t/a</w:t>
            </w:r>
            <w:r>
              <w:rPr>
                <w:rFonts w:hint="default" w:ascii="Times New Roman" w:hAnsi="Times New Roman" w:cs="Times New Roman"/>
                <w:b w:val="0"/>
                <w:bCs w:val="0"/>
                <w:color w:val="auto"/>
                <w:highlight w:val="none"/>
                <w:lang w:val="de-DE" w:eastAsia="zh-CN"/>
              </w:rPr>
              <w:t>，</w:t>
            </w:r>
            <w:r>
              <w:rPr>
                <w:rFonts w:hint="default" w:ascii="Times New Roman" w:hAnsi="Times New Roman" w:cs="Times New Roman"/>
                <w:b w:val="0"/>
                <w:bCs w:val="0"/>
                <w:color w:val="auto"/>
                <w:kern w:val="0"/>
                <w:sz w:val="21"/>
                <w:szCs w:val="21"/>
                <w:highlight w:val="none"/>
              </w:rPr>
              <w:t>于</w:t>
            </w:r>
            <w:r>
              <w:rPr>
                <w:rFonts w:hint="default" w:ascii="Times New Roman" w:hAnsi="Times New Roman" w:cs="Times New Roman"/>
                <w:b w:val="0"/>
                <w:bCs w:val="0"/>
                <w:color w:val="auto"/>
                <w:kern w:val="0"/>
                <w:sz w:val="21"/>
                <w:szCs w:val="21"/>
                <w:highlight w:val="none"/>
                <w:lang w:eastAsia="zh-CN"/>
              </w:rPr>
              <w:t>车间内</w:t>
            </w:r>
            <w:r>
              <w:rPr>
                <w:rFonts w:hint="default" w:ascii="Times New Roman" w:hAnsi="Times New Roman" w:cs="Times New Roman"/>
                <w:b w:val="0"/>
                <w:bCs w:val="0"/>
                <w:color w:val="auto"/>
                <w:kern w:val="0"/>
                <w:sz w:val="21"/>
                <w:szCs w:val="21"/>
                <w:highlight w:val="none"/>
              </w:rPr>
              <w:t>设置的一般固废暂存</w:t>
            </w:r>
            <w:r>
              <w:rPr>
                <w:rFonts w:hint="default" w:ascii="Times New Roman" w:hAnsi="Times New Roman" w:cs="Times New Roman"/>
                <w:b w:val="0"/>
                <w:bCs w:val="0"/>
                <w:color w:val="auto"/>
                <w:kern w:val="0"/>
                <w:sz w:val="21"/>
                <w:szCs w:val="21"/>
                <w:highlight w:val="none"/>
                <w:lang w:eastAsia="zh-CN"/>
              </w:rPr>
              <w:t>区域分类</w:t>
            </w:r>
            <w:r>
              <w:rPr>
                <w:rFonts w:hint="default" w:ascii="Times New Roman" w:hAnsi="Times New Roman" w:cs="Times New Roman"/>
                <w:b w:val="0"/>
                <w:bCs w:val="0"/>
                <w:color w:val="auto"/>
                <w:kern w:val="0"/>
                <w:sz w:val="21"/>
                <w:szCs w:val="21"/>
                <w:highlight w:val="none"/>
              </w:rPr>
              <w:t>暂存，定期</w:t>
            </w:r>
            <w:r>
              <w:rPr>
                <w:rFonts w:hint="default" w:ascii="Times New Roman" w:hAnsi="Times New Roman" w:cs="Times New Roman"/>
                <w:b w:val="0"/>
                <w:bCs w:val="0"/>
                <w:color w:val="auto"/>
                <w:kern w:val="0"/>
                <w:sz w:val="21"/>
                <w:szCs w:val="21"/>
                <w:highlight w:val="none"/>
                <w:lang w:eastAsia="zh-CN"/>
              </w:rPr>
              <w:t>外售废品回收单位</w:t>
            </w:r>
            <w:r>
              <w:rPr>
                <w:rFonts w:hint="default" w:ascii="Times New Roman" w:hAnsi="Times New Roman" w:cs="Times New Roman"/>
                <w:b w:val="0"/>
                <w:bCs w:val="0"/>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（3）</w:t>
            </w:r>
            <w:r>
              <w:rPr>
                <w:rFonts w:hint="default" w:ascii="Times New Roman" w:hAnsi="Times New Roman" w:eastAsia="宋体" w:cs="Times New Roman"/>
                <w:b w:val="0"/>
                <w:bCs w:val="0"/>
                <w:color w:val="auto"/>
                <w:kern w:val="0"/>
                <w:sz w:val="21"/>
                <w:szCs w:val="21"/>
                <w:highlight w:val="none"/>
                <w:lang w:val="en-US" w:eastAsia="zh-CN"/>
              </w:rPr>
              <w:t>检验工序不合格品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项目产品检验过程会产生一定量的不合格产品，根据企业提供资料，不合格品产生量约为产品总量的5%，</w:t>
            </w:r>
            <w:r>
              <w:rPr>
                <w:rFonts w:hint="default" w:ascii="Times New Roman" w:hAnsi="Times New Roman" w:eastAsia="宋体" w:cs="Times New Roman"/>
                <w:b w:val="0"/>
                <w:bCs w:val="0"/>
                <w:color w:val="auto"/>
                <w:kern w:val="0"/>
                <w:sz w:val="21"/>
                <w:szCs w:val="21"/>
                <w:highlight w:val="none"/>
                <w:lang w:val="en-US" w:eastAsia="zh-CN"/>
              </w:rPr>
              <w:t>项目产品总量为</w:t>
            </w:r>
            <w:r>
              <w:rPr>
                <w:rFonts w:hint="default" w:ascii="Times New Roman" w:hAnsi="Times New Roman" w:cs="Times New Roman"/>
                <w:b w:val="0"/>
                <w:bCs w:val="0"/>
                <w:color w:val="auto"/>
                <w:kern w:val="0"/>
                <w:sz w:val="21"/>
                <w:szCs w:val="21"/>
                <w:highlight w:val="none"/>
                <w:lang w:val="en-US" w:eastAsia="zh-CN"/>
              </w:rPr>
              <w:t>100</w:t>
            </w:r>
            <w:r>
              <w:rPr>
                <w:rFonts w:hint="default" w:ascii="Times New Roman" w:hAnsi="Times New Roman" w:eastAsia="宋体" w:cs="Times New Roman"/>
                <w:b w:val="0"/>
                <w:bCs w:val="0"/>
                <w:color w:val="auto"/>
                <w:kern w:val="0"/>
                <w:sz w:val="21"/>
                <w:szCs w:val="21"/>
                <w:highlight w:val="none"/>
                <w:lang w:val="en-US" w:eastAsia="zh-CN"/>
              </w:rPr>
              <w:t>t/a，则</w:t>
            </w:r>
            <w:r>
              <w:rPr>
                <w:rFonts w:hint="default" w:ascii="Times New Roman" w:hAnsi="Times New Roman" w:cs="Times New Roman"/>
                <w:b w:val="0"/>
                <w:bCs w:val="0"/>
                <w:color w:val="auto"/>
                <w:kern w:val="0"/>
                <w:sz w:val="21"/>
                <w:szCs w:val="21"/>
                <w:highlight w:val="none"/>
                <w:lang w:val="en-US" w:eastAsia="zh-CN"/>
              </w:rPr>
              <w:t>不合格品</w:t>
            </w:r>
            <w:r>
              <w:rPr>
                <w:rFonts w:hint="default" w:ascii="Times New Roman" w:hAnsi="Times New Roman" w:eastAsia="宋体" w:cs="Times New Roman"/>
                <w:b w:val="0"/>
                <w:bCs w:val="0"/>
                <w:color w:val="auto"/>
                <w:kern w:val="0"/>
                <w:sz w:val="21"/>
                <w:szCs w:val="21"/>
                <w:highlight w:val="none"/>
                <w:lang w:val="en-US" w:eastAsia="zh-CN"/>
              </w:rPr>
              <w:t>产生量为</w:t>
            </w:r>
            <w:r>
              <w:rPr>
                <w:rFonts w:hint="default" w:ascii="Times New Roman" w:hAnsi="Times New Roman" w:cs="Times New Roman"/>
                <w:b w:val="0"/>
                <w:bCs w:val="0"/>
                <w:color w:val="auto"/>
                <w:kern w:val="0"/>
                <w:sz w:val="21"/>
                <w:szCs w:val="21"/>
                <w:highlight w:val="none"/>
                <w:lang w:val="en-US" w:eastAsia="zh-CN"/>
              </w:rPr>
              <w:t>5</w:t>
            </w:r>
            <w:r>
              <w:rPr>
                <w:rFonts w:hint="default" w:ascii="Times New Roman" w:hAnsi="Times New Roman" w:eastAsia="宋体" w:cs="Times New Roman"/>
                <w:b w:val="0"/>
                <w:bCs w:val="0"/>
                <w:color w:val="auto"/>
                <w:kern w:val="0"/>
                <w:sz w:val="21"/>
                <w:szCs w:val="21"/>
                <w:highlight w:val="none"/>
                <w:lang w:val="en-US" w:eastAsia="zh-CN"/>
              </w:rPr>
              <w:t>t/a。</w:t>
            </w:r>
            <w:r>
              <w:rPr>
                <w:rFonts w:hint="default" w:ascii="Times New Roman" w:hAnsi="Times New Roman" w:cs="Times New Roman"/>
                <w:b w:val="0"/>
                <w:bCs w:val="0"/>
                <w:color w:val="auto"/>
                <w:kern w:val="0"/>
                <w:sz w:val="21"/>
                <w:szCs w:val="21"/>
                <w:highlight w:val="none"/>
                <w:lang w:val="en-US" w:eastAsia="zh-CN"/>
              </w:rPr>
              <w:t>不合格品均经设置的破碎机破碎后，回用于生产</w:t>
            </w:r>
            <w:r>
              <w:rPr>
                <w:rFonts w:hint="default" w:ascii="Times New Roman" w:hAnsi="Times New Roman" w:eastAsia="宋体" w:cs="Times New Roman"/>
                <w:b w:val="0"/>
                <w:bCs w:val="0"/>
                <w:color w:val="auto"/>
                <w:kern w:val="0"/>
                <w:sz w:val="21"/>
                <w:szCs w:val="21"/>
                <w:highlight w:val="none"/>
                <w:lang w:val="en-US" w:eastAsia="zh-CN"/>
              </w:rPr>
              <w:t>。</w:t>
            </w:r>
          </w:p>
          <w:p>
            <w:pPr>
              <w:pStyle w:val="2"/>
              <w:keepNext/>
              <w:keepLines w:val="0"/>
              <w:pageBreakBefore w:val="0"/>
              <w:widowControl w:val="0"/>
              <w:kinsoku/>
              <w:wordWrap/>
              <w:overflowPunct w:val="0"/>
              <w:topLinePunct w:val="0"/>
              <w:autoSpaceDE/>
              <w:autoSpaceDN/>
              <w:bidi w:val="0"/>
              <w:adjustRightInd/>
              <w:snapToGrid w:val="0"/>
              <w:ind w:left="0" w:leftChars="0" w:firstLine="420" w:firstLineChars="200"/>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lang w:eastAsia="zh-CN"/>
              </w:rPr>
              <w:t>废</w:t>
            </w:r>
            <w:r>
              <w:rPr>
                <w:rFonts w:hint="default" w:ascii="Times New Roman" w:hAnsi="Times New Roman" w:eastAsia="宋体" w:cs="Times New Roman"/>
                <w:b w:val="0"/>
                <w:bCs w:val="0"/>
                <w:color w:val="auto"/>
                <w:highlight w:val="none"/>
                <w:lang w:val="en-US" w:eastAsia="zh-CN"/>
              </w:rPr>
              <w:t>UV灯管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bCs/>
                <w:color w:val="auto"/>
                <w:kern w:val="0"/>
                <w:sz w:val="21"/>
                <w:szCs w:val="21"/>
                <w:highlight w:val="none"/>
                <w:lang w:eastAsia="zh-CN"/>
              </w:rPr>
              <w:t>采用的废气治理设施中“UV光催化氧化”设备需要定期更换光氧灯管，根据企业提供资料，项目UV灯管使用寿命为一年，灯管重量约为200g/根，项目UV光催化氧化装置每次更换量为</w:t>
            </w:r>
            <w:r>
              <w:rPr>
                <w:rFonts w:hint="default" w:ascii="Times New Roman" w:hAnsi="Times New Roman" w:cs="Times New Roman"/>
                <w:bCs/>
                <w:color w:val="auto"/>
                <w:kern w:val="0"/>
                <w:sz w:val="21"/>
                <w:szCs w:val="21"/>
                <w:highlight w:val="none"/>
                <w:lang w:val="en-US" w:eastAsia="zh-CN"/>
              </w:rPr>
              <w:t>40</w:t>
            </w:r>
            <w:r>
              <w:rPr>
                <w:rFonts w:hint="default" w:ascii="Times New Roman" w:hAnsi="Times New Roman" w:cs="Times New Roman"/>
                <w:bCs/>
                <w:color w:val="auto"/>
                <w:kern w:val="0"/>
                <w:sz w:val="21"/>
                <w:szCs w:val="21"/>
                <w:highlight w:val="none"/>
                <w:lang w:eastAsia="zh-CN"/>
              </w:rPr>
              <w:t>根，产生量为</w:t>
            </w:r>
            <w:r>
              <w:rPr>
                <w:rFonts w:hint="default" w:ascii="Times New Roman" w:hAnsi="Times New Roman" w:cs="Times New Roman"/>
                <w:bCs/>
                <w:color w:val="auto"/>
                <w:kern w:val="0"/>
                <w:sz w:val="21"/>
                <w:szCs w:val="21"/>
                <w:highlight w:val="none"/>
                <w:lang w:val="en-US" w:eastAsia="zh-CN"/>
              </w:rPr>
              <w:t>0.008</w:t>
            </w:r>
            <w:r>
              <w:rPr>
                <w:rFonts w:hint="default" w:ascii="Times New Roman" w:hAnsi="Times New Roman" w:cs="Times New Roman"/>
                <w:bCs/>
                <w:color w:val="auto"/>
                <w:kern w:val="0"/>
                <w:sz w:val="21"/>
                <w:szCs w:val="21"/>
                <w:highlight w:val="none"/>
                <w:lang w:eastAsia="zh-CN"/>
              </w:rPr>
              <w:t>t/a。根据《国家危险废物名录》（</w:t>
            </w:r>
            <w:r>
              <w:rPr>
                <w:rFonts w:hint="default" w:ascii="Times New Roman" w:hAnsi="Times New Roman" w:cs="Times New Roman"/>
                <w:bCs/>
                <w:color w:val="auto"/>
                <w:kern w:val="0"/>
                <w:sz w:val="21"/>
                <w:szCs w:val="21"/>
                <w:highlight w:val="none"/>
                <w:lang w:val="en-US" w:eastAsia="zh-CN"/>
              </w:rPr>
              <w:t>2021年版</w:t>
            </w:r>
            <w:r>
              <w:rPr>
                <w:rFonts w:hint="default" w:ascii="Times New Roman" w:hAnsi="Times New Roman" w:cs="Times New Roman"/>
                <w:bCs/>
                <w:color w:val="auto"/>
                <w:kern w:val="0"/>
                <w:sz w:val="21"/>
                <w:szCs w:val="21"/>
                <w:highlight w:val="none"/>
                <w:lang w:eastAsia="zh-CN"/>
              </w:rPr>
              <w:t>）可知，废UV灯管属于危险废物，废物类别HW29，废物代码为</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cs="Times New Roman"/>
                <w:bCs/>
                <w:color w:val="auto"/>
                <w:kern w:val="0"/>
                <w:sz w:val="21"/>
                <w:szCs w:val="21"/>
                <w:highlight w:val="none"/>
                <w:lang w:eastAsia="zh-CN"/>
              </w:rPr>
              <w:t>900-023-29，通过企业在车间外设置1间危险固废暂存间暂存，定期委托有组织的危险废物处置单位进行处理。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color w:val="auto"/>
                <w:kern w:val="0"/>
                <w:szCs w:val="21"/>
                <w:highlight w:val="none"/>
              </w:rPr>
            </w:pPr>
            <w:r>
              <w:rPr>
                <w:rFonts w:hint="default" w:ascii="Times New Roman" w:hAnsi="Times New Roman" w:cs="Times New Roman"/>
                <w:b w:val="0"/>
                <w:bCs/>
                <w:color w:val="auto"/>
                <w:kern w:val="0"/>
                <w:szCs w:val="21"/>
                <w:highlight w:val="none"/>
                <w:lang w:val="en-US" w:eastAsia="zh-CN"/>
              </w:rPr>
              <w:t>（5）</w:t>
            </w:r>
            <w:r>
              <w:rPr>
                <w:rFonts w:hint="default" w:ascii="Times New Roman" w:hAnsi="Times New Roman" w:cs="Times New Roman"/>
                <w:b w:val="0"/>
                <w:bCs/>
                <w:color w:val="auto"/>
                <w:kern w:val="0"/>
                <w:szCs w:val="21"/>
                <w:highlight w:val="none"/>
              </w:rPr>
              <w:t>有机废气治理设施更换的废活性炭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eastAsia="zh-CN"/>
              </w:rPr>
              <w:t>根据企业提供资料，项目废气治理设施中活性炭吸附工艺采用活性炭吸附箱吸附，设计总容量为</w:t>
            </w:r>
            <w:r>
              <w:rPr>
                <w:rFonts w:hint="default" w:ascii="Times New Roman" w:hAnsi="Times New Roman"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lang w:eastAsia="zh-CN"/>
              </w:rPr>
              <w:t>m</w:t>
            </w:r>
            <w:r>
              <w:rPr>
                <w:rFonts w:hint="default" w:ascii="Times New Roman" w:hAnsi="Times New Roman" w:cs="Times New Roman"/>
                <w:bCs/>
                <w:color w:val="auto"/>
                <w:kern w:val="0"/>
                <w:sz w:val="21"/>
                <w:szCs w:val="21"/>
                <w:highlight w:val="none"/>
                <w:vertAlign w:val="superscript"/>
                <w:lang w:eastAsia="zh-CN"/>
              </w:rPr>
              <w:t>3</w:t>
            </w:r>
            <w:r>
              <w:rPr>
                <w:rFonts w:hint="default" w:ascii="Times New Roman" w:hAnsi="Times New Roman" w:cs="Times New Roman"/>
                <w:bCs/>
                <w:color w:val="auto"/>
                <w:kern w:val="0"/>
                <w:sz w:val="21"/>
                <w:szCs w:val="21"/>
                <w:highlight w:val="none"/>
                <w:lang w:eastAsia="zh-CN"/>
              </w:rPr>
              <w:t>，一般活性炭的填装量为600-850kg/m</w:t>
            </w:r>
            <w:r>
              <w:rPr>
                <w:rFonts w:hint="default" w:ascii="Times New Roman" w:hAnsi="Times New Roman" w:cs="Times New Roman"/>
                <w:bCs/>
                <w:color w:val="auto"/>
                <w:kern w:val="0"/>
                <w:sz w:val="21"/>
                <w:szCs w:val="21"/>
                <w:highlight w:val="none"/>
                <w:vertAlign w:val="superscript"/>
                <w:lang w:eastAsia="zh-CN"/>
              </w:rPr>
              <w:t>3</w:t>
            </w:r>
            <w:r>
              <w:rPr>
                <w:rFonts w:hint="default" w:ascii="Times New Roman" w:hAnsi="Times New Roman" w:cs="Times New Roman"/>
                <w:bCs/>
                <w:color w:val="auto"/>
                <w:kern w:val="0"/>
                <w:sz w:val="21"/>
                <w:szCs w:val="21"/>
                <w:highlight w:val="none"/>
                <w:lang w:eastAsia="zh-CN"/>
              </w:rPr>
              <w:t>，本次评价以750kg/m</w:t>
            </w:r>
            <w:r>
              <w:rPr>
                <w:rFonts w:hint="default" w:ascii="Times New Roman" w:hAnsi="Times New Roman" w:cs="Times New Roman"/>
                <w:bCs/>
                <w:color w:val="auto"/>
                <w:kern w:val="0"/>
                <w:sz w:val="21"/>
                <w:szCs w:val="21"/>
                <w:highlight w:val="none"/>
                <w:vertAlign w:val="superscript"/>
                <w:lang w:eastAsia="zh-CN"/>
              </w:rPr>
              <w:t>3</w:t>
            </w:r>
            <w:r>
              <w:rPr>
                <w:rFonts w:hint="default" w:ascii="Times New Roman" w:hAnsi="Times New Roman" w:cs="Times New Roman"/>
                <w:bCs/>
                <w:color w:val="auto"/>
                <w:kern w:val="0"/>
                <w:sz w:val="21"/>
                <w:szCs w:val="21"/>
                <w:highlight w:val="none"/>
                <w:lang w:eastAsia="zh-CN"/>
              </w:rPr>
              <w:t>计，则活性炭的装机量为</w:t>
            </w:r>
            <w:r>
              <w:rPr>
                <w:rFonts w:hint="default" w:ascii="Times New Roman" w:hAnsi="Times New Roman" w:cs="Times New Roman"/>
                <w:bCs/>
                <w:color w:val="auto"/>
                <w:kern w:val="0"/>
                <w:sz w:val="21"/>
                <w:szCs w:val="21"/>
                <w:highlight w:val="none"/>
                <w:lang w:val="en-US" w:eastAsia="zh-CN"/>
              </w:rPr>
              <w:t>750kg</w:t>
            </w:r>
            <w:r>
              <w:rPr>
                <w:rFonts w:hint="default" w:ascii="Times New Roman" w:hAnsi="Times New Roman" w:cs="Times New Roman"/>
                <w:bCs/>
                <w:color w:val="auto"/>
                <w:kern w:val="0"/>
                <w:sz w:val="21"/>
                <w:szCs w:val="21"/>
                <w:highlight w:val="none"/>
                <w:lang w:eastAsia="zh-CN"/>
              </w:rPr>
              <w:t>，活性炭吸附饱和量参考《挥发性有机物治理实用手册（第二版）》（生态环境部大气环境司</w:t>
            </w:r>
            <w:r>
              <w:rPr>
                <w:rFonts w:hint="default" w:ascii="Times New Roman" w:hAnsi="Times New Roman" w:cs="Times New Roman"/>
                <w:bCs/>
                <w:color w:val="auto"/>
                <w:kern w:val="0"/>
                <w:sz w:val="21"/>
                <w:szCs w:val="21"/>
                <w:highlight w:val="none"/>
                <w:lang w:val="en-US" w:eastAsia="zh-CN"/>
              </w:rPr>
              <w:t xml:space="preserve"> 生态环境部环境规划院 </w:t>
            </w:r>
            <w:r>
              <w:rPr>
                <w:rFonts w:hint="default" w:ascii="Times New Roman" w:hAnsi="Times New Roman" w:cs="Times New Roman"/>
                <w:bCs/>
                <w:color w:val="auto"/>
                <w:kern w:val="0"/>
                <w:sz w:val="21"/>
                <w:szCs w:val="21"/>
                <w:highlight w:val="none"/>
                <w:lang w:eastAsia="zh-CN"/>
              </w:rPr>
              <w:t>编著）中“</w:t>
            </w:r>
            <w:r>
              <w:rPr>
                <w:rFonts w:hint="default" w:ascii="Times New Roman" w:hAnsi="Times New Roman" w:cs="Times New Roman"/>
                <w:bCs/>
                <w:color w:val="auto"/>
                <w:kern w:val="0"/>
                <w:sz w:val="21"/>
                <w:szCs w:val="21"/>
                <w:highlight w:val="none"/>
                <w:lang w:val="en-US" w:eastAsia="zh-CN"/>
              </w:rPr>
              <w:t>P233</w:t>
            </w:r>
            <w:r>
              <w:rPr>
                <w:rFonts w:hint="default" w:ascii="Times New Roman" w:hAnsi="Times New Roman" w:cs="Times New Roman"/>
                <w:bCs/>
                <w:color w:val="auto"/>
                <w:kern w:val="0"/>
                <w:sz w:val="21"/>
                <w:szCs w:val="21"/>
                <w:highlight w:val="none"/>
                <w:lang w:eastAsia="zh-CN"/>
              </w:rPr>
              <w:t>”相关内容，吸附剂使用量应根据废气处理量、污染物浓度和吸附剂的动态吸附量确定；活性炭饱和需脱附周期（</w:t>
            </w:r>
            <w:r>
              <w:rPr>
                <w:rFonts w:hint="default" w:ascii="Times New Roman" w:hAnsi="Times New Roman" w:cs="Times New Roman"/>
                <w:bCs/>
                <w:color w:val="auto"/>
                <w:kern w:val="0"/>
                <w:sz w:val="21"/>
                <w:szCs w:val="21"/>
                <w:highlight w:val="none"/>
                <w:lang w:val="en-US" w:eastAsia="zh-CN"/>
              </w:rPr>
              <w:t>T，单位：d</w:t>
            </w:r>
            <w:r>
              <w:rPr>
                <w:rFonts w:hint="default" w:ascii="Times New Roman" w:hAnsi="Times New Roman" w:cs="Times New Roman"/>
                <w:bCs/>
                <w:color w:val="auto"/>
                <w:kern w:val="0"/>
                <w:sz w:val="21"/>
                <w:szCs w:val="21"/>
                <w:highlight w:val="none"/>
                <w:lang w:eastAsia="zh-CN"/>
              </w:rPr>
              <w:t>）计算法方法如下：</w:t>
            </w:r>
          </w:p>
          <w:p>
            <w:pPr>
              <w:pStyle w:val="10"/>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position w:val="-28"/>
                <w:sz w:val="21"/>
                <w:szCs w:val="21"/>
                <w:highlight w:val="none"/>
                <w:lang w:val="en-US" w:eastAsia="zh-CN"/>
              </w:rPr>
              <w:object>
                <v:shape id="_x0000_i1028" o:spt="75" type="#_x0000_t75" style="height:32.3pt;width:70.75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p>
          <w:p>
            <w:pPr>
              <w:pStyle w:val="9"/>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eastAsia="zh-CN"/>
              </w:rPr>
              <w:t>式中：</w:t>
            </w:r>
            <w:r>
              <w:rPr>
                <w:rFonts w:hint="default" w:ascii="Times New Roman" w:hAnsi="Times New Roman" w:cs="Times New Roman"/>
                <w:bCs/>
                <w:color w:val="auto"/>
                <w:kern w:val="0"/>
                <w:sz w:val="21"/>
                <w:szCs w:val="21"/>
                <w:highlight w:val="none"/>
                <w:lang w:val="en-US" w:eastAsia="zh-CN"/>
              </w:rPr>
              <w:t>M——活性炭质量，kg；</w:t>
            </w:r>
          </w:p>
          <w:p>
            <w:pPr>
              <w:pStyle w:val="8"/>
              <w:keepNext w:val="0"/>
              <w:keepLines w:val="0"/>
              <w:pageBreakBefore w:val="0"/>
              <w:kinsoku/>
              <w:wordWrap/>
              <w:overflowPunct/>
              <w:topLinePunct w:val="0"/>
              <w:autoSpaceDE/>
              <w:autoSpaceDN/>
              <w:bidi w:val="0"/>
              <w:adjustRightInd/>
              <w:snapToGrid/>
              <w:spacing w:line="360" w:lineRule="auto"/>
              <w:ind w:left="420" w:leftChars="20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S——平衡保持量，%（非甲烷总烃保持量S平均为15%）；</w:t>
            </w:r>
          </w:p>
          <w:p>
            <w:pPr>
              <w:pStyle w:val="8"/>
              <w:keepNext w:val="0"/>
              <w:keepLines w:val="0"/>
              <w:pageBreakBefore w:val="0"/>
              <w:kinsoku/>
              <w:wordWrap/>
              <w:overflowPunct/>
              <w:topLinePunct w:val="0"/>
              <w:autoSpaceDE/>
              <w:autoSpaceDN/>
              <w:bidi w:val="0"/>
              <w:adjustRightInd/>
              <w:snapToGrid/>
              <w:spacing w:line="360" w:lineRule="auto"/>
              <w:ind w:left="420" w:leftChars="200" w:right="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Q——风量，m</w:t>
            </w:r>
            <w:r>
              <w:rPr>
                <w:rFonts w:hint="default" w:ascii="Times New Roman" w:hAnsi="Times New Roman"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lang w:val="en-US" w:eastAsia="zh-CN"/>
              </w:rPr>
              <w:t>/h；</w:t>
            </w:r>
          </w:p>
          <w:p>
            <w:pPr>
              <w:pStyle w:val="9"/>
              <w:keepNext w:val="0"/>
              <w:keepLines w:val="0"/>
              <w:pageBreakBefore w:val="0"/>
              <w:kinsoku/>
              <w:wordWrap/>
              <w:overflowPunct/>
              <w:topLinePunct w:val="0"/>
              <w:autoSpaceDE/>
              <w:autoSpaceDN/>
              <w:bidi w:val="0"/>
              <w:adjustRightInd/>
              <w:snapToGrid/>
              <w:spacing w:before="0" w:after="0" w:line="360" w:lineRule="auto"/>
              <w:ind w:left="420" w:leftChars="200" w:right="0"/>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C——进口VOCs浓度，mg/m</w:t>
            </w:r>
            <w:r>
              <w:rPr>
                <w:rFonts w:hint="default" w:ascii="Times New Roman" w:hAnsi="Times New Roman" w:eastAsia="宋体" w:cs="Times New Roman"/>
                <w:bCs/>
                <w:color w:val="auto"/>
                <w:kern w:val="0"/>
                <w:sz w:val="21"/>
                <w:szCs w:val="21"/>
                <w:highlight w:val="none"/>
                <w:vertAlign w:val="superscript"/>
                <w:lang w:val="en-US" w:eastAsia="zh-CN"/>
              </w:rPr>
              <w:t>3</w:t>
            </w:r>
            <w:r>
              <w:rPr>
                <w:rFonts w:hint="default" w:ascii="Times New Roman" w:hAnsi="Times New Roman" w:eastAsia="宋体" w:cs="Times New Roman"/>
                <w:bCs/>
                <w:color w:val="auto"/>
                <w:kern w:val="0"/>
                <w:sz w:val="21"/>
                <w:szCs w:val="21"/>
                <w:highlight w:val="none"/>
                <w:lang w:val="en-US" w:eastAsia="zh-CN"/>
              </w:rPr>
              <w:t>；</w:t>
            </w:r>
          </w:p>
          <w:p>
            <w:pPr>
              <w:pStyle w:val="9"/>
              <w:keepNext w:val="0"/>
              <w:keepLines w:val="0"/>
              <w:pageBreakBefore w:val="0"/>
              <w:kinsoku/>
              <w:wordWrap/>
              <w:overflowPunct/>
              <w:topLinePunct w:val="0"/>
              <w:autoSpaceDE/>
              <w:autoSpaceDN/>
              <w:bidi w:val="0"/>
              <w:adjustRightInd/>
              <w:snapToGrid/>
              <w:spacing w:before="0" w:after="0" w:line="360" w:lineRule="auto"/>
              <w:ind w:left="420" w:leftChars="200" w:right="0"/>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t——吸附设备每日运行时间，h/d。</w:t>
            </w:r>
          </w:p>
          <w:p>
            <w:pPr>
              <w:pStyle w:val="8"/>
              <w:rPr>
                <w:rFonts w:hint="default" w:ascii="Times New Roman" w:hAnsi="Times New Roman"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val="en-US" w:eastAsia="zh-CN"/>
              </w:rPr>
              <w:t>结合上文可知，项目</w:t>
            </w:r>
            <w:r>
              <w:rPr>
                <w:rFonts w:hint="default" w:ascii="Times New Roman" w:hAnsi="Times New Roman" w:cs="Times New Roman"/>
                <w:bCs/>
                <w:color w:val="auto"/>
                <w:kern w:val="0"/>
                <w:sz w:val="21"/>
                <w:szCs w:val="21"/>
                <w:highlight w:val="none"/>
                <w:lang w:val="en-US" w:eastAsia="zh-CN"/>
              </w:rPr>
              <w:t>活性炭吸附箱内填充</w:t>
            </w:r>
            <w:r>
              <w:rPr>
                <w:rFonts w:hint="default" w:ascii="Times New Roman" w:hAnsi="Times New Roman" w:eastAsia="宋体" w:cs="Times New Roman"/>
                <w:bCs/>
                <w:color w:val="auto"/>
                <w:kern w:val="0"/>
                <w:sz w:val="21"/>
                <w:szCs w:val="21"/>
                <w:highlight w:val="none"/>
                <w:lang w:val="en-US" w:eastAsia="zh-CN"/>
              </w:rPr>
              <w:t>活性炭质量</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M</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为</w:t>
            </w:r>
            <w:r>
              <w:rPr>
                <w:rFonts w:hint="default" w:ascii="Times New Roman" w:hAnsi="Times New Roman" w:cs="Times New Roman"/>
                <w:bCs/>
                <w:color w:val="auto"/>
                <w:kern w:val="0"/>
                <w:sz w:val="21"/>
                <w:szCs w:val="21"/>
                <w:highlight w:val="none"/>
                <w:lang w:val="en-US" w:eastAsia="zh-CN"/>
              </w:rPr>
              <w:t>750</w:t>
            </w:r>
            <w:r>
              <w:rPr>
                <w:rFonts w:hint="default" w:ascii="Times New Roman" w:hAnsi="Times New Roman" w:eastAsia="宋体" w:cs="Times New Roman"/>
                <w:bCs/>
                <w:color w:val="auto"/>
                <w:kern w:val="0"/>
                <w:sz w:val="21"/>
                <w:szCs w:val="21"/>
                <w:highlight w:val="none"/>
                <w:lang w:val="en-US" w:eastAsia="zh-CN"/>
              </w:rPr>
              <w:t>kg</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风量</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Q</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为</w:t>
            </w:r>
            <w:r>
              <w:rPr>
                <w:rFonts w:hint="default" w:ascii="Times New Roman" w:hAnsi="Times New Roman" w:cs="Times New Roman"/>
                <w:bCs/>
                <w:color w:val="auto"/>
                <w:kern w:val="0"/>
                <w:sz w:val="21"/>
                <w:szCs w:val="21"/>
                <w:highlight w:val="none"/>
                <w:lang w:val="en-US" w:eastAsia="zh-CN"/>
              </w:rPr>
              <w:t>5000m</w:t>
            </w:r>
            <w:r>
              <w:rPr>
                <w:rFonts w:hint="default" w:ascii="Times New Roman" w:hAnsi="Times New Roman"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lang w:val="en-US" w:eastAsia="zh-CN"/>
              </w:rPr>
              <w:t>/h，进口VOCs浓度（C）为21.38</w:t>
            </w:r>
            <w:r>
              <w:rPr>
                <w:rFonts w:hint="default" w:ascii="Times New Roman" w:hAnsi="Times New Roman" w:eastAsia="宋体" w:cs="Times New Roman"/>
                <w:bCs/>
                <w:color w:val="auto"/>
                <w:kern w:val="0"/>
                <w:sz w:val="21"/>
                <w:szCs w:val="21"/>
                <w:highlight w:val="none"/>
                <w:lang w:val="en-US" w:eastAsia="zh-CN"/>
              </w:rPr>
              <w:t>mg/m</w:t>
            </w:r>
            <w:r>
              <w:rPr>
                <w:rFonts w:hint="default" w:ascii="Times New Roman" w:hAnsi="Times New Roman" w:eastAsia="宋体"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lang w:val="en-US" w:eastAsia="zh-CN"/>
              </w:rPr>
              <w:t>，吸附设备每日运行时间（t）为8</w:t>
            </w:r>
            <w:r>
              <w:rPr>
                <w:rFonts w:hint="default" w:ascii="Times New Roman" w:hAnsi="Times New Roman" w:eastAsia="宋体" w:cs="Times New Roman"/>
                <w:bCs/>
                <w:color w:val="auto"/>
                <w:kern w:val="0"/>
                <w:sz w:val="21"/>
                <w:szCs w:val="21"/>
                <w:highlight w:val="none"/>
                <w:lang w:val="en-US" w:eastAsia="zh-CN"/>
              </w:rPr>
              <w:t>h/d，经计算项目活性炭</w:t>
            </w:r>
            <w:r>
              <w:rPr>
                <w:rFonts w:hint="default" w:ascii="Times New Roman" w:hAnsi="Times New Roman" w:cs="Times New Roman"/>
                <w:bCs/>
                <w:color w:val="auto"/>
                <w:kern w:val="0"/>
                <w:sz w:val="21"/>
                <w:szCs w:val="21"/>
                <w:highlight w:val="none"/>
                <w:lang w:val="en-US" w:eastAsia="zh-CN"/>
              </w:rPr>
              <w:t>吸附饱和再生</w:t>
            </w:r>
            <w:r>
              <w:rPr>
                <w:rFonts w:hint="default" w:ascii="Times New Roman" w:hAnsi="Times New Roman" w:eastAsia="宋体" w:cs="Times New Roman"/>
                <w:bCs/>
                <w:color w:val="auto"/>
                <w:kern w:val="0"/>
                <w:sz w:val="21"/>
                <w:szCs w:val="21"/>
                <w:highlight w:val="none"/>
                <w:lang w:val="en-US" w:eastAsia="zh-CN"/>
              </w:rPr>
              <w:t>周期</w:t>
            </w:r>
            <w:r>
              <w:rPr>
                <w:rFonts w:hint="default" w:ascii="Times New Roman" w:hAnsi="Times New Roman" w:cs="Times New Roman"/>
                <w:bCs/>
                <w:color w:val="auto"/>
                <w:kern w:val="0"/>
                <w:sz w:val="21"/>
                <w:szCs w:val="21"/>
                <w:highlight w:val="none"/>
                <w:lang w:val="en-US" w:eastAsia="zh-CN"/>
              </w:rPr>
              <w:t>（T）=750kg×15%×10</w:t>
            </w:r>
            <w:r>
              <w:rPr>
                <w:rFonts w:hint="default" w:ascii="Times New Roman" w:hAnsi="Times New Roman" w:cs="Times New Roman"/>
                <w:bCs/>
                <w:color w:val="auto"/>
                <w:kern w:val="0"/>
                <w:sz w:val="21"/>
                <w:szCs w:val="21"/>
                <w:highlight w:val="none"/>
                <w:vertAlign w:val="superscript"/>
                <w:lang w:val="en-US" w:eastAsia="zh-CN"/>
              </w:rPr>
              <w:t>6</w:t>
            </w:r>
            <w:r>
              <w:rPr>
                <w:rFonts w:hint="default" w:ascii="Times New Roman" w:hAnsi="Times New Roman" w:cs="Times New Roman"/>
                <w:bCs/>
                <w:color w:val="auto"/>
                <w:kern w:val="0"/>
                <w:sz w:val="21"/>
                <w:szCs w:val="21"/>
                <w:highlight w:val="none"/>
                <w:lang w:val="en-US" w:eastAsia="zh-CN"/>
              </w:rPr>
              <w:t>÷（21.38</w:t>
            </w:r>
            <w:r>
              <w:rPr>
                <w:rFonts w:hint="default" w:ascii="Times New Roman" w:hAnsi="Times New Roman" w:eastAsia="宋体" w:cs="Times New Roman"/>
                <w:bCs/>
                <w:color w:val="auto"/>
                <w:kern w:val="0"/>
                <w:sz w:val="21"/>
                <w:szCs w:val="21"/>
                <w:highlight w:val="none"/>
                <w:lang w:val="en-US" w:eastAsia="zh-CN"/>
              </w:rPr>
              <w:t>mg/m</w:t>
            </w:r>
            <w:r>
              <w:rPr>
                <w:rFonts w:hint="default" w:ascii="Times New Roman" w:hAnsi="Times New Roman" w:eastAsia="宋体"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lang w:val="en-US" w:eastAsia="zh-CN"/>
              </w:rPr>
              <w:t>×50</w:t>
            </w:r>
            <w:r>
              <w:rPr>
                <w:rFonts w:hint="default" w:ascii="Times New Roman" w:hAnsi="Times New Roman" w:eastAsia="宋体" w:cs="Times New Roman"/>
                <w:bCs/>
                <w:color w:val="auto"/>
                <w:kern w:val="0"/>
                <w:sz w:val="21"/>
                <w:szCs w:val="21"/>
                <w:highlight w:val="none"/>
                <w:lang w:val="en-US" w:eastAsia="zh-CN"/>
              </w:rPr>
              <w:t>00</w:t>
            </w:r>
            <w:r>
              <w:rPr>
                <w:rFonts w:hint="default" w:ascii="Times New Roman" w:hAnsi="Times New Roman" w:cs="Times New Roman"/>
                <w:bCs/>
                <w:color w:val="auto"/>
                <w:kern w:val="0"/>
                <w:sz w:val="21"/>
                <w:szCs w:val="21"/>
                <w:highlight w:val="none"/>
                <w:lang w:val="en-US" w:eastAsia="zh-CN"/>
              </w:rPr>
              <w:t>m</w:t>
            </w:r>
            <w:r>
              <w:rPr>
                <w:rFonts w:hint="default" w:ascii="Times New Roman" w:hAnsi="Times New Roman" w:cs="Times New Roman"/>
                <w:bCs/>
                <w:color w:val="auto"/>
                <w:kern w:val="0"/>
                <w:sz w:val="21"/>
                <w:szCs w:val="21"/>
                <w:highlight w:val="none"/>
                <w:vertAlign w:val="superscript"/>
                <w:lang w:val="en-US" w:eastAsia="zh-CN"/>
              </w:rPr>
              <w:t>3</w:t>
            </w:r>
            <w:r>
              <w:rPr>
                <w:rFonts w:hint="default" w:ascii="Times New Roman" w:hAnsi="Times New Roman" w:cs="Times New Roman"/>
                <w:bCs/>
                <w:color w:val="auto"/>
                <w:kern w:val="0"/>
                <w:sz w:val="21"/>
                <w:szCs w:val="21"/>
                <w:highlight w:val="none"/>
                <w:lang w:val="en-US" w:eastAsia="zh-CN"/>
              </w:rPr>
              <w:t>/h×8</w:t>
            </w:r>
            <w:r>
              <w:rPr>
                <w:rFonts w:hint="default" w:ascii="Times New Roman" w:hAnsi="Times New Roman" w:eastAsia="宋体" w:cs="Times New Roman"/>
                <w:bCs/>
                <w:color w:val="auto"/>
                <w:kern w:val="0"/>
                <w:sz w:val="21"/>
                <w:szCs w:val="21"/>
                <w:highlight w:val="none"/>
                <w:lang w:val="en-US" w:eastAsia="zh-CN"/>
              </w:rPr>
              <w:t>h/d</w:t>
            </w:r>
            <w:r>
              <w:rPr>
                <w:rFonts w:hint="default" w:ascii="Times New Roman" w:hAnsi="Times New Roman" w:cs="Times New Roman"/>
                <w:bCs/>
                <w:color w:val="auto"/>
                <w:kern w:val="0"/>
                <w:sz w:val="21"/>
                <w:szCs w:val="21"/>
                <w:highlight w:val="none"/>
                <w:lang w:val="en-US" w:eastAsia="zh-CN"/>
              </w:rPr>
              <w:t>）≈131d，则更换的废活性炭量为1.7t/a</w:t>
            </w:r>
            <w:r>
              <w:rPr>
                <w:rFonts w:hint="default" w:ascii="Times New Roman" w:hAnsi="Times New Roman" w:eastAsia="宋体" w:cs="Times New Roman"/>
                <w:bCs/>
                <w:color w:val="auto"/>
                <w:kern w:val="0"/>
                <w:sz w:val="21"/>
                <w:szCs w:val="21"/>
                <w:highlight w:val="none"/>
                <w:lang w:val="en-US" w:eastAsia="zh-CN"/>
              </w:rPr>
              <w:t>。</w:t>
            </w:r>
            <w:r>
              <w:rPr>
                <w:rFonts w:hint="default" w:ascii="Times New Roman" w:hAnsi="Times New Roman" w:cs="Times New Roman"/>
                <w:bCs/>
                <w:color w:val="auto"/>
                <w:kern w:val="0"/>
                <w:sz w:val="21"/>
                <w:szCs w:val="21"/>
                <w:highlight w:val="none"/>
                <w:lang w:eastAsia="zh-CN"/>
              </w:rPr>
              <w:t>根据《国家危险废物名录》（</w:t>
            </w:r>
            <w:r>
              <w:rPr>
                <w:rFonts w:hint="default" w:ascii="Times New Roman" w:hAnsi="Times New Roman" w:cs="Times New Roman"/>
                <w:bCs/>
                <w:color w:val="auto"/>
                <w:kern w:val="0"/>
                <w:sz w:val="21"/>
                <w:szCs w:val="21"/>
                <w:highlight w:val="none"/>
                <w:lang w:val="en-US" w:eastAsia="zh-CN"/>
              </w:rPr>
              <w:t>2021</w:t>
            </w:r>
            <w:r>
              <w:rPr>
                <w:rFonts w:hint="default" w:ascii="Times New Roman" w:hAnsi="Times New Roman" w:cs="Times New Roman"/>
                <w:bCs/>
                <w:color w:val="auto"/>
                <w:kern w:val="0"/>
                <w:sz w:val="21"/>
                <w:szCs w:val="21"/>
                <w:highlight w:val="none"/>
                <w:lang w:eastAsia="zh-CN"/>
              </w:rPr>
              <w:t>年版）可知，更换的废活性炭属于危险废物，废物类别HW49，废物代码为-900-0</w:t>
            </w:r>
            <w:r>
              <w:rPr>
                <w:rFonts w:hint="default" w:ascii="Times New Roman" w:hAnsi="Times New Roman" w:cs="Times New Roman"/>
                <w:bCs/>
                <w:color w:val="auto"/>
                <w:kern w:val="0"/>
                <w:sz w:val="21"/>
                <w:szCs w:val="21"/>
                <w:highlight w:val="none"/>
                <w:lang w:val="en-US" w:eastAsia="zh-CN"/>
              </w:rPr>
              <w:t>39</w:t>
            </w:r>
            <w:r>
              <w:rPr>
                <w:rFonts w:hint="default" w:ascii="Times New Roman" w:hAnsi="Times New Roman" w:cs="Times New Roman"/>
                <w:bCs/>
                <w:color w:val="auto"/>
                <w:kern w:val="0"/>
                <w:sz w:val="21"/>
                <w:szCs w:val="21"/>
                <w:highlight w:val="none"/>
                <w:lang w:eastAsia="zh-CN"/>
              </w:rPr>
              <w:t>-49，通过车间内设置的危险固废暂存间暂存后，定期委托有组织的危险废物处置单位进行处理。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cs="Times New Roman"/>
                <w:b w:val="0"/>
                <w:bCs/>
                <w:color w:val="auto"/>
                <w:kern w:val="0"/>
                <w:szCs w:val="21"/>
                <w:highlight w:val="none"/>
                <w:lang w:val="en-US" w:eastAsia="zh-CN"/>
              </w:rPr>
              <w:t>（6）生活垃圾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Cs/>
                <w:color w:val="auto"/>
                <w:kern w:val="0"/>
                <w:szCs w:val="21"/>
                <w:highlight w:val="green"/>
                <w:lang w:val="en-US" w:eastAsia="zh-CN"/>
              </w:rPr>
            </w:pPr>
            <w:r>
              <w:rPr>
                <w:rFonts w:hint="default" w:ascii="Times New Roman" w:hAnsi="Times New Roman" w:cs="Times New Roman"/>
                <w:bCs/>
                <w:color w:val="auto"/>
                <w:kern w:val="0"/>
                <w:sz w:val="21"/>
                <w:szCs w:val="21"/>
                <w:highlight w:val="none"/>
              </w:rPr>
              <w:t>项目生活垃圾产生量按照0.5kg/人</w:t>
            </w:r>
            <w:r>
              <w:rPr>
                <w:rFonts w:hint="default" w:ascii="Times New Roman" w:hAnsi="Times New Roman" w:eastAsia="宋体"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rPr>
              <w:t>d计算，劳动定员</w:t>
            </w:r>
            <w:r>
              <w:rPr>
                <w:rFonts w:hint="default" w:ascii="Times New Roman" w:hAnsi="Times New Roman" w:cs="Times New Roman"/>
                <w:bCs/>
                <w:color w:val="auto"/>
                <w:kern w:val="0"/>
                <w:sz w:val="21"/>
                <w:szCs w:val="21"/>
                <w:highlight w:val="none"/>
                <w:lang w:val="en-US" w:eastAsia="zh-CN"/>
              </w:rPr>
              <w:t>15</w:t>
            </w:r>
            <w:r>
              <w:rPr>
                <w:rFonts w:hint="default" w:ascii="Times New Roman" w:hAnsi="Times New Roman" w:cs="Times New Roman"/>
                <w:bCs/>
                <w:color w:val="auto"/>
                <w:kern w:val="0"/>
                <w:sz w:val="21"/>
                <w:szCs w:val="21"/>
                <w:highlight w:val="none"/>
              </w:rPr>
              <w:t>人，</w:t>
            </w:r>
            <w:r>
              <w:rPr>
                <w:rFonts w:hint="default" w:ascii="Times New Roman" w:hAnsi="Times New Roman" w:cs="Times New Roman"/>
                <w:bCs/>
                <w:color w:val="auto"/>
                <w:kern w:val="0"/>
                <w:sz w:val="21"/>
                <w:szCs w:val="21"/>
                <w:highlight w:val="none"/>
                <w:lang w:eastAsia="zh-CN"/>
              </w:rPr>
              <w:t>年工作时间为</w:t>
            </w:r>
            <w:r>
              <w:rPr>
                <w:rFonts w:hint="default" w:ascii="Times New Roman" w:hAnsi="Times New Roman" w:cs="Times New Roman"/>
                <w:bCs/>
                <w:color w:val="auto"/>
                <w:kern w:val="0"/>
                <w:sz w:val="21"/>
                <w:szCs w:val="21"/>
                <w:highlight w:val="none"/>
                <w:lang w:val="en-US" w:eastAsia="zh-CN"/>
              </w:rPr>
              <w:t>300天</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则职工办公生活垃圾产生量为</w:t>
            </w:r>
            <w:r>
              <w:rPr>
                <w:rFonts w:hint="default" w:ascii="Times New Roman" w:hAnsi="Times New Roman" w:cs="Times New Roman"/>
                <w:bCs/>
                <w:color w:val="auto"/>
                <w:kern w:val="0"/>
                <w:sz w:val="21"/>
                <w:szCs w:val="21"/>
                <w:highlight w:val="none"/>
                <w:lang w:val="en-US" w:eastAsia="zh-CN"/>
              </w:rPr>
              <w:t>2.25</w:t>
            </w:r>
            <w:r>
              <w:rPr>
                <w:rFonts w:hint="default" w:ascii="Times New Roman" w:hAnsi="Times New Roman" w:cs="Times New Roman"/>
                <w:bCs/>
                <w:color w:val="auto"/>
                <w:kern w:val="0"/>
                <w:sz w:val="21"/>
                <w:szCs w:val="21"/>
                <w:highlight w:val="none"/>
              </w:rPr>
              <w:t>t/a。生活垃圾</w:t>
            </w:r>
            <w:r>
              <w:rPr>
                <w:rFonts w:hint="default" w:ascii="Times New Roman" w:hAnsi="Times New Roman" w:cs="Times New Roman"/>
                <w:bCs/>
                <w:color w:val="auto"/>
                <w:kern w:val="0"/>
                <w:sz w:val="21"/>
                <w:szCs w:val="21"/>
                <w:highlight w:val="none"/>
                <w:lang w:eastAsia="zh-CN"/>
              </w:rPr>
              <w:t>经设置垃圾收集箱</w:t>
            </w:r>
            <w:r>
              <w:rPr>
                <w:rFonts w:hint="default" w:ascii="Times New Roman" w:hAnsi="Times New Roman" w:cs="Times New Roman"/>
                <w:bCs/>
                <w:color w:val="auto"/>
                <w:kern w:val="0"/>
                <w:sz w:val="21"/>
                <w:szCs w:val="21"/>
                <w:highlight w:val="none"/>
              </w:rPr>
              <w:t>收集后交由环卫部门统一清运。</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rPr>
              <w:t>项目运营期固体废物产生及处理处置情况见</w:t>
            </w:r>
            <w:r>
              <w:rPr>
                <w:rFonts w:hint="default" w:ascii="Times New Roman" w:hAnsi="Times New Roman" w:cs="Times New Roman"/>
                <w:bCs/>
                <w:color w:val="auto"/>
                <w:kern w:val="0"/>
                <w:szCs w:val="21"/>
                <w:highlight w:val="none"/>
                <w:lang w:eastAsia="zh-CN"/>
              </w:rPr>
              <w:t>下表：</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固废产生情况及治理措施一览表</w:t>
            </w:r>
          </w:p>
          <w:tbl>
            <w:tblPr>
              <w:tblStyle w:val="22"/>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29"/>
              <w:gridCol w:w="1284"/>
              <w:gridCol w:w="998"/>
              <w:gridCol w:w="785"/>
              <w:gridCol w:w="1069"/>
              <w:gridCol w:w="866"/>
              <w:gridCol w:w="2728"/>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2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序号</w:t>
                  </w:r>
                </w:p>
              </w:tc>
              <w:tc>
                <w:tcPr>
                  <w:tcW w:w="7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名称</w:t>
                  </w:r>
                </w:p>
              </w:tc>
              <w:tc>
                <w:tcPr>
                  <w:tcW w:w="60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属性</w:t>
                  </w:r>
                </w:p>
              </w:tc>
              <w:tc>
                <w:tcPr>
                  <w:tcW w:w="475" w:type="pct"/>
                  <w:tcBorders>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废物</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rPr>
                    <w:t>类别</w:t>
                  </w:r>
                </w:p>
              </w:tc>
              <w:tc>
                <w:tcPr>
                  <w:tcW w:w="647"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eastAsia="zh-CN"/>
                    </w:rPr>
                    <w:t>废物代码</w:t>
                  </w:r>
                </w:p>
              </w:tc>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产生量（t/a）</w:t>
                  </w:r>
                </w:p>
              </w:tc>
              <w:tc>
                <w:tcPr>
                  <w:tcW w:w="165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处置措施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2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1</w:t>
                  </w:r>
                </w:p>
              </w:tc>
              <w:tc>
                <w:tcPr>
                  <w:tcW w:w="7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袋式除尘器清理集尘</w:t>
                  </w:r>
                </w:p>
              </w:tc>
              <w:tc>
                <w:tcPr>
                  <w:tcW w:w="60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475" w:type="pct"/>
                  <w:tcBorders>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647"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0.0191</w:t>
                  </w:r>
                </w:p>
              </w:tc>
              <w:tc>
                <w:tcPr>
                  <w:tcW w:w="1650"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eastAsia="zh-CN"/>
                    </w:rPr>
                    <w:t>密闭容器收集，</w:t>
                  </w: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w:t>
                  </w:r>
                  <w:r>
                    <w:rPr>
                      <w:rFonts w:hint="default" w:ascii="Times New Roman" w:hAnsi="Times New Roman" w:cs="Times New Roman" w:eastAsiaTheme="minorEastAsia"/>
                      <w:b w:val="0"/>
                      <w:bCs w:val="0"/>
                      <w:color w:val="auto"/>
                      <w:sz w:val="18"/>
                      <w:szCs w:val="18"/>
                      <w:highlight w:val="none"/>
                      <w:u w:val="none"/>
                      <w:lang w:eastAsia="zh-CN"/>
                    </w:rPr>
                    <w:t>后，</w:t>
                  </w:r>
                  <w:r>
                    <w:rPr>
                      <w:rFonts w:hint="default" w:ascii="Times New Roman" w:hAnsi="Times New Roman" w:cs="Times New Roman" w:eastAsiaTheme="minorEastAsia"/>
                      <w:b w:val="0"/>
                      <w:bCs w:val="0"/>
                      <w:color w:val="auto"/>
                      <w:sz w:val="18"/>
                      <w:szCs w:val="18"/>
                      <w:highlight w:val="none"/>
                      <w:u w:val="none"/>
                      <w:lang w:val="en-US" w:eastAsia="zh-CN"/>
                    </w:rPr>
                    <w:t>回用于生产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2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2</w:t>
                  </w:r>
                </w:p>
              </w:tc>
              <w:tc>
                <w:tcPr>
                  <w:tcW w:w="7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kern w:val="2"/>
                      <w:sz w:val="18"/>
                      <w:szCs w:val="18"/>
                      <w:highlight w:val="none"/>
                      <w:lang w:val="en-US" w:eastAsia="zh-CN" w:bidi="ar-SA"/>
                    </w:rPr>
                    <w:t>原辅材料使用后废包装</w:t>
                  </w:r>
                </w:p>
              </w:tc>
              <w:tc>
                <w:tcPr>
                  <w:tcW w:w="60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475" w:type="pct"/>
                  <w:tcBorders>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647"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1</w:t>
                  </w:r>
                </w:p>
              </w:tc>
              <w:tc>
                <w:tcPr>
                  <w:tcW w:w="1650"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暂存后</w:t>
                  </w:r>
                  <w:r>
                    <w:rPr>
                      <w:rFonts w:hint="default" w:ascii="Times New Roman" w:hAnsi="Times New Roman" w:cs="Times New Roman" w:eastAsiaTheme="minorEastAsia"/>
                      <w:b w:val="0"/>
                      <w:bCs w:val="0"/>
                      <w:color w:val="auto"/>
                      <w:sz w:val="18"/>
                      <w:szCs w:val="18"/>
                      <w:highlight w:val="none"/>
                      <w:u w:val="none"/>
                      <w:lang w:eastAsia="zh-CN"/>
                    </w:rPr>
                    <w:t>，定期外售废品回收单位</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32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3</w:t>
                  </w:r>
                </w:p>
              </w:tc>
              <w:tc>
                <w:tcPr>
                  <w:tcW w:w="7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检验工序不合格品</w:t>
                  </w:r>
                </w:p>
              </w:tc>
              <w:tc>
                <w:tcPr>
                  <w:tcW w:w="60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475" w:type="pct"/>
                  <w:tcBorders>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w:t>
                  </w:r>
                </w:p>
              </w:tc>
              <w:tc>
                <w:tcPr>
                  <w:tcW w:w="647"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b w:val="0"/>
                      <w:bCs w:val="0"/>
                      <w:color w:val="auto"/>
                      <w:sz w:val="18"/>
                      <w:szCs w:val="18"/>
                      <w:highlight w:val="none"/>
                      <w:u w:val="none"/>
                      <w:lang w:val="en-US" w:eastAsia="zh-CN"/>
                    </w:rPr>
                    <w:t>/</w:t>
                  </w:r>
                </w:p>
              </w:tc>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5</w:t>
                  </w:r>
                </w:p>
              </w:tc>
              <w:tc>
                <w:tcPr>
                  <w:tcW w:w="1650"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rPr>
                    <w:t>一般固废暂存</w:t>
                  </w:r>
                  <w:r>
                    <w:rPr>
                      <w:rFonts w:hint="default" w:ascii="Times New Roman" w:hAnsi="Times New Roman" w:cs="Times New Roman" w:eastAsiaTheme="minorEastAsia"/>
                      <w:b w:val="0"/>
                      <w:bCs w:val="0"/>
                      <w:color w:val="auto"/>
                      <w:sz w:val="18"/>
                      <w:szCs w:val="18"/>
                      <w:highlight w:val="none"/>
                      <w:u w:val="none"/>
                      <w:lang w:eastAsia="zh-CN"/>
                    </w:rPr>
                    <w:t>间</w:t>
                  </w:r>
                  <w:r>
                    <w:rPr>
                      <w:rFonts w:hint="default" w:ascii="Times New Roman" w:hAnsi="Times New Roman" w:cs="Times New Roman" w:eastAsiaTheme="minorEastAsia"/>
                      <w:b w:val="0"/>
                      <w:bCs w:val="0"/>
                      <w:color w:val="auto"/>
                      <w:sz w:val="18"/>
                      <w:szCs w:val="18"/>
                      <w:highlight w:val="none"/>
                      <w:u w:val="none"/>
                    </w:rPr>
                    <w:t>暂存</w:t>
                  </w:r>
                  <w:r>
                    <w:rPr>
                      <w:rFonts w:hint="default" w:ascii="Times New Roman" w:hAnsi="Times New Roman" w:cs="Times New Roman" w:eastAsiaTheme="minorEastAsia"/>
                      <w:b w:val="0"/>
                      <w:bCs w:val="0"/>
                      <w:color w:val="auto"/>
                      <w:sz w:val="18"/>
                      <w:szCs w:val="18"/>
                      <w:highlight w:val="none"/>
                      <w:u w:val="none"/>
                      <w:lang w:eastAsia="zh-CN"/>
                    </w:rPr>
                    <w:t>，使用</w:t>
                  </w:r>
                  <w:r>
                    <w:rPr>
                      <w:rFonts w:hint="default" w:ascii="Times New Roman" w:hAnsi="Times New Roman" w:cs="Times New Roman" w:eastAsiaTheme="minorEastAsia"/>
                      <w:b w:val="0"/>
                      <w:bCs w:val="0"/>
                      <w:color w:val="auto"/>
                      <w:sz w:val="18"/>
                      <w:szCs w:val="18"/>
                      <w:highlight w:val="none"/>
                      <w:u w:val="none"/>
                      <w:lang w:val="en-US" w:eastAsia="zh-CN"/>
                    </w:rPr>
                    <w:t>破碎机破碎后，回用于生产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2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4</w:t>
                  </w:r>
                </w:p>
              </w:tc>
              <w:tc>
                <w:tcPr>
                  <w:tcW w:w="7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有机废气治理设施更换的UV灯管</w:t>
                  </w:r>
                </w:p>
              </w:tc>
              <w:tc>
                <w:tcPr>
                  <w:tcW w:w="60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b w:val="0"/>
                      <w:bCs w:val="0"/>
                      <w:color w:val="auto"/>
                      <w:sz w:val="18"/>
                      <w:szCs w:val="18"/>
                      <w:highlight w:val="none"/>
                      <w:u w:val="none"/>
                      <w:lang w:eastAsia="zh-CN"/>
                    </w:rPr>
                    <w:t>危险固废</w:t>
                  </w:r>
                </w:p>
              </w:tc>
              <w:tc>
                <w:tcPr>
                  <w:tcW w:w="475" w:type="pct"/>
                  <w:tcBorders>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r>
                    <w:rPr>
                      <w:rFonts w:hint="default" w:ascii="Times New Roman" w:hAnsi="Times New Roman" w:cs="Times New Roman"/>
                      <w:color w:val="auto"/>
                      <w:sz w:val="18"/>
                      <w:szCs w:val="18"/>
                      <w:highlight w:val="none"/>
                    </w:rPr>
                    <w:t>HW</w:t>
                  </w:r>
                  <w:r>
                    <w:rPr>
                      <w:rFonts w:hint="default" w:ascii="Times New Roman" w:hAnsi="Times New Roman" w:cs="Times New Roman"/>
                      <w:color w:val="auto"/>
                      <w:sz w:val="18"/>
                      <w:szCs w:val="18"/>
                      <w:highlight w:val="none"/>
                      <w:lang w:val="en-US" w:eastAsia="zh-CN"/>
                    </w:rPr>
                    <w:t>29</w:t>
                  </w:r>
                </w:p>
              </w:tc>
              <w:tc>
                <w:tcPr>
                  <w:tcW w:w="647"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r>
                    <w:rPr>
                      <w:rFonts w:hint="default" w:ascii="Times New Roman" w:hAnsi="Times New Roman" w:cs="Times New Roman"/>
                      <w:color w:val="auto"/>
                      <w:sz w:val="18"/>
                      <w:szCs w:val="18"/>
                      <w:highlight w:val="none"/>
                    </w:rPr>
                    <w:t>900-0</w:t>
                  </w:r>
                  <w:r>
                    <w:rPr>
                      <w:rFonts w:hint="default" w:ascii="Times New Roman" w:hAnsi="Times New Roman" w:cs="Times New Roman"/>
                      <w:color w:val="auto"/>
                      <w:sz w:val="18"/>
                      <w:szCs w:val="18"/>
                      <w:highlight w:val="none"/>
                      <w:lang w:val="en-US" w:eastAsia="zh-CN"/>
                    </w:rPr>
                    <w:t>23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29</w:t>
                  </w:r>
                </w:p>
              </w:tc>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0.008</w:t>
                  </w:r>
                </w:p>
              </w:tc>
              <w:tc>
                <w:tcPr>
                  <w:tcW w:w="1650" w:type="pct"/>
                  <w:vMerge w:val="restar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危险固废暂存间暂存，定期委托有资质的危废处置单位</w:t>
                  </w:r>
                  <w:r>
                    <w:rPr>
                      <w:rFonts w:hint="default" w:ascii="Times New Roman" w:hAnsi="Times New Roman" w:cs="Times New Roman" w:eastAsiaTheme="minorEastAsia"/>
                      <w:b w:val="0"/>
                      <w:bCs w:val="0"/>
                      <w:color w:val="auto"/>
                      <w:sz w:val="18"/>
                      <w:szCs w:val="18"/>
                      <w:highlight w:val="none"/>
                      <w:u w:val="none"/>
                      <w:lang w:eastAsia="zh-CN"/>
                    </w:rPr>
                    <w:t>回收处理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2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5</w:t>
                  </w:r>
                </w:p>
              </w:tc>
              <w:tc>
                <w:tcPr>
                  <w:tcW w:w="7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有机废气治理设施更换的废活性炭</w:t>
                  </w:r>
                </w:p>
              </w:tc>
              <w:tc>
                <w:tcPr>
                  <w:tcW w:w="60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危险固废</w:t>
                  </w:r>
                </w:p>
              </w:tc>
              <w:tc>
                <w:tcPr>
                  <w:tcW w:w="475" w:type="pct"/>
                  <w:tcBorders>
                    <w:left w:val="single" w:color="auto" w:sz="4" w:space="0"/>
                    <w:right w:val="single" w:color="000000" w:sz="4" w:space="0"/>
                  </w:tcBorders>
                  <w:noWrap w:val="0"/>
                  <w:vAlign w:val="center"/>
                </w:tcPr>
                <w:p>
                  <w:pPr>
                    <w:pStyle w:val="77"/>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color w:val="auto"/>
                      <w:sz w:val="18"/>
                      <w:szCs w:val="18"/>
                      <w:highlight w:val="none"/>
                      <w:lang w:eastAsia="zh-CN"/>
                    </w:rPr>
                    <w:t>HW49</w:t>
                  </w:r>
                </w:p>
              </w:tc>
              <w:tc>
                <w:tcPr>
                  <w:tcW w:w="647" w:type="pct"/>
                  <w:tcBorders>
                    <w:left w:val="single" w:color="000000" w:sz="4" w:space="0"/>
                  </w:tcBorders>
                  <w:noWrap w:val="0"/>
                  <w:vAlign w:val="center"/>
                </w:tcPr>
                <w:p>
                  <w:pPr>
                    <w:pStyle w:val="77"/>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b w:val="0"/>
                      <w:bCs w:val="0"/>
                      <w:color w:val="auto"/>
                      <w:kern w:val="2"/>
                      <w:sz w:val="18"/>
                      <w:szCs w:val="18"/>
                      <w:highlight w:val="none"/>
                      <w:u w:val="none"/>
                      <w:lang w:val="en-US" w:eastAsia="zh-CN" w:bidi="ar-SA"/>
                    </w:rPr>
                  </w:pPr>
                  <w:r>
                    <w:rPr>
                      <w:rFonts w:hint="default" w:ascii="Times New Roman" w:hAnsi="Times New Roman" w:cs="Times New Roman"/>
                      <w:color w:val="auto"/>
                      <w:sz w:val="18"/>
                      <w:szCs w:val="18"/>
                      <w:highlight w:val="none"/>
                      <w:lang w:eastAsia="zh-CN"/>
                    </w:rPr>
                    <w:t>900-0</w:t>
                  </w:r>
                  <w:r>
                    <w:rPr>
                      <w:rFonts w:hint="default" w:ascii="Times New Roman" w:hAnsi="Times New Roman" w:cs="Times New Roman"/>
                      <w:color w:val="auto"/>
                      <w:sz w:val="18"/>
                      <w:szCs w:val="18"/>
                      <w:highlight w:val="none"/>
                      <w:lang w:val="en-US" w:eastAsia="zh-CN"/>
                    </w:rPr>
                    <w:t>39</w:t>
                  </w:r>
                  <w:r>
                    <w:rPr>
                      <w:rFonts w:hint="default" w:ascii="Times New Roman" w:hAnsi="Times New Roman" w:cs="Times New Roman"/>
                      <w:color w:val="auto"/>
                      <w:sz w:val="18"/>
                      <w:szCs w:val="18"/>
                      <w:highlight w:val="none"/>
                      <w:lang w:eastAsia="zh-CN"/>
                    </w:rPr>
                    <w:t>-49</w:t>
                  </w:r>
                </w:p>
              </w:tc>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1.7</w:t>
                  </w:r>
                </w:p>
              </w:tc>
              <w:tc>
                <w:tcPr>
                  <w:tcW w:w="1650" w:type="pct"/>
                  <w:vMerge w:val="continue"/>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32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6</w:t>
                  </w:r>
                </w:p>
              </w:tc>
              <w:tc>
                <w:tcPr>
                  <w:tcW w:w="77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生活垃圾</w:t>
                  </w:r>
                </w:p>
              </w:tc>
              <w:tc>
                <w:tcPr>
                  <w:tcW w:w="604"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w:t>
                  </w:r>
                </w:p>
              </w:tc>
              <w:tc>
                <w:tcPr>
                  <w:tcW w:w="475" w:type="pct"/>
                  <w:tcBorders>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w:t>
                  </w:r>
                </w:p>
              </w:tc>
              <w:tc>
                <w:tcPr>
                  <w:tcW w:w="647" w:type="pct"/>
                  <w:tcBorders>
                    <w:lef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val="en-US" w:eastAsia="zh-CN"/>
                    </w:rPr>
                    <w:t>/</w:t>
                  </w:r>
                </w:p>
              </w:tc>
              <w:tc>
                <w:tcPr>
                  <w:tcW w:w="52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2.25</w:t>
                  </w:r>
                </w:p>
              </w:tc>
              <w:tc>
                <w:tcPr>
                  <w:tcW w:w="1650" w:type="pct"/>
                  <w:tcBorders>
                    <w:top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eastAsia="zh-CN"/>
                    </w:rPr>
                    <w:t>垃圾收集箱收集后，定期委托环卫部门清运处理</w:t>
                  </w:r>
                </w:p>
              </w:tc>
            </w:tr>
          </w:tbl>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危险废物产生及处置情况汇总表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26"/>
              <w:gridCol w:w="569"/>
              <w:gridCol w:w="653"/>
              <w:gridCol w:w="934"/>
              <w:gridCol w:w="813"/>
              <w:gridCol w:w="823"/>
              <w:gridCol w:w="623"/>
              <w:gridCol w:w="723"/>
              <w:gridCol w:w="552"/>
              <w:gridCol w:w="552"/>
              <w:gridCol w:w="498"/>
              <w:gridCol w:w="119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344"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危险废物名称</w:t>
                  </w:r>
                </w:p>
              </w:tc>
              <w:tc>
                <w:tcPr>
                  <w:tcW w:w="395"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危险废物类别</w:t>
                  </w:r>
                </w:p>
              </w:tc>
              <w:tc>
                <w:tcPr>
                  <w:tcW w:w="565"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492"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产生量（吨/年）</w:t>
                  </w:r>
                </w:p>
              </w:tc>
              <w:tc>
                <w:tcPr>
                  <w:tcW w:w="498"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产生工序及装置</w:t>
                  </w:r>
                </w:p>
              </w:tc>
              <w:tc>
                <w:tcPr>
                  <w:tcW w:w="377"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形态</w:t>
                  </w:r>
                </w:p>
              </w:tc>
              <w:tc>
                <w:tcPr>
                  <w:tcW w:w="437"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成分</w:t>
                  </w:r>
                </w:p>
              </w:tc>
              <w:tc>
                <w:tcPr>
                  <w:tcW w:w="334"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有害成分</w:t>
                  </w:r>
                </w:p>
              </w:tc>
              <w:tc>
                <w:tcPr>
                  <w:tcW w:w="334"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产废周期</w:t>
                  </w:r>
                </w:p>
              </w:tc>
              <w:tc>
                <w:tcPr>
                  <w:tcW w:w="301"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特性</w:t>
                  </w:r>
                </w:p>
              </w:tc>
              <w:tc>
                <w:tcPr>
                  <w:tcW w:w="721" w:type="pct"/>
                  <w:tcBorders>
                    <w:top w:val="single" w:color="auto" w:sz="8"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w:t>
                  </w:r>
                </w:p>
              </w:tc>
              <w:tc>
                <w:tcPr>
                  <w:tcW w:w="3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w:t>
                  </w:r>
                  <w:r>
                    <w:rPr>
                      <w:rFonts w:hint="default" w:ascii="Times New Roman" w:hAnsi="Times New Roman" w:cs="Times New Roman" w:eastAsiaTheme="minorEastAsia"/>
                      <w:b w:val="0"/>
                      <w:bCs w:val="0"/>
                      <w:color w:val="auto"/>
                      <w:sz w:val="18"/>
                      <w:szCs w:val="18"/>
                      <w:highlight w:val="none"/>
                      <w:u w:val="none"/>
                      <w:lang w:val="en-US" w:eastAsia="zh-CN"/>
                    </w:rPr>
                    <w:t>UV灯管</w:t>
                  </w:r>
                </w:p>
              </w:tc>
              <w:tc>
                <w:tcPr>
                  <w:tcW w:w="39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HW</w:t>
                  </w:r>
                  <w:r>
                    <w:rPr>
                      <w:rFonts w:hint="default" w:ascii="Times New Roman" w:hAnsi="Times New Roman" w:cs="Times New Roman"/>
                      <w:color w:val="auto"/>
                      <w:sz w:val="18"/>
                      <w:szCs w:val="18"/>
                      <w:highlight w:val="none"/>
                      <w:lang w:val="en-US" w:eastAsia="zh-CN"/>
                    </w:rPr>
                    <w:t>29</w:t>
                  </w:r>
                </w:p>
              </w:tc>
              <w:tc>
                <w:tcPr>
                  <w:tcW w:w="56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900-0</w:t>
                  </w:r>
                  <w:r>
                    <w:rPr>
                      <w:rFonts w:hint="default" w:ascii="Times New Roman" w:hAnsi="Times New Roman" w:cs="Times New Roman"/>
                      <w:color w:val="auto"/>
                      <w:sz w:val="18"/>
                      <w:szCs w:val="18"/>
                      <w:highlight w:val="none"/>
                      <w:lang w:val="en-US" w:eastAsia="zh-CN"/>
                    </w:rPr>
                    <w:t>23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29</w:t>
                  </w:r>
                </w:p>
              </w:tc>
              <w:tc>
                <w:tcPr>
                  <w:tcW w:w="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0.008</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废气治理设施</w:t>
                  </w:r>
                </w:p>
              </w:tc>
              <w:tc>
                <w:tcPr>
                  <w:tcW w:w="3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固态</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含汞</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灯管</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含汞</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灯管</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12个月</w:t>
                  </w:r>
                </w:p>
              </w:tc>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T</w:t>
                  </w:r>
                </w:p>
              </w:tc>
              <w:tc>
                <w:tcPr>
                  <w:tcW w:w="721" w:type="pct"/>
                  <w:vMerge w:val="restart"/>
                  <w:tcBorders>
                    <w:left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r>
                    <w:rPr>
                      <w:rFonts w:hint="default" w:ascii="Times New Roman" w:hAnsi="Times New Roman" w:cs="Times New Roman"/>
                      <w:color w:val="auto"/>
                      <w:sz w:val="18"/>
                      <w:szCs w:val="18"/>
                      <w:highlight w:val="none"/>
                    </w:rPr>
                    <w:t>收集后暂存于危险废物暂存间，委托有处理资质的单位定期安全处置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w:t>
                  </w:r>
                </w:p>
              </w:tc>
              <w:tc>
                <w:tcPr>
                  <w:tcW w:w="3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废活性炭</w:t>
                  </w:r>
                </w:p>
              </w:tc>
              <w:tc>
                <w:tcPr>
                  <w:tcW w:w="395" w:type="pct"/>
                  <w:tcBorders>
                    <w:top w:val="single" w:color="auto" w:sz="4" w:space="0"/>
                    <w:left w:val="single" w:color="auto" w:sz="4" w:space="0"/>
                    <w:bottom w:val="single" w:color="auto" w:sz="4" w:space="0"/>
                    <w:right w:val="single" w:color="auto" w:sz="4" w:space="0"/>
                  </w:tcBorders>
                  <w:noWrap w:val="0"/>
                  <w:vAlign w:val="center"/>
                </w:tcPr>
                <w:p>
                  <w:pPr>
                    <w:pStyle w:val="77"/>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HW49</w:t>
                  </w:r>
                </w:p>
              </w:tc>
              <w:tc>
                <w:tcPr>
                  <w:tcW w:w="565" w:type="pct"/>
                  <w:tcBorders>
                    <w:top w:val="single" w:color="auto" w:sz="4" w:space="0"/>
                    <w:left w:val="single" w:color="auto" w:sz="4" w:space="0"/>
                    <w:bottom w:val="single" w:color="auto" w:sz="4" w:space="0"/>
                    <w:right w:val="single" w:color="auto" w:sz="4" w:space="0"/>
                  </w:tcBorders>
                  <w:noWrap w:val="0"/>
                  <w:vAlign w:val="center"/>
                </w:tcPr>
                <w:p>
                  <w:pPr>
                    <w:pStyle w:val="77"/>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900-0</w:t>
                  </w:r>
                  <w:r>
                    <w:rPr>
                      <w:rFonts w:hint="default" w:ascii="Times New Roman" w:hAnsi="Times New Roman" w:cs="Times New Roman"/>
                      <w:color w:val="auto"/>
                      <w:sz w:val="18"/>
                      <w:szCs w:val="18"/>
                      <w:highlight w:val="none"/>
                      <w:lang w:val="en-US" w:eastAsia="zh-CN"/>
                    </w:rPr>
                    <w:t>39</w:t>
                  </w:r>
                  <w:r>
                    <w:rPr>
                      <w:rFonts w:hint="default" w:ascii="Times New Roman" w:hAnsi="Times New Roman" w:cs="Times New Roman"/>
                      <w:color w:val="auto"/>
                      <w:sz w:val="18"/>
                      <w:szCs w:val="18"/>
                      <w:highlight w:val="none"/>
                      <w:lang w:eastAsia="zh-CN"/>
                    </w:rPr>
                    <w:t>-49</w:t>
                  </w:r>
                </w:p>
              </w:tc>
              <w:tc>
                <w:tcPr>
                  <w:tcW w:w="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1.7</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废气治理设施</w:t>
                  </w:r>
                </w:p>
              </w:tc>
              <w:tc>
                <w:tcPr>
                  <w:tcW w:w="3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固态</w:t>
                  </w:r>
                </w:p>
              </w:tc>
              <w:tc>
                <w:tcPr>
                  <w:tcW w:w="4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含有机废气</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有机物</w:t>
                  </w:r>
                </w:p>
              </w:tc>
              <w:tc>
                <w:tcPr>
                  <w:tcW w:w="3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w:t>
                  </w:r>
                  <w:r>
                    <w:rPr>
                      <w:rFonts w:hint="default" w:ascii="Times New Roman" w:hAnsi="Times New Roman" w:cs="Times New Roman"/>
                      <w:color w:val="auto"/>
                      <w:sz w:val="18"/>
                      <w:szCs w:val="18"/>
                      <w:highlight w:val="none"/>
                    </w:rPr>
                    <w:t>个月</w:t>
                  </w:r>
                </w:p>
              </w:tc>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T</w:t>
                  </w:r>
                </w:p>
              </w:tc>
              <w:tc>
                <w:tcPr>
                  <w:tcW w:w="721" w:type="pct"/>
                  <w:vMerge w:val="continue"/>
                  <w:tcBorders>
                    <w:left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p>
              </w:tc>
            </w:tr>
          </w:tbl>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危险废物贮存场所基本情况表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9"/>
              <w:gridCol w:w="799"/>
              <w:gridCol w:w="976"/>
              <w:gridCol w:w="976"/>
              <w:gridCol w:w="1258"/>
              <w:gridCol w:w="870"/>
              <w:gridCol w:w="544"/>
              <w:gridCol w:w="1045"/>
              <w:gridCol w:w="585"/>
              <w:gridCol w:w="5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贮存场所</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5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5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位置</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占地</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面积</w:t>
                  </w:r>
                </w:p>
              </w:tc>
              <w:tc>
                <w:tcPr>
                  <w:tcW w:w="6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方式</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能力</w:t>
                  </w:r>
                </w:p>
              </w:tc>
              <w:tc>
                <w:tcPr>
                  <w:tcW w:w="3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83"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暂存间</w:t>
                  </w: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w:t>
                  </w:r>
                  <w:r>
                    <w:rPr>
                      <w:rFonts w:hint="default" w:ascii="Times New Roman" w:hAnsi="Times New Roman" w:cs="Times New Roman" w:eastAsiaTheme="minorEastAsia"/>
                      <w:b w:val="0"/>
                      <w:bCs w:val="0"/>
                      <w:color w:val="auto"/>
                      <w:sz w:val="18"/>
                      <w:szCs w:val="18"/>
                      <w:highlight w:val="none"/>
                      <w:u w:val="none"/>
                      <w:lang w:val="en-US" w:eastAsia="zh-CN"/>
                    </w:rPr>
                    <w:t>UV灯管</w:t>
                  </w: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HW</w:t>
                  </w:r>
                  <w:r>
                    <w:rPr>
                      <w:rFonts w:hint="default" w:ascii="Times New Roman" w:hAnsi="Times New Roman" w:cs="Times New Roman"/>
                      <w:color w:val="auto"/>
                      <w:sz w:val="18"/>
                      <w:szCs w:val="18"/>
                      <w:highlight w:val="none"/>
                      <w:lang w:val="en-US" w:eastAsia="zh-CN"/>
                    </w:rPr>
                    <w:t>29</w:t>
                  </w:r>
                </w:p>
              </w:tc>
              <w:tc>
                <w:tcPr>
                  <w:tcW w:w="761"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900-0</w:t>
                  </w:r>
                  <w:r>
                    <w:rPr>
                      <w:rFonts w:hint="default" w:ascii="Times New Roman" w:hAnsi="Times New Roman" w:cs="Times New Roman"/>
                      <w:color w:val="auto"/>
                      <w:sz w:val="18"/>
                      <w:szCs w:val="18"/>
                      <w:highlight w:val="none"/>
                      <w:lang w:val="en-US" w:eastAsia="zh-CN"/>
                    </w:rPr>
                    <w:t>23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29</w:t>
                  </w:r>
                </w:p>
              </w:tc>
              <w:tc>
                <w:tcPr>
                  <w:tcW w:w="52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车间二层西侧</w:t>
                  </w:r>
                </w:p>
              </w:tc>
              <w:tc>
                <w:tcPr>
                  <w:tcW w:w="329"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r>
                    <w:rPr>
                      <w:rFonts w:hint="default" w:ascii="Times New Roman" w:hAnsi="Times New Roman" w:cs="Times New Roman"/>
                      <w:color w:val="auto"/>
                      <w:sz w:val="18"/>
                      <w:szCs w:val="18"/>
                      <w:highlight w:val="none"/>
                      <w:vertAlign w:val="superscript"/>
                      <w:lang w:val="en-US" w:eastAsia="zh-CN"/>
                    </w:rPr>
                    <w:t>2</w:t>
                  </w:r>
                </w:p>
              </w:tc>
              <w:tc>
                <w:tcPr>
                  <w:tcW w:w="632"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由密闭容器收集，存放</w:t>
                  </w:r>
                </w:p>
              </w:tc>
              <w:tc>
                <w:tcPr>
                  <w:tcW w:w="354"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5t</w:t>
                  </w:r>
                </w:p>
              </w:tc>
              <w:tc>
                <w:tcPr>
                  <w:tcW w:w="355"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pacing w:val="-6"/>
                      <w:sz w:val="18"/>
                      <w:szCs w:val="18"/>
                      <w:highlight w:val="none"/>
                    </w:rPr>
                    <w:t>1年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83"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590" w:type="pct"/>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废活性炭</w:t>
                  </w:r>
                </w:p>
              </w:tc>
              <w:tc>
                <w:tcPr>
                  <w:tcW w:w="590" w:type="pct"/>
                  <w:tcBorders>
                    <w:bottom w:val="single" w:color="000000" w:sz="4" w:space="0"/>
                  </w:tcBorders>
                  <w:noWrap w:val="0"/>
                  <w:vAlign w:val="center"/>
                </w:tcPr>
                <w:p>
                  <w:pPr>
                    <w:pStyle w:val="77"/>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HW49</w:t>
                  </w:r>
                </w:p>
              </w:tc>
              <w:tc>
                <w:tcPr>
                  <w:tcW w:w="761" w:type="pct"/>
                  <w:tcBorders>
                    <w:bottom w:val="single" w:color="000000" w:sz="4" w:space="0"/>
                  </w:tcBorders>
                  <w:noWrap w:val="0"/>
                  <w:vAlign w:val="center"/>
                </w:tcPr>
                <w:p>
                  <w:pPr>
                    <w:pStyle w:val="77"/>
                    <w:keepNext w:val="0"/>
                    <w:keepLines w:val="0"/>
                    <w:pageBreakBefore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900-0</w:t>
                  </w:r>
                  <w:r>
                    <w:rPr>
                      <w:rFonts w:hint="default" w:ascii="Times New Roman" w:hAnsi="Times New Roman" w:cs="Times New Roman"/>
                      <w:color w:val="auto"/>
                      <w:sz w:val="18"/>
                      <w:szCs w:val="18"/>
                      <w:highlight w:val="none"/>
                      <w:lang w:val="en-US" w:eastAsia="zh-CN"/>
                    </w:rPr>
                    <w:t>39</w:t>
                  </w:r>
                  <w:r>
                    <w:rPr>
                      <w:rFonts w:hint="default" w:ascii="Times New Roman" w:hAnsi="Times New Roman" w:cs="Times New Roman"/>
                      <w:color w:val="auto"/>
                      <w:sz w:val="18"/>
                      <w:szCs w:val="18"/>
                      <w:highlight w:val="none"/>
                      <w:lang w:eastAsia="zh-CN"/>
                    </w:rPr>
                    <w:t>-49</w:t>
                  </w:r>
                </w:p>
              </w:tc>
              <w:tc>
                <w:tcPr>
                  <w:tcW w:w="52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329"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632"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rPr>
                  </w:pPr>
                </w:p>
              </w:tc>
              <w:tc>
                <w:tcPr>
                  <w:tcW w:w="35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green"/>
                      <w:lang w:val="en-US" w:eastAsia="zh-CN"/>
                    </w:rPr>
                  </w:pPr>
                </w:p>
              </w:tc>
              <w:tc>
                <w:tcPr>
                  <w:tcW w:w="35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pacing w:val="-6"/>
                      <w:sz w:val="18"/>
                      <w:szCs w:val="18"/>
                      <w:highlight w:val="green"/>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4.2</w:t>
            </w:r>
            <w:r>
              <w:rPr>
                <w:rFonts w:hint="default" w:ascii="Times New Roman" w:hAnsi="Times New Roman" w:cs="Times New Roman"/>
                <w:b/>
                <w:bCs/>
                <w:color w:val="auto"/>
                <w:kern w:val="0"/>
                <w:szCs w:val="21"/>
                <w:highlight w:val="none"/>
              </w:rPr>
              <w:t>固废环境管理要求</w:t>
            </w:r>
          </w:p>
          <w:p>
            <w:pPr>
              <w:keepNext w:val="0"/>
              <w:keepLines w:val="0"/>
              <w:pageBreakBefore w:val="0"/>
              <w:widowControl w:val="0"/>
              <w:kinsoku/>
              <w:wordWrap/>
              <w:overflowPunct/>
              <w:topLinePunct w:val="0"/>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val="en-US" w:eastAsia="zh-CN"/>
              </w:rPr>
              <w:t>4.2.1</w:t>
            </w:r>
            <w:r>
              <w:rPr>
                <w:rFonts w:hint="default" w:ascii="Times New Roman" w:hAnsi="Times New Roman" w:cs="Times New Roman"/>
                <w:b/>
                <w:bCs/>
                <w:color w:val="auto"/>
                <w:kern w:val="0"/>
                <w:szCs w:val="21"/>
                <w:highlight w:val="none"/>
                <w:lang w:eastAsia="zh-CN"/>
              </w:rPr>
              <w:t>危险固废管理要求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依据《危险废物贮存污染控制标准》（GB18597-2023）</w:t>
            </w:r>
            <w:r>
              <w:rPr>
                <w:rFonts w:hint="default" w:ascii="Times New Roman" w:hAnsi="Times New Roman" w:eastAsia="宋体" w:cs="Times New Roman"/>
                <w:color w:val="auto"/>
                <w:sz w:val="21"/>
                <w:szCs w:val="21"/>
                <w:highlight w:val="none"/>
              </w:rPr>
              <w:t>、《建设项目危险废物环境影响评价指南》相关内容，本次评价对项目危废管理提出如下要求：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危险废物贮存设施污染控制要求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本项目危废均通过新建1间15m</w:t>
            </w:r>
            <w:r>
              <w:rPr>
                <w:rFonts w:hint="default" w:ascii="Times New Roman" w:hAnsi="Times New Roman" w:cs="Times New Roman"/>
                <w:b w:val="0"/>
                <w:bCs w:val="0"/>
                <w:color w:val="auto"/>
                <w:sz w:val="21"/>
                <w:szCs w:val="21"/>
                <w:highlight w:val="none"/>
                <w:vertAlign w:val="superscript"/>
                <w:lang w:val="en-US" w:eastAsia="zh-CN"/>
              </w:rPr>
              <w:t>2</w:t>
            </w:r>
            <w:r>
              <w:rPr>
                <w:rFonts w:hint="default" w:ascii="Times New Roman" w:hAnsi="Times New Roman" w:cs="Times New Roman"/>
                <w:b w:val="0"/>
                <w:bCs w:val="0"/>
                <w:color w:val="auto"/>
                <w:sz w:val="21"/>
                <w:szCs w:val="21"/>
                <w:highlight w:val="none"/>
                <w:lang w:val="en-US" w:eastAsia="zh-CN"/>
              </w:rPr>
              <w:t>危险固废暂存间暂存，结合</w:t>
            </w:r>
            <w:r>
              <w:rPr>
                <w:rFonts w:hint="default" w:ascii="Times New Roman" w:hAnsi="Times New Roman" w:cs="Times New Roman"/>
                <w:color w:val="auto"/>
                <w:sz w:val="21"/>
                <w:szCs w:val="21"/>
                <w:highlight w:val="none"/>
              </w:rPr>
              <w:t>《危险废物贮存污染控制标准》（GB18597-2023）</w:t>
            </w:r>
            <w:r>
              <w:rPr>
                <w:rFonts w:hint="default" w:ascii="Times New Roman" w:hAnsi="Times New Roman" w:eastAsia="宋体" w:cs="Times New Roman"/>
                <w:color w:val="auto"/>
                <w:sz w:val="21"/>
                <w:szCs w:val="21"/>
                <w:highlight w:val="none"/>
              </w:rPr>
              <w:t>相关内容</w:t>
            </w:r>
            <w:r>
              <w:rPr>
                <w:rFonts w:hint="default" w:ascii="Times New Roman" w:hAnsi="Times New Roman" w:cs="Times New Roman"/>
                <w:b w:val="0"/>
                <w:bCs w:val="0"/>
                <w:color w:val="auto"/>
                <w:sz w:val="21"/>
                <w:szCs w:val="21"/>
                <w:highlight w:val="none"/>
                <w:lang w:val="en-US" w:eastAsia="zh-CN"/>
              </w:rPr>
              <w:t>，要求企业危险固废暂存间设置具体要求如下：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a.</w:t>
            </w:r>
            <w:r>
              <w:rPr>
                <w:rFonts w:hint="default" w:ascii="Times New Roman" w:hAnsi="Times New Roman" w:eastAsia="宋体" w:cs="Times New Roman"/>
                <w:b w:val="0"/>
                <w:bCs w:val="0"/>
                <w:color w:val="auto"/>
                <w:sz w:val="21"/>
                <w:szCs w:val="21"/>
                <w:highlight w:val="none"/>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b.</w:t>
            </w:r>
            <w:r>
              <w:rPr>
                <w:rFonts w:hint="default" w:ascii="Times New Roman" w:hAnsi="Times New Roman" w:eastAsia="宋体" w:cs="Times New Roman"/>
                <w:b w:val="0"/>
                <w:bCs w:val="0"/>
                <w:color w:val="auto"/>
                <w:sz w:val="21"/>
                <w:szCs w:val="21"/>
                <w:highlight w:val="none"/>
              </w:rPr>
              <w:t>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c.贮存设施或贮存分区内地面、墙面裙脚、堵截泄漏的围堰、接触危险废物的隔板和墙体等应采用坚固的材料建造，表面无裂缝。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d.贮存设施地面与裙脚应采取表面防渗措施；表面防渗材料应与所接触的物料或污染物相容，可采用抗渗混凝土、高密度聚乙烯膜、钠基膨润土防水毯或其他防渗性能等效的材料。</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e.同一贮存设施宜采用相同的防渗、防腐工艺（包括防渗、防腐结构或材料），防渗、防腐材料应覆盖所有可能与废物及其渗滤液、渗漏液等接触的构筑物表面；采用不同防渗、防腐工艺应分别建设贮存分区。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f.</w:t>
            </w:r>
            <w:r>
              <w:rPr>
                <w:rFonts w:hint="default" w:ascii="Times New Roman" w:hAnsi="Times New Roman" w:eastAsia="宋体" w:cs="Times New Roman"/>
                <w:b w:val="0"/>
                <w:bCs w:val="0"/>
                <w:color w:val="auto"/>
                <w:sz w:val="21"/>
                <w:szCs w:val="21"/>
                <w:highlight w:val="none"/>
              </w:rPr>
              <w:t>贮存设施应采取技术和管理措施防止无关人员进入。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危险废物容器和包装物污染控制要求：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a.</w:t>
            </w:r>
            <w:r>
              <w:rPr>
                <w:rFonts w:hint="default" w:ascii="Times New Roman" w:hAnsi="Times New Roman" w:eastAsia="宋体" w:cs="Times New Roman"/>
                <w:b w:val="0"/>
                <w:bCs w:val="0"/>
                <w:color w:val="auto"/>
                <w:sz w:val="21"/>
                <w:szCs w:val="21"/>
                <w:highlight w:val="none"/>
              </w:rPr>
              <w:t>容器和包装物材质、内衬应与盛装的危险废物相容。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b.</w:t>
            </w:r>
            <w:r>
              <w:rPr>
                <w:rFonts w:hint="default" w:ascii="Times New Roman" w:hAnsi="Times New Roman" w:eastAsia="宋体" w:cs="Times New Roman"/>
                <w:b w:val="0"/>
                <w:bCs w:val="0"/>
                <w:color w:val="auto"/>
                <w:sz w:val="21"/>
                <w:szCs w:val="21"/>
                <w:highlight w:val="none"/>
              </w:rPr>
              <w:t>针对不同类别、形态、物理化学性质的危险废物，其容器和包装物应满足相应的防渗、防漏、防腐和强度等要求。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c.</w:t>
            </w:r>
            <w:r>
              <w:rPr>
                <w:rFonts w:hint="default" w:ascii="Times New Roman" w:hAnsi="Times New Roman" w:eastAsia="宋体" w:cs="Times New Roman"/>
                <w:b w:val="0"/>
                <w:bCs w:val="0"/>
                <w:color w:val="auto"/>
                <w:sz w:val="21"/>
                <w:szCs w:val="21"/>
                <w:highlight w:val="none"/>
              </w:rPr>
              <w:t>硬质容器和包装物及其支护结构堆叠码放时不应有明显变形，无破损泄漏。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d.</w:t>
            </w:r>
            <w:r>
              <w:rPr>
                <w:rFonts w:hint="default" w:ascii="Times New Roman" w:hAnsi="Times New Roman" w:eastAsia="宋体" w:cs="Times New Roman"/>
                <w:b w:val="0"/>
                <w:bCs w:val="0"/>
                <w:color w:val="auto"/>
                <w:sz w:val="21"/>
                <w:szCs w:val="21"/>
                <w:highlight w:val="none"/>
              </w:rPr>
              <w:t>柔性容器和包装物堆叠码放时应封口严密，无破损泄漏。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e.</w:t>
            </w:r>
            <w:r>
              <w:rPr>
                <w:rFonts w:hint="default" w:ascii="Times New Roman" w:hAnsi="Times New Roman" w:eastAsia="宋体" w:cs="Times New Roman"/>
                <w:b w:val="0"/>
                <w:bCs w:val="0"/>
                <w:color w:val="auto"/>
                <w:sz w:val="21"/>
                <w:szCs w:val="21"/>
                <w:highlight w:val="none"/>
              </w:rPr>
              <w:t>使用容器盛装液态、半固态危险废物时，容器内部应留有适当的空间，以适应因温度变化等可能引发的收缩和膨胀，防止其导致容器渗漏或永久变形。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f.</w:t>
            </w:r>
            <w:r>
              <w:rPr>
                <w:rFonts w:hint="default" w:ascii="Times New Roman" w:hAnsi="Times New Roman" w:eastAsia="宋体" w:cs="Times New Roman"/>
                <w:b w:val="0"/>
                <w:bCs w:val="0"/>
                <w:color w:val="auto"/>
                <w:sz w:val="21"/>
                <w:szCs w:val="21"/>
                <w:highlight w:val="none"/>
              </w:rPr>
              <w:t>容器和包装物外表面应保持清洁。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贮存过程污染控制要求：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a.危险废物存入贮存设施前应对危险废物类别和特性与危险废物标签等危险废物识别标志的一致性进行核验，不一致的或类别、特性不明的不应存入。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b.应定期检查危险废物的贮存状况，及时清理贮存设施地面，更换破损泄漏的危险废物贮存容器和包装物，保证堆存危险废物的防雨、防风、防扬尘等设施功能完好。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e.贮存设施所有者或运营者应建立贮存设施环境管理制度、管理人员岗位职责制度、设施运行操作制度、人员岗位培训制度等。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g.贮存设施所有者或运营者应建立贮存设施全部档案，包括设计、施工、验收、运行、监测和环境应急等，应按国家有关档案管理的法律法规进行整理和归档。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val="en-US" w:eastAsia="zh-CN"/>
              </w:rPr>
              <w:t>4.2.2</w:t>
            </w:r>
            <w:r>
              <w:rPr>
                <w:rFonts w:hint="default" w:ascii="Times New Roman" w:hAnsi="Times New Roman" w:cs="Times New Roman"/>
                <w:b/>
                <w:bCs/>
                <w:color w:val="auto"/>
                <w:kern w:val="0"/>
                <w:szCs w:val="21"/>
                <w:highlight w:val="none"/>
                <w:lang w:eastAsia="zh-CN"/>
              </w:rPr>
              <w:t>一般固废管理要求</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本项目拟在车间</w:t>
            </w:r>
            <w:r>
              <w:rPr>
                <w:rFonts w:hint="default" w:ascii="Times New Roman" w:hAnsi="Times New Roman" w:cs="Times New Roman"/>
                <w:bCs/>
                <w:color w:val="auto"/>
                <w:kern w:val="0"/>
                <w:szCs w:val="21"/>
                <w:highlight w:val="none"/>
              </w:rPr>
              <w:t>内设置1</w:t>
            </w:r>
            <w:r>
              <w:rPr>
                <w:rFonts w:hint="default" w:ascii="Times New Roman" w:hAnsi="Times New Roman" w:cs="Times New Roman"/>
                <w:bCs/>
                <w:color w:val="auto"/>
                <w:kern w:val="0"/>
                <w:szCs w:val="21"/>
                <w:highlight w:val="none"/>
                <w:lang w:eastAsia="zh-CN"/>
              </w:rPr>
              <w:t>间</w:t>
            </w:r>
            <w:r>
              <w:rPr>
                <w:rFonts w:hint="default" w:ascii="Times New Roman" w:hAnsi="Times New Roman" w:cs="Times New Roman"/>
                <w:bCs/>
                <w:color w:val="auto"/>
                <w:kern w:val="0"/>
                <w:szCs w:val="21"/>
                <w:highlight w:val="none"/>
                <w:lang w:val="en-US" w:eastAsia="zh-CN"/>
              </w:rPr>
              <w:t>20</w:t>
            </w:r>
            <w:r>
              <w:rPr>
                <w:rFonts w:hint="default" w:ascii="Times New Roman" w:hAnsi="Times New Roman" w:cs="Times New Roman"/>
                <w:bCs/>
                <w:color w:val="auto"/>
                <w:kern w:val="0"/>
                <w:szCs w:val="21"/>
                <w:highlight w:val="none"/>
              </w:rPr>
              <w:t>m</w:t>
            </w:r>
            <w:r>
              <w:rPr>
                <w:rFonts w:hint="default" w:ascii="Times New Roman" w:hAnsi="Times New Roman" w:cs="Times New Roman"/>
                <w:bCs/>
                <w:color w:val="auto"/>
                <w:kern w:val="0"/>
                <w:szCs w:val="21"/>
                <w:highlight w:val="none"/>
                <w:vertAlign w:val="superscript"/>
              </w:rPr>
              <w:t>2</w:t>
            </w:r>
            <w:r>
              <w:rPr>
                <w:rFonts w:hint="default" w:ascii="Times New Roman" w:hAnsi="Times New Roman" w:cs="Times New Roman"/>
                <w:bCs/>
                <w:color w:val="auto"/>
                <w:kern w:val="0"/>
                <w:szCs w:val="21"/>
                <w:highlight w:val="none"/>
              </w:rPr>
              <w:t>一般固废暂存间，用于产生的一般固体废物暂存，本项目一般固废贮存采用库房，根据《一般工业固体废物贮存和填埋污染控制标准》（GB18599-2020）中</w:t>
            </w:r>
            <w:r>
              <w:rPr>
                <w:rFonts w:hint="default" w:ascii="Times New Roman" w:hAnsi="Times New Roman" w:cs="Times New Roman"/>
                <w:bCs/>
                <w:color w:val="auto"/>
                <w:kern w:val="0"/>
                <w:szCs w:val="21"/>
                <w:highlight w:val="none"/>
                <w:lang w:eastAsia="zh-CN"/>
              </w:rPr>
              <w:t>适用</w:t>
            </w:r>
            <w:r>
              <w:rPr>
                <w:rFonts w:hint="default" w:ascii="Times New Roman" w:hAnsi="Times New Roman" w:cs="Times New Roman"/>
                <w:bCs/>
                <w:color w:val="auto"/>
                <w:kern w:val="0"/>
                <w:szCs w:val="21"/>
                <w:highlight w:val="none"/>
              </w:rPr>
              <w:t>范围，“采用库房、包装工具（罐、桶、包装袋等）贮存一般工业固体废物过程的污染控制，不适用本标准，其贮存过程应满足相应防渗漏、防雨淋、防扬尘等环境保护要求”，因此不适用于本项目的一般固废暂存间，一般固废贮存过程应满足相应防渗漏、防雨淋、防扬尘等环境保护要求</w:t>
            </w:r>
            <w:r>
              <w:rPr>
                <w:rFonts w:hint="default" w:ascii="Times New Roman" w:hAnsi="Times New Roman" w:cs="Times New Roman"/>
                <w:bCs/>
                <w:color w:val="auto"/>
                <w:kern w:val="0"/>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综上，项目各类固废能得到合理利用，妥善处置，不擅自向环境排放，符合国家对固体废物减量化、资源化、无害化的要求，不会对周围环境造成影响，因此本项目固废处置方案可行。</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5、土壤及地下水</w:t>
            </w:r>
          </w:p>
          <w:p>
            <w:pPr>
              <w:keepNext w:val="0"/>
              <w:keepLines w:val="0"/>
              <w:pageBreakBefore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lang w:val="en-US" w:eastAsia="zh-CN"/>
              </w:rPr>
              <w:t>本项目主要是对生产过程中产生的废气、废水和固体废物进行治理。本项目生产过程中上料、破碎工序产生的颗粒物废气采用脉冲袋式除尘器处理后，经15m高排气筒排放；注塑工序产生的有机废气经设置1套“UV光催化氧化+活性炭吸附”装置处理后经15m高排气筒排放。项目外排废水主要为生活污水，经化粪池处理后，近期定期清运，远期待区域规划的新乡市凤泉区污水处理厂建成，且区域污水管网铺设完成后排入新乡市凤泉区污水处理厂进一步处理；一般固废经设置的一般固废暂存间暂存后定期外售处理，危险废物经设置的危险固废暂存间暂存后定期交由有资质的单位安全处置。</w:t>
            </w:r>
            <w:r>
              <w:rPr>
                <w:rFonts w:hint="default" w:ascii="Times New Roman" w:hAnsi="Times New Roman" w:cs="Times New Roman"/>
                <w:color w:val="auto"/>
                <w:sz w:val="21"/>
                <w:szCs w:val="21"/>
                <w:highlight w:val="none"/>
              </w:rPr>
              <w:t>一般固废</w:t>
            </w:r>
            <w:r>
              <w:rPr>
                <w:rFonts w:hint="default" w:ascii="Times New Roman" w:hAnsi="Times New Roman" w:cs="Times New Roman"/>
                <w:color w:val="auto"/>
                <w:sz w:val="21"/>
                <w:szCs w:val="21"/>
                <w:highlight w:val="none"/>
                <w:lang w:eastAsia="zh-CN"/>
              </w:rPr>
              <w:t>暂存间</w:t>
            </w:r>
            <w:r>
              <w:rPr>
                <w:rFonts w:hint="default" w:ascii="Times New Roman" w:hAnsi="Times New Roman" w:cs="Times New Roman"/>
                <w:color w:val="auto"/>
                <w:sz w:val="21"/>
                <w:szCs w:val="21"/>
                <w:highlight w:val="none"/>
              </w:rPr>
              <w:t>地面硬化，严格按照用于产生的一般固体废物暂存，一般固废暂存场所应按照《一般工业固体废物贮存和填埋污染控制标准》（GB18599-2020）</w:t>
            </w:r>
            <w:r>
              <w:rPr>
                <w:rFonts w:hint="default" w:ascii="Times New Roman" w:hAnsi="Times New Roman" w:cs="Times New Roman"/>
                <w:color w:val="auto"/>
                <w:sz w:val="21"/>
                <w:szCs w:val="21"/>
                <w:highlight w:val="none"/>
                <w:lang w:eastAsia="zh-CN"/>
              </w:rPr>
              <w:t>中</w:t>
            </w:r>
            <w:r>
              <w:rPr>
                <w:rFonts w:hint="default" w:ascii="Times New Roman" w:hAnsi="Times New Roman" w:cs="Times New Roman"/>
                <w:color w:val="auto"/>
                <w:sz w:val="21"/>
                <w:szCs w:val="21"/>
                <w:highlight w:val="none"/>
              </w:rPr>
              <w:t>“防渗漏、防雨淋、防扬尘”要求</w:t>
            </w:r>
            <w:r>
              <w:rPr>
                <w:rFonts w:hint="default" w:ascii="Times New Roman" w:hAnsi="Times New Roman" w:cs="Times New Roman"/>
                <w:color w:val="auto"/>
                <w:sz w:val="21"/>
                <w:szCs w:val="21"/>
                <w:highlight w:val="none"/>
                <w:lang w:eastAsia="zh-CN"/>
              </w:rPr>
              <w:t>设置</w:t>
            </w:r>
            <w:r>
              <w:rPr>
                <w:rFonts w:hint="default" w:ascii="Times New Roman" w:hAnsi="Times New Roman" w:cs="Times New Roman"/>
                <w:color w:val="auto"/>
                <w:sz w:val="21"/>
                <w:szCs w:val="21"/>
                <w:highlight w:val="none"/>
              </w:rPr>
              <w:t>，不得直接接触土壤。危险废物应使用规范的容器包装，并设置在单独危险固废暂存间内分类存放，危废在从工艺装置中卸出、包装、暂存到按照管理要求装车转移过程，均不得接触土壤，同时危险固废暂存间应严格按照《危险废物贮存污染控制标准》（GB18597-2023）要求，</w:t>
            </w:r>
            <w:r>
              <w:rPr>
                <w:rFonts w:hint="default" w:ascii="Times New Roman" w:hAnsi="Times New Roman" w:eastAsia="宋体" w:cs="Times New Roman"/>
                <w:b w:val="0"/>
                <w:bCs w:val="0"/>
                <w:color w:val="auto"/>
                <w:sz w:val="21"/>
                <w:szCs w:val="21"/>
                <w:highlight w:val="none"/>
              </w:rPr>
              <w:t>根据危险废物的形态、物理化学性质、包装形式和污染物迁移途径，采取必要的防风、防晒、防雨、防漏、防渗、防腐以及其他环境污染防治措施</w:t>
            </w:r>
            <w:r>
              <w:rPr>
                <w:rFonts w:hint="default" w:ascii="Times New Roman" w:hAnsi="Times New Roman" w:cs="Times New Roman"/>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default" w:ascii="Times New Roman" w:hAnsi="Times New Roman" w:cs="Times New Roman"/>
                <w:b w:val="0"/>
                <w:bCs w:val="0"/>
                <w:color w:val="auto"/>
                <w:sz w:val="21"/>
                <w:szCs w:val="21"/>
                <w:highlight w:val="none"/>
                <w:vertAlign w:val="superscript"/>
                <w:lang w:val="en-US" w:eastAsia="zh-CN"/>
              </w:rPr>
              <w:t>-7</w:t>
            </w:r>
            <w:r>
              <w:rPr>
                <w:rFonts w:hint="default" w:ascii="Times New Roman" w:hAnsi="Times New Roman" w:cs="Times New Roman"/>
                <w:b w:val="0"/>
                <w:bCs w:val="0"/>
                <w:color w:val="auto"/>
                <w:sz w:val="21"/>
                <w:szCs w:val="21"/>
                <w:highlight w:val="none"/>
                <w:lang w:val="en-US" w:eastAsia="zh-CN"/>
              </w:rPr>
              <w:t xml:space="preserve"> cm/s），或至少2 mm厚高密度聚乙烯膜等人工防渗材料（渗透系数不大于10</w:t>
            </w:r>
            <w:r>
              <w:rPr>
                <w:rFonts w:hint="default" w:ascii="Times New Roman" w:hAnsi="Times New Roman" w:cs="Times New Roman"/>
                <w:b w:val="0"/>
                <w:bCs w:val="0"/>
                <w:color w:val="auto"/>
                <w:sz w:val="21"/>
                <w:szCs w:val="21"/>
                <w:highlight w:val="none"/>
                <w:vertAlign w:val="superscript"/>
                <w:lang w:val="en-US" w:eastAsia="zh-CN"/>
              </w:rPr>
              <w:t>-10</w:t>
            </w:r>
            <w:r>
              <w:rPr>
                <w:rFonts w:hint="default" w:ascii="Times New Roman" w:hAnsi="Times New Roman" w:cs="Times New Roman"/>
                <w:b w:val="0"/>
                <w:bCs w:val="0"/>
                <w:color w:val="auto"/>
                <w:sz w:val="21"/>
                <w:szCs w:val="21"/>
                <w:highlight w:val="none"/>
                <w:lang w:val="en-US" w:eastAsia="zh-CN"/>
              </w:rPr>
              <w:t xml:space="preserve"> cm/s），或其他防渗性能等效的材料</w:t>
            </w:r>
            <w:r>
              <w:rPr>
                <w:rFonts w:hint="default" w:ascii="Times New Roman" w:hAnsi="Times New Roman" w:cs="Times New Roman"/>
                <w:color w:val="auto"/>
                <w:sz w:val="21"/>
                <w:szCs w:val="21"/>
                <w:highlight w:val="none"/>
              </w:rPr>
              <w:t xml:space="preserve">。各种原料、产品、中间产物在卸出、装车、转运过程中均要在经过防渗的场地进行，不得发生物料接触土壤的情况，如果有事故状态发生要及时处置。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为进一步加强对地下水、土壤的保护，要求采用分区防渗措施，具体分区及相应措施如下：</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项目分区防渗要求一览表</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2461"/>
              <w:gridCol w:w="45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防渗分区</w:t>
                  </w:r>
                </w:p>
              </w:tc>
              <w:tc>
                <w:tcPr>
                  <w:tcW w:w="24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区域</w:t>
                  </w:r>
                </w:p>
              </w:tc>
              <w:tc>
                <w:tcPr>
                  <w:tcW w:w="451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具体防渗要求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重点防渗区</w:t>
                  </w:r>
                </w:p>
              </w:tc>
              <w:tc>
                <w:tcPr>
                  <w:tcW w:w="24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color w:val="auto"/>
                      <w:sz w:val="18"/>
                      <w:szCs w:val="18"/>
                    </w:rPr>
                    <w:t>危废暂存间</w:t>
                  </w:r>
                </w:p>
              </w:tc>
              <w:tc>
                <w:tcPr>
                  <w:tcW w:w="45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color w:val="auto"/>
                      <w:sz w:val="18"/>
                      <w:szCs w:val="18"/>
                      <w:highlight w:val="none"/>
                    </w:rPr>
                    <w:t>混凝土硬化地面上采用“耐磨耐酸水泥+高密度聚乙烯+环氧地坪漆”防渗处理，防渗层高密度聚氯乙烯厚度不低于2mm，渗透系数小于1.0×10</w:t>
                  </w:r>
                  <w:r>
                    <w:rPr>
                      <w:rFonts w:hint="default" w:ascii="Times New Roman" w:hAnsi="Times New Roman" w:cs="Times New Roman"/>
                      <w:color w:val="auto"/>
                      <w:sz w:val="18"/>
                      <w:szCs w:val="18"/>
                      <w:highlight w:val="none"/>
                      <w:vertAlign w:val="superscript"/>
                    </w:rPr>
                    <w:t>-10</w:t>
                  </w:r>
                  <w:r>
                    <w:rPr>
                      <w:rFonts w:hint="default" w:ascii="Times New Roman" w:hAnsi="Times New Roman" w:cs="Times New Roman"/>
                      <w:color w:val="auto"/>
                      <w:sz w:val="18"/>
                      <w:szCs w:val="18"/>
                      <w:highlight w:val="none"/>
                    </w:rPr>
                    <w:t>cm/s。</w:t>
                  </w:r>
                  <w:r>
                    <w:rPr>
                      <w:rFonts w:hint="default" w:ascii="Times New Roman" w:hAnsi="Times New Roman" w:eastAsia="宋体" w:cs="Times New Roman"/>
                      <w:b w:val="0"/>
                      <w:bCs/>
                      <w:color w:val="auto"/>
                      <w:kern w:val="0"/>
                      <w:sz w:val="18"/>
                      <w:szCs w:val="18"/>
                      <w:highlight w:val="none"/>
                      <w:lang w:val="en-US" w:eastAsia="zh-CN" w:bidi="ar"/>
                    </w:rPr>
                    <w:t>等效黏土防渗层 Mb≥6.0m，K≤1×10</w:t>
                  </w:r>
                  <w:r>
                    <w:rPr>
                      <w:rFonts w:hint="default" w:ascii="Times New Roman" w:hAnsi="Times New Roman" w:eastAsia="宋体" w:cs="Times New Roman"/>
                      <w:b w:val="0"/>
                      <w:bCs/>
                      <w:color w:val="auto"/>
                      <w:kern w:val="0"/>
                      <w:sz w:val="18"/>
                      <w:szCs w:val="18"/>
                      <w:highlight w:val="none"/>
                      <w:vertAlign w:val="superscript"/>
                      <w:lang w:val="en-US" w:eastAsia="zh-CN" w:bidi="ar"/>
                    </w:rPr>
                    <w:t>-10</w:t>
                  </w:r>
                  <w:r>
                    <w:rPr>
                      <w:rFonts w:hint="default" w:ascii="Times New Roman" w:hAnsi="Times New Roman" w:eastAsia="宋体" w:cs="Times New Roman"/>
                      <w:b w:val="0"/>
                      <w:bCs/>
                      <w:color w:val="auto"/>
                      <w:kern w:val="0"/>
                      <w:sz w:val="18"/>
                      <w:szCs w:val="18"/>
                      <w:highlight w:val="none"/>
                      <w:lang w:val="en-US" w:eastAsia="zh-CN" w:bidi="ar"/>
                    </w:rPr>
                    <w:t>cm/s；或参照GB18598 执行</w:t>
                  </w:r>
                  <w:r>
                    <w:rPr>
                      <w:rFonts w:hint="default" w:ascii="Times New Roman" w:hAnsi="Times New Roman" w:cs="Times New Roman"/>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lang w:eastAsia="zh-CN"/>
                    </w:rPr>
                    <w:t>一般防渗区</w:t>
                  </w:r>
                </w:p>
              </w:tc>
              <w:tc>
                <w:tcPr>
                  <w:tcW w:w="24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一般固废暂存间、</w:t>
                  </w:r>
                  <w:r>
                    <w:rPr>
                      <w:rFonts w:hint="default" w:ascii="Times New Roman" w:hAnsi="Times New Roman" w:cs="Times New Roman"/>
                      <w:color w:val="auto"/>
                      <w:sz w:val="18"/>
                      <w:szCs w:val="18"/>
                      <w:lang w:eastAsia="zh-CN"/>
                    </w:rPr>
                    <w:t>注塑生产区、</w:t>
                  </w:r>
                  <w:r>
                    <w:rPr>
                      <w:rFonts w:hint="default" w:ascii="Times New Roman" w:hAnsi="Times New Roman" w:cs="Times New Roman"/>
                      <w:color w:val="auto"/>
                      <w:sz w:val="18"/>
                      <w:szCs w:val="18"/>
                    </w:rPr>
                    <w:t>破碎区、</w:t>
                  </w:r>
                  <w:r>
                    <w:rPr>
                      <w:rFonts w:hint="default" w:ascii="Times New Roman" w:hAnsi="Times New Roman" w:cs="Times New Roman"/>
                      <w:color w:val="auto"/>
                      <w:sz w:val="18"/>
                      <w:szCs w:val="18"/>
                      <w:lang w:eastAsia="zh-CN"/>
                    </w:rPr>
                    <w:t>原料区</w:t>
                  </w:r>
                </w:p>
              </w:tc>
              <w:tc>
                <w:tcPr>
                  <w:tcW w:w="45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eastAsia="宋体" w:cs="Times New Roman"/>
                      <w:b w:val="0"/>
                      <w:bCs/>
                      <w:color w:val="auto"/>
                      <w:kern w:val="0"/>
                      <w:sz w:val="18"/>
                      <w:szCs w:val="18"/>
                      <w:lang w:val="en-US" w:eastAsia="zh-CN" w:bidi="ar"/>
                    </w:rPr>
                    <w:t>在清场夯压的基础上铺设混凝土防渗，</w:t>
                  </w:r>
                  <w:r>
                    <w:rPr>
                      <w:rFonts w:hint="default" w:ascii="Times New Roman" w:hAnsi="Times New Roman" w:cs="Times New Roman"/>
                      <w:bCs/>
                      <w:color w:val="auto"/>
                      <w:sz w:val="18"/>
                      <w:szCs w:val="18"/>
                    </w:rPr>
                    <w:t>等效黏土防渗层Mb≥1.5m，渗透系数K≤1×l0</w:t>
                  </w:r>
                  <w:r>
                    <w:rPr>
                      <w:rFonts w:hint="default" w:ascii="Times New Roman" w:hAnsi="Times New Roman" w:cs="Times New Roman"/>
                      <w:bCs/>
                      <w:color w:val="auto"/>
                      <w:sz w:val="18"/>
                      <w:szCs w:val="18"/>
                      <w:vertAlign w:val="superscript"/>
                    </w:rPr>
                    <w:t>-7</w:t>
                  </w:r>
                  <w:r>
                    <w:rPr>
                      <w:rFonts w:hint="default" w:ascii="Times New Roman" w:hAnsi="Times New Roman" w:cs="Times New Roman"/>
                      <w:bCs/>
                      <w:color w:val="auto"/>
                      <w:sz w:val="18"/>
                      <w:szCs w:val="18"/>
                    </w:rPr>
                    <w:t>cm/s，或参照GB16889执行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简单防渗区</w:t>
                  </w:r>
                </w:p>
              </w:tc>
              <w:tc>
                <w:tcPr>
                  <w:tcW w:w="24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cyan"/>
                      <w:vertAlign w:val="baseline"/>
                      <w:lang w:val="en-US" w:eastAsia="zh-CN"/>
                    </w:rPr>
                  </w:pPr>
                  <w:r>
                    <w:rPr>
                      <w:rFonts w:hint="default" w:ascii="Times New Roman" w:hAnsi="Times New Roman" w:cs="Times New Roman"/>
                      <w:color w:val="auto"/>
                      <w:sz w:val="18"/>
                      <w:szCs w:val="18"/>
                    </w:rPr>
                    <w:t>办公区、成品区</w:t>
                  </w:r>
                </w:p>
              </w:tc>
              <w:tc>
                <w:tcPr>
                  <w:tcW w:w="45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color w:val="auto"/>
                      <w:kern w:val="0"/>
                      <w:sz w:val="18"/>
                      <w:szCs w:val="18"/>
                      <w:lang w:val="en-US" w:eastAsia="zh-CN" w:bidi="ar"/>
                    </w:rPr>
                  </w:pPr>
                  <w:r>
                    <w:rPr>
                      <w:rFonts w:hint="default" w:ascii="Times New Roman" w:hAnsi="Times New Roman" w:cs="Times New Roman"/>
                      <w:bCs/>
                      <w:color w:val="auto"/>
                      <w:sz w:val="18"/>
                      <w:szCs w:val="18"/>
                    </w:rPr>
                    <w:t>一般地面硬化</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综上分析，厂区做好防渗工作，切断其对地下水、土壤环境的影响源。在落实好防渗、防污措施后，本项目的地下水、土壤环境影响是可以接受的。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6、环境风险</w:t>
            </w:r>
          </w:p>
          <w:p>
            <w:pPr>
              <w:pStyle w:val="10"/>
              <w:keepNext w:val="0"/>
              <w:keepLines w:val="0"/>
              <w:pageBreakBefore w:val="0"/>
              <w:widowControl w:val="0"/>
              <w:kinsoku/>
              <w:wordWrap/>
              <w:overflowPunct/>
              <w:topLinePunct w:val="0"/>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工程涉及的主要原料主要为</w:t>
            </w:r>
            <w:r>
              <w:rPr>
                <w:rFonts w:hint="default" w:ascii="Times New Roman" w:hAnsi="Times New Roman" w:cs="Times New Roman"/>
                <w:color w:val="auto"/>
                <w:kern w:val="0"/>
                <w:sz w:val="21"/>
                <w:szCs w:val="21"/>
                <w:highlight w:val="none"/>
                <w:lang w:val="en-US" w:eastAsia="zh-CN"/>
              </w:rPr>
              <w:t>PA66尼龙塑料颗粒</w:t>
            </w:r>
            <w:r>
              <w:rPr>
                <w:rFonts w:hint="default" w:ascii="Times New Roman" w:hAnsi="Times New Roman" w:eastAsia="宋体" w:cs="Times New Roman"/>
                <w:color w:val="auto"/>
                <w:kern w:val="0"/>
                <w:sz w:val="21"/>
                <w:szCs w:val="21"/>
                <w:highlight w:val="none"/>
                <w:lang w:eastAsia="zh-CN"/>
              </w:rPr>
              <w:t>，经对照《建设项目环境风险评价技术导则》（HJ169-2018）附录B和附录</w:t>
            </w:r>
            <w:r>
              <w:rPr>
                <w:rFonts w:hint="default" w:ascii="Times New Roman" w:hAnsi="Times New Roman" w:eastAsia="宋体" w:cs="Times New Roman"/>
                <w:color w:val="auto"/>
                <w:kern w:val="0"/>
                <w:sz w:val="21"/>
                <w:szCs w:val="21"/>
                <w:highlight w:val="none"/>
                <w:lang w:val="en-US" w:eastAsia="zh-CN"/>
              </w:rPr>
              <w:t>C，本项目所用原辅材料均</w:t>
            </w:r>
            <w:r>
              <w:rPr>
                <w:rFonts w:hint="default" w:ascii="Times New Roman" w:hAnsi="Times New Roman"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lang w:val="en-US" w:eastAsia="zh-CN"/>
              </w:rPr>
              <w:t>属于导则中附录B和附录C所列物质</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不涉及使用有毒有害和易燃易爆等危险物质，但项目各类塑料颗粒、淀粉、助剂等原料以及危险固废在其储存、使用过程中由于自然或人为原因可能造成火灾等风险事故。通过加强厂区防火管理、完善物料及危废管理的基础上，事故发生概率很低，经过妥善的风险防范措施，本项目环境风险在可接受的范围内。但是本项目在生产过程中，仍需作好相应的风险防范措施。</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本项目拟采取的风险防范措施有：</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）加强安全、消防和环保管理，建立健全环保、安全、消防各项制度，保证安全防护设施正常运行或处于良好的待命状态；</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）加强火源的管理，严禁烟火带入，车间内应设有明显的禁止烟火安全标志；严格厂内用电设施、变压器等设备的检修和切换制度，临时用电设施的接入等有关安全用电的操作严格实行操作制度，确保安全用电；</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）生产车间原料区、成品区以及危险固废暂存间等区域配备一定数量的手提式干粉灭火器等。</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经过以上的风险防范措施后，本项目引发重大风险事故的可能性相对很小。</w:t>
            </w: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rPr>
                <w:rFonts w:hint="default" w:ascii="Times New Roman" w:hAnsi="Times New Roman" w:cs="Times New Roman"/>
                <w:color w:val="auto"/>
                <w:lang w:val="en-US" w:eastAsia="zh-CN"/>
              </w:rPr>
            </w:pPr>
          </w:p>
          <w:p>
            <w:pPr>
              <w:pStyle w:val="2"/>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ind w:left="0" w:leftChars="0" w:firstLine="0" w:firstLineChars="0"/>
              <w:rPr>
                <w:rFonts w:hint="default" w:ascii="Times New Roman" w:hAnsi="Times New Roman" w:cs="Times New Roman"/>
                <w:color w:val="auto"/>
              </w:rPr>
            </w:pPr>
          </w:p>
        </w:tc>
      </w:tr>
    </w:tbl>
    <w:p>
      <w:pPr>
        <w:rPr>
          <w:rFonts w:hint="default" w:ascii="Times New Roman" w:hAnsi="Times New Roman" w:cs="Times New Roman"/>
          <w:color w:val="auto"/>
          <w:highlight w:val="green"/>
        </w:rPr>
        <w:sectPr>
          <w:pgSz w:w="11907" w:h="16840"/>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1" w:name="_Hlk54167917"/>
      <w:r>
        <w:rPr>
          <w:rFonts w:hint="default" w:ascii="Times New Roman" w:hAnsi="Times New Roman" w:eastAsia="黑体" w:cs="Times New Roman"/>
          <w:snapToGrid w:val="0"/>
          <w:color w:val="auto"/>
          <w:sz w:val="30"/>
          <w:szCs w:val="30"/>
          <w:highlight w:val="none"/>
        </w:rPr>
        <w:t>环境保护措施监督检查清单</w:t>
      </w:r>
      <w:bookmarkEnd w:id="1"/>
    </w:p>
    <w:tbl>
      <w:tblPr>
        <w:tblStyle w:val="22"/>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367"/>
        <w:gridCol w:w="1432"/>
        <w:gridCol w:w="1929"/>
        <w:gridCol w:w="29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tcBorders>
              <w:tl2br w:val="single" w:color="auto" w:sz="4" w:space="0"/>
            </w:tcBorders>
            <w:noWrap w:val="0"/>
            <w:vAlign w:val="top"/>
          </w:tcPr>
          <w:p>
            <w:pPr>
              <w:keepNext w:val="0"/>
              <w:keepLines w:val="0"/>
              <w:pageBreakBefore w:val="0"/>
              <w:kinsoku/>
              <w:wordWrap/>
              <w:overflowPunct/>
              <w:topLinePunct w:val="0"/>
              <w:bidi w:val="0"/>
              <w:adjustRightInd/>
              <w:snapToGrid/>
              <w:spacing w:line="320" w:lineRule="exact"/>
              <w:ind w:firstLine="0" w:firstLineChars="0"/>
              <w:jc w:val="righ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pPr>
              <w:keepNext w:val="0"/>
              <w:keepLines w:val="0"/>
              <w:pageBreakBefore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color w:val="auto"/>
                <w:sz w:val="21"/>
                <w:szCs w:val="21"/>
                <w:highlight w:val="none"/>
              </w:rPr>
            </w:pPr>
          </w:p>
          <w:p>
            <w:pPr>
              <w:keepNext w:val="0"/>
              <w:keepLines w:val="0"/>
              <w:pageBreakBefore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74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编号、名称</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/污染源</w:t>
            </w:r>
          </w:p>
        </w:tc>
        <w:tc>
          <w:tcPr>
            <w:tcW w:w="7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污染物项目</w:t>
            </w:r>
          </w:p>
        </w:tc>
        <w:tc>
          <w:tcPr>
            <w:tcW w:w="1044"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159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74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注塑、冷却工序工序</w:t>
            </w:r>
          </w:p>
        </w:tc>
        <w:tc>
          <w:tcPr>
            <w:tcW w:w="7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非甲烷总烃</w:t>
            </w:r>
          </w:p>
        </w:tc>
        <w:tc>
          <w:tcPr>
            <w:tcW w:w="1044" w:type="pct"/>
            <w:noWrap w:val="0"/>
            <w:vAlign w:val="center"/>
          </w:tcPr>
          <w:p>
            <w:pPr>
              <w:keepNext w:val="0"/>
              <w:keepLines w:val="0"/>
              <w:pageBreakBefore w:val="0"/>
              <w:widowControl/>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注塑、冷却工序均设置于</w:t>
            </w:r>
            <w:r>
              <w:rPr>
                <w:rFonts w:hint="default" w:ascii="Times New Roman" w:hAnsi="Times New Roman" w:cs="Times New Roman"/>
                <w:color w:val="auto"/>
                <w:kern w:val="2"/>
                <w:sz w:val="21"/>
                <w:szCs w:val="21"/>
                <w:highlight w:val="none"/>
                <w:lang w:val="en-US" w:eastAsia="zh-CN" w:bidi="ar-SA"/>
              </w:rPr>
              <w:t>二次密闭间</w:t>
            </w:r>
            <w:r>
              <w:rPr>
                <w:rFonts w:hint="eastAsia" w:cs="Times New Roman"/>
                <w:color w:val="auto"/>
                <w:kern w:val="2"/>
                <w:sz w:val="21"/>
                <w:szCs w:val="21"/>
                <w:highlight w:val="none"/>
                <w:lang w:val="en-US" w:eastAsia="zh-CN" w:bidi="ar-SA"/>
              </w:rPr>
              <w:t>内，通过在设置</w:t>
            </w:r>
            <w:r>
              <w:rPr>
                <w:rFonts w:hint="default" w:ascii="Times New Roman" w:hAnsi="Times New Roman" w:cs="Times New Roman"/>
                <w:color w:val="auto"/>
                <w:kern w:val="2"/>
                <w:sz w:val="21"/>
                <w:szCs w:val="21"/>
                <w:highlight w:val="none"/>
                <w:lang w:val="en-US" w:eastAsia="zh-CN" w:bidi="ar-SA"/>
              </w:rPr>
              <w:t>顶吸式集气罩</w:t>
            </w:r>
            <w:r>
              <w:rPr>
                <w:rFonts w:hint="eastAsia" w:cs="Times New Roman"/>
                <w:color w:val="auto"/>
                <w:kern w:val="2"/>
                <w:sz w:val="21"/>
                <w:szCs w:val="21"/>
                <w:highlight w:val="none"/>
                <w:lang w:val="en-US" w:eastAsia="zh-CN" w:bidi="ar-SA"/>
              </w:rPr>
              <w:t>收集后，废气引入</w:t>
            </w:r>
            <w:r>
              <w:rPr>
                <w:rFonts w:hint="default" w:ascii="Times New Roman" w:hAnsi="Times New Roman" w:cs="Times New Roman"/>
                <w:color w:val="auto"/>
                <w:kern w:val="2"/>
                <w:sz w:val="21"/>
                <w:szCs w:val="21"/>
                <w:highlight w:val="none"/>
                <w:lang w:val="en-US" w:eastAsia="zh-CN" w:bidi="ar-SA"/>
              </w:rPr>
              <w:t>1套</w:t>
            </w:r>
            <w:r>
              <w:rPr>
                <w:rFonts w:hint="default" w:ascii="Times New Roman" w:hAnsi="Times New Roman" w:eastAsia="宋体" w:cs="Times New Roman"/>
                <w:color w:val="auto"/>
                <w:kern w:val="2"/>
                <w:sz w:val="21"/>
                <w:szCs w:val="21"/>
                <w:highlight w:val="none"/>
                <w:lang w:val="en-US" w:eastAsia="zh-CN" w:bidi="ar-SA"/>
              </w:rPr>
              <w:t>“UV光催化氧化+活性炭吸附”装置</w:t>
            </w:r>
            <w:r>
              <w:rPr>
                <w:rFonts w:hint="eastAsia" w:cs="Times New Roman"/>
                <w:color w:val="auto"/>
                <w:kern w:val="2"/>
                <w:sz w:val="21"/>
                <w:szCs w:val="21"/>
                <w:highlight w:val="none"/>
                <w:lang w:val="en-US" w:eastAsia="zh-CN" w:bidi="ar-SA"/>
              </w:rPr>
              <w:t>处理后，经</w:t>
            </w:r>
            <w:r>
              <w:rPr>
                <w:rFonts w:hint="default" w:ascii="Times New Roman" w:hAnsi="Times New Roman" w:cs="Times New Roman"/>
                <w:color w:val="auto"/>
                <w:kern w:val="2"/>
                <w:sz w:val="21"/>
                <w:szCs w:val="21"/>
                <w:highlight w:val="none"/>
                <w:lang w:val="en-US" w:eastAsia="zh-CN" w:bidi="ar-SA"/>
              </w:rPr>
              <w:t>15m高排气筒</w:t>
            </w:r>
          </w:p>
        </w:tc>
        <w:tc>
          <w:tcPr>
            <w:tcW w:w="159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《合成树脂工业污染物排放标准》（GB31572-2015）表5特别排放标准限值要求，同时满足《河南省重污染天气重点行业应急减排措施制定技术指南（2021年修订版）》塑料制品行业A级企业绩效分级指标要求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p>
        </w:tc>
        <w:tc>
          <w:tcPr>
            <w:tcW w:w="74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上料、破碎工序</w:t>
            </w:r>
          </w:p>
        </w:tc>
        <w:tc>
          <w:tcPr>
            <w:tcW w:w="7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颗粒物</w:t>
            </w:r>
          </w:p>
        </w:tc>
        <w:tc>
          <w:tcPr>
            <w:tcW w:w="1044"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上料、破碎工序均设置于二次密闭间内，上料工序通过真空上料机的抽真空尾气管道直接通入废气治理设施/破碎工序设置</w:t>
            </w:r>
            <w:r>
              <w:rPr>
                <w:rFonts w:hint="default" w:ascii="Times New Roman" w:hAnsi="Times New Roman" w:cs="Times New Roman"/>
                <w:color w:val="auto"/>
                <w:kern w:val="2"/>
                <w:sz w:val="21"/>
                <w:szCs w:val="21"/>
                <w:highlight w:val="none"/>
                <w:lang w:val="en-US" w:eastAsia="zh-CN" w:bidi="ar-SA"/>
              </w:rPr>
              <w:t>顶吸式集气罩</w:t>
            </w:r>
            <w:r>
              <w:rPr>
                <w:rFonts w:hint="eastAsia" w:cs="Times New Roman"/>
                <w:color w:val="auto"/>
                <w:kern w:val="2"/>
                <w:sz w:val="21"/>
                <w:szCs w:val="21"/>
                <w:highlight w:val="none"/>
                <w:lang w:val="en-US" w:eastAsia="zh-CN" w:bidi="ar-SA"/>
              </w:rPr>
              <w:t>收集，废气引入1套</w:t>
            </w:r>
            <w:r>
              <w:rPr>
                <w:rFonts w:hint="default" w:ascii="Times New Roman" w:hAnsi="Times New Roman" w:cs="Times New Roman"/>
                <w:color w:val="auto"/>
                <w:kern w:val="2"/>
                <w:sz w:val="21"/>
                <w:szCs w:val="21"/>
                <w:highlight w:val="none"/>
                <w:lang w:val="en-US" w:eastAsia="zh-CN" w:bidi="ar-SA"/>
              </w:rPr>
              <w:t>脉冲袋式除尘器</w:t>
            </w:r>
            <w:r>
              <w:rPr>
                <w:rFonts w:hint="eastAsia" w:cs="Times New Roman"/>
                <w:color w:val="auto"/>
                <w:kern w:val="2"/>
                <w:sz w:val="21"/>
                <w:szCs w:val="21"/>
                <w:highlight w:val="none"/>
                <w:lang w:val="en-US" w:eastAsia="zh-CN" w:bidi="ar-SA"/>
              </w:rPr>
              <w:t>处理后，经</w:t>
            </w:r>
            <w:r>
              <w:rPr>
                <w:rFonts w:hint="default" w:ascii="Times New Roman" w:hAnsi="Times New Roman" w:cs="Times New Roman"/>
                <w:color w:val="auto"/>
                <w:kern w:val="2"/>
                <w:sz w:val="21"/>
                <w:szCs w:val="21"/>
                <w:highlight w:val="none"/>
                <w:lang w:val="en-US" w:eastAsia="zh-CN" w:bidi="ar-SA"/>
              </w:rPr>
              <w:t>15m高排气筒</w:t>
            </w:r>
          </w:p>
        </w:tc>
        <w:tc>
          <w:tcPr>
            <w:tcW w:w="1598"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2"/>
                <w:sz w:val="21"/>
                <w:szCs w:val="21"/>
                <w:highlight w:val="green"/>
                <w:lang w:val="en-US" w:eastAsia="zh-CN" w:bidi="ar-SA"/>
              </w:rPr>
            </w:pPr>
            <w:r>
              <w:rPr>
                <w:rFonts w:hint="default" w:ascii="Times New Roman" w:hAnsi="Times New Roman" w:eastAsia="宋体" w:cs="Times New Roman"/>
                <w:color w:val="auto"/>
                <w:sz w:val="21"/>
                <w:szCs w:val="21"/>
                <w:highlight w:val="none"/>
                <w:lang w:val="en-US" w:eastAsia="zh-CN"/>
              </w:rPr>
              <w:t>《合成树脂工业污染物排放标准》（GB31572-2015）表5特别排放标准限值要求，同时满足《河南省重污染天气重点行业应急减排措施制定技术指南（2021年修订版）》塑料制品行业A级企业绩效分级指标要求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740" w:type="pct"/>
            <w:tcBorders>
              <w:top w:val="single" w:color="auto" w:sz="4" w:space="0"/>
            </w:tcBorders>
            <w:noWrap w:val="0"/>
            <w:vAlign w:val="center"/>
          </w:tcPr>
          <w:p>
            <w:pPr>
              <w:keepNext w:val="0"/>
              <w:keepLines w:val="0"/>
              <w:pageBreakBefore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zh-CN" w:eastAsia="en-US"/>
              </w:rPr>
              <w:t>生活废水</w:t>
            </w:r>
          </w:p>
        </w:tc>
        <w:tc>
          <w:tcPr>
            <w:tcW w:w="7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pH、COD、SS、NH</w:t>
            </w:r>
            <w:r>
              <w:rPr>
                <w:rFonts w:hint="default" w:ascii="Times New Roman" w:hAnsi="Times New Roman" w:cs="Times New Roman"/>
                <w:color w:val="auto"/>
                <w:kern w:val="0"/>
                <w:sz w:val="21"/>
                <w:szCs w:val="21"/>
                <w:highlight w:val="none"/>
                <w:vertAlign w:val="subscript"/>
                <w:lang w:val="en-US" w:eastAsia="zh-CN"/>
              </w:rPr>
              <w:t>3</w:t>
            </w:r>
            <w:r>
              <w:rPr>
                <w:rFonts w:hint="default" w:ascii="Times New Roman" w:hAnsi="Times New Roman" w:cs="Times New Roman"/>
                <w:color w:val="auto"/>
                <w:kern w:val="0"/>
                <w:sz w:val="21"/>
                <w:szCs w:val="21"/>
                <w:highlight w:val="none"/>
                <w:lang w:val="en-US" w:eastAsia="zh-CN"/>
              </w:rPr>
              <w:t>-N、TP、TN</w:t>
            </w:r>
          </w:p>
        </w:tc>
        <w:tc>
          <w:tcPr>
            <w:tcW w:w="1044" w:type="pct"/>
            <w:tcBorders>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化粪池</w:t>
            </w:r>
          </w:p>
        </w:tc>
        <w:tc>
          <w:tcPr>
            <w:tcW w:w="1598" w:type="pct"/>
            <w:tcBorders>
              <w:top w:val="single" w:color="000000" w:sz="4" w:space="0"/>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近期定期清运，远期待规划的污水处理厂建设完成，且区域污水管网铺设完成后，项目生活污水可经污水管网排入新乡市凤泉区污水处理厂进行二次处理，远期废水执行</w:t>
            </w:r>
            <w:r>
              <w:rPr>
                <w:rFonts w:hint="default" w:ascii="Times New Roman" w:hAnsi="Times New Roman" w:eastAsia="宋体" w:cs="Times New Roman"/>
                <w:color w:val="auto"/>
                <w:sz w:val="21"/>
                <w:szCs w:val="21"/>
                <w:highlight w:val="none"/>
                <w:lang w:val="en-US" w:eastAsia="zh-CN"/>
              </w:rPr>
              <w:t>《合成树脂工业污染物排放标准》（GB31572-2015）</w:t>
            </w:r>
            <w:r>
              <w:rPr>
                <w:rFonts w:hint="default" w:ascii="Times New Roman" w:hAnsi="Times New Roman" w:cs="Times New Roman"/>
                <w:color w:val="auto"/>
                <w:sz w:val="21"/>
                <w:szCs w:val="21"/>
                <w:highlight w:val="none"/>
                <w:lang w:val="en-US" w:eastAsia="zh-CN"/>
              </w:rPr>
              <w:t>以及新乡市凤泉区污水处理厂收水标准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vMerge w:val="restar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74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各生产</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设备</w:t>
            </w:r>
          </w:p>
        </w:tc>
        <w:tc>
          <w:tcPr>
            <w:tcW w:w="7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机械</w:t>
            </w:r>
            <w:r>
              <w:rPr>
                <w:rFonts w:hint="default" w:ascii="Times New Roman" w:hAnsi="Times New Roman" w:cs="Times New Roman"/>
                <w:color w:val="auto"/>
                <w:sz w:val="21"/>
                <w:szCs w:val="21"/>
                <w:highlight w:val="none"/>
              </w:rPr>
              <w:t>噪声</w:t>
            </w:r>
          </w:p>
        </w:tc>
        <w:tc>
          <w:tcPr>
            <w:tcW w:w="1044"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低噪声设备、基础减振、厂房隔声</w:t>
            </w:r>
          </w:p>
        </w:tc>
        <w:tc>
          <w:tcPr>
            <w:tcW w:w="1598" w:type="pct"/>
            <w:vMerge w:val="restart"/>
            <w:tcBorders>
              <w:top w:val="single" w:color="000000" w:sz="4" w:space="0"/>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vMerge w:val="continue"/>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p>
        </w:tc>
        <w:tc>
          <w:tcPr>
            <w:tcW w:w="740"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空压机、真空泵等</w:t>
            </w:r>
          </w:p>
        </w:tc>
        <w:tc>
          <w:tcPr>
            <w:tcW w:w="775"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空气动力</w:t>
            </w:r>
            <w:r>
              <w:rPr>
                <w:rFonts w:hint="default" w:ascii="Times New Roman" w:hAnsi="Times New Roman" w:cs="Times New Roman"/>
                <w:color w:val="auto"/>
                <w:sz w:val="21"/>
                <w:szCs w:val="21"/>
                <w:highlight w:val="none"/>
              </w:rPr>
              <w:t>噪声</w:t>
            </w:r>
          </w:p>
        </w:tc>
        <w:tc>
          <w:tcPr>
            <w:tcW w:w="1044"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消声、基础减振、厂房隔声</w:t>
            </w:r>
          </w:p>
        </w:tc>
        <w:tc>
          <w:tcPr>
            <w:tcW w:w="1598" w:type="pct"/>
            <w:vMerge w:val="continue"/>
            <w:tcBorders>
              <w:top w:val="single" w:color="000000" w:sz="4" w:space="0"/>
              <w:bottom w:val="single" w:color="000000" w:sz="4" w:space="0"/>
            </w:tcBorders>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gree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158" w:type="pct"/>
            <w:gridSpan w:val="4"/>
            <w:noWrap w:val="0"/>
            <w:vAlign w:val="center"/>
          </w:tcPr>
          <w:p>
            <w:pPr>
              <w:keepNext w:val="0"/>
              <w:keepLines w:val="0"/>
              <w:pageBreakBefore w:val="0"/>
              <w:kinsoku/>
              <w:wordWrap/>
              <w:overflowPunct/>
              <w:topLinePunct w:val="0"/>
              <w:bidi w:val="0"/>
              <w:adjustRightInd/>
              <w:snapToGrid/>
              <w:spacing w:line="320" w:lineRule="exact"/>
              <w:ind w:firstLine="0" w:firstLineChars="0"/>
              <w:textAlignment w:val="auto"/>
              <w:rPr>
                <w:rFonts w:hint="default" w:ascii="Times New Roman" w:hAnsi="Times New Roman" w:cs="Times New Roman"/>
                <w:bCs/>
                <w:color w:val="auto"/>
                <w:szCs w:val="21"/>
                <w:highlight w:val="none"/>
              </w:rPr>
            </w:pPr>
            <w:r>
              <w:rPr>
                <w:rFonts w:hint="default" w:ascii="Times New Roman" w:hAnsi="Times New Roman" w:cs="Times New Roman"/>
                <w:snapToGrid w:val="0"/>
                <w:color w:val="auto"/>
                <w:szCs w:val="21"/>
                <w:highlight w:val="none"/>
              </w:rPr>
              <w:fldChar w:fldCharType="begin"/>
            </w:r>
            <w:r>
              <w:rPr>
                <w:rFonts w:hint="default" w:ascii="Times New Roman" w:hAnsi="Times New Roman" w:cs="Times New Roman"/>
                <w:snapToGrid w:val="0"/>
                <w:color w:val="auto"/>
                <w:szCs w:val="21"/>
                <w:highlight w:val="none"/>
              </w:rPr>
              <w:instrText xml:space="preserve"> = 1 \* GB3 \* MERGEFORMAT </w:instrText>
            </w:r>
            <w:r>
              <w:rPr>
                <w:rFonts w:hint="default" w:ascii="Times New Roman" w:hAnsi="Times New Roman" w:cs="Times New Roman"/>
                <w:snapToGrid w:val="0"/>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zCs w:val="21"/>
                <w:highlight w:val="none"/>
              </w:rPr>
              <w:fldChar w:fldCharType="end"/>
            </w:r>
            <w:r>
              <w:rPr>
                <w:rFonts w:hint="default" w:ascii="Times New Roman" w:hAnsi="Times New Roman" w:cs="Times New Roman"/>
                <w:snapToGrid w:val="0"/>
                <w:color w:val="auto"/>
                <w:szCs w:val="21"/>
                <w:highlight w:val="none"/>
              </w:rPr>
              <w:t>一般固废经设置的一般固废暂存间（</w:t>
            </w:r>
            <w:r>
              <w:rPr>
                <w:rFonts w:hint="default" w:ascii="Times New Roman" w:hAnsi="Times New Roman" w:cs="Times New Roman"/>
                <w:snapToGrid w:val="0"/>
                <w:color w:val="auto"/>
                <w:szCs w:val="21"/>
                <w:highlight w:val="none"/>
                <w:lang w:val="en-US" w:eastAsia="zh-CN"/>
              </w:rPr>
              <w:t>20</w:t>
            </w:r>
            <w:r>
              <w:rPr>
                <w:rFonts w:hint="default" w:ascii="Times New Roman" w:hAnsi="Times New Roman" w:cs="Times New Roman"/>
                <w:snapToGrid w:val="0"/>
                <w:color w:val="auto"/>
                <w:szCs w:val="21"/>
                <w:highlight w:val="none"/>
              </w:rPr>
              <w:t>m</w:t>
            </w:r>
            <w:r>
              <w:rPr>
                <w:rFonts w:hint="default" w:ascii="Times New Roman" w:hAnsi="Times New Roman" w:cs="Times New Roman"/>
                <w:snapToGrid w:val="0"/>
                <w:color w:val="auto"/>
                <w:szCs w:val="21"/>
                <w:highlight w:val="none"/>
                <w:vertAlign w:val="superscript"/>
              </w:rPr>
              <w:t>2</w:t>
            </w:r>
            <w:r>
              <w:rPr>
                <w:rFonts w:hint="default" w:ascii="Times New Roman" w:hAnsi="Times New Roman" w:cs="Times New Roman"/>
                <w:snapToGrid w:val="0"/>
                <w:color w:val="auto"/>
                <w:szCs w:val="21"/>
                <w:highlight w:val="none"/>
              </w:rPr>
              <w:t>）暂存后，定期外售</w:t>
            </w:r>
            <w:r>
              <w:rPr>
                <w:rFonts w:hint="default" w:ascii="Times New Roman" w:hAnsi="Times New Roman" w:cs="Times New Roman"/>
                <w:snapToGrid w:val="0"/>
                <w:color w:val="auto"/>
                <w:szCs w:val="21"/>
                <w:highlight w:val="none"/>
                <w:lang w:eastAsia="zh-CN"/>
              </w:rPr>
              <w:t>或破碎后回用，生活垃圾</w:t>
            </w:r>
            <w:r>
              <w:rPr>
                <w:rFonts w:hint="default" w:ascii="Times New Roman" w:hAnsi="Times New Roman" w:cs="Times New Roman"/>
                <w:snapToGrid w:val="0"/>
                <w:color w:val="auto"/>
                <w:szCs w:val="21"/>
                <w:highlight w:val="none"/>
              </w:rPr>
              <w:t>交由环卫部门清运处理。</w:t>
            </w:r>
            <w:r>
              <w:rPr>
                <w:rFonts w:hint="default" w:ascii="Times New Roman" w:hAnsi="Times New Roman" w:cs="Times New Roman"/>
                <w:bCs/>
                <w:color w:val="auto"/>
                <w:szCs w:val="21"/>
                <w:highlight w:val="none"/>
              </w:rPr>
              <w:t>一般固废暂存</w:t>
            </w:r>
            <w:r>
              <w:rPr>
                <w:rFonts w:hint="default" w:ascii="Times New Roman" w:hAnsi="Times New Roman" w:cs="Times New Roman"/>
                <w:bCs/>
                <w:color w:val="auto"/>
                <w:szCs w:val="21"/>
                <w:highlight w:val="none"/>
                <w:lang w:eastAsia="zh-CN"/>
              </w:rPr>
              <w:t>满足满相应防渗漏、防雨淋、防扬尘等环境保护要求</w:t>
            </w:r>
            <w:r>
              <w:rPr>
                <w:rFonts w:hint="default" w:ascii="Times New Roman" w:hAnsi="Times New Roman" w:cs="Times New Roman"/>
                <w:bCs/>
                <w:color w:val="auto"/>
                <w:szCs w:val="21"/>
                <w:highlight w:val="none"/>
              </w:rPr>
              <w:t>。</w:t>
            </w:r>
          </w:p>
          <w:p>
            <w:pPr>
              <w:keepNext w:val="0"/>
              <w:keepLines w:val="0"/>
              <w:pageBreakBefore w:val="0"/>
              <w:kinsoku/>
              <w:wordWrap/>
              <w:overflowPunct/>
              <w:topLinePunct w:val="0"/>
              <w:bidi w:val="0"/>
              <w:adjustRightInd/>
              <w:snapToGrid/>
              <w:spacing w:line="320" w:lineRule="exact"/>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snapToGrid w:val="0"/>
                <w:color w:val="auto"/>
                <w:szCs w:val="21"/>
                <w:highlight w:val="none"/>
              </w:rPr>
              <w:fldChar w:fldCharType="begin"/>
            </w:r>
            <w:r>
              <w:rPr>
                <w:rFonts w:hint="default" w:ascii="Times New Roman" w:hAnsi="Times New Roman" w:cs="Times New Roman"/>
                <w:snapToGrid w:val="0"/>
                <w:color w:val="auto"/>
                <w:szCs w:val="21"/>
                <w:highlight w:val="none"/>
              </w:rPr>
              <w:instrText xml:space="preserve"> = 2 \* GB3 \* MERGEFORMAT </w:instrText>
            </w:r>
            <w:r>
              <w:rPr>
                <w:rFonts w:hint="default" w:ascii="Times New Roman" w:hAnsi="Times New Roman" w:cs="Times New Roman"/>
                <w:snapToGrid w:val="0"/>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snapToGrid w:val="0"/>
                <w:color w:val="auto"/>
                <w:szCs w:val="21"/>
                <w:highlight w:val="none"/>
              </w:rPr>
              <w:fldChar w:fldCharType="end"/>
            </w:r>
            <w:r>
              <w:rPr>
                <w:rFonts w:hint="default" w:ascii="Times New Roman" w:hAnsi="Times New Roman" w:cs="Times New Roman"/>
                <w:snapToGrid w:val="0"/>
                <w:color w:val="auto"/>
                <w:szCs w:val="21"/>
                <w:highlight w:val="none"/>
              </w:rPr>
              <w:t>危险废物经设置的危废暂存间（</w:t>
            </w:r>
            <w:r>
              <w:rPr>
                <w:rFonts w:hint="default" w:ascii="Times New Roman" w:hAnsi="Times New Roman" w:cs="Times New Roman"/>
                <w:snapToGrid w:val="0"/>
                <w:color w:val="auto"/>
                <w:szCs w:val="21"/>
                <w:highlight w:val="none"/>
                <w:lang w:val="en-US" w:eastAsia="zh-CN"/>
              </w:rPr>
              <w:t>15</w:t>
            </w:r>
            <w:r>
              <w:rPr>
                <w:rFonts w:hint="default" w:ascii="Times New Roman" w:hAnsi="Times New Roman" w:cs="Times New Roman"/>
                <w:snapToGrid w:val="0"/>
                <w:color w:val="auto"/>
                <w:szCs w:val="21"/>
                <w:highlight w:val="none"/>
              </w:rPr>
              <w:t>m</w:t>
            </w:r>
            <w:r>
              <w:rPr>
                <w:rFonts w:hint="default" w:ascii="Times New Roman" w:hAnsi="Times New Roman" w:cs="Times New Roman"/>
                <w:snapToGrid w:val="0"/>
                <w:color w:val="auto"/>
                <w:szCs w:val="21"/>
                <w:highlight w:val="none"/>
                <w:vertAlign w:val="superscript"/>
              </w:rPr>
              <w:t>2</w:t>
            </w:r>
            <w:r>
              <w:rPr>
                <w:rFonts w:hint="default" w:ascii="Times New Roman" w:hAnsi="Times New Roman" w:cs="Times New Roman"/>
                <w:snapToGrid w:val="0"/>
                <w:color w:val="auto"/>
                <w:szCs w:val="21"/>
                <w:highlight w:val="none"/>
              </w:rPr>
              <w:t>）暂存，定期委托有资质的危险废物处置单位回收处理。</w:t>
            </w:r>
            <w:r>
              <w:rPr>
                <w:rFonts w:hint="default" w:ascii="Times New Roman" w:hAnsi="Times New Roman" w:cs="Times New Roman"/>
                <w:bCs/>
                <w:color w:val="auto"/>
                <w:szCs w:val="21"/>
                <w:highlight w:val="none"/>
              </w:rPr>
              <w:t>危废暂存间应严格按照</w:t>
            </w:r>
            <w:r>
              <w:rPr>
                <w:rFonts w:hint="default" w:ascii="Times New Roman" w:hAnsi="Times New Roman" w:cs="Times New Roman"/>
                <w:color w:val="auto"/>
                <w:szCs w:val="21"/>
                <w:highlight w:val="none"/>
              </w:rPr>
              <w:t>《危险废物贮存污染控制标准》（GB18597-2023）</w:t>
            </w:r>
            <w:r>
              <w:rPr>
                <w:rFonts w:hint="default" w:ascii="Times New Roman" w:hAnsi="Times New Roman" w:cs="Times New Roman"/>
                <w:bCs/>
                <w:color w:val="auto"/>
                <w:szCs w:val="21"/>
                <w:highlight w:val="none"/>
              </w:rPr>
              <w:t>等相关要求设置。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c>
          <w:tcPr>
            <w:tcW w:w="4158" w:type="pct"/>
            <w:gridSpan w:val="4"/>
            <w:noWrap w:val="0"/>
            <w:vAlign w:val="center"/>
          </w:tcPr>
          <w:p>
            <w:pPr>
              <w:keepNext w:val="0"/>
              <w:keepLines w:val="0"/>
              <w:pageBreakBefore w:val="0"/>
              <w:kinsoku/>
              <w:wordWrap/>
              <w:overflowPunct/>
              <w:topLinePunct w:val="0"/>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rPr>
              <w:t>分区防渗，地面</w:t>
            </w:r>
            <w:r>
              <w:rPr>
                <w:rFonts w:hint="default" w:ascii="Times New Roman" w:hAnsi="Times New Roman" w:cs="Times New Roman"/>
                <w:bCs/>
                <w:color w:val="auto"/>
                <w:szCs w:val="21"/>
                <w:highlight w:val="none"/>
              </w:rPr>
              <w:t>采取</w:t>
            </w:r>
            <w:r>
              <w:rPr>
                <w:rFonts w:hint="default" w:ascii="Times New Roman" w:hAnsi="Times New Roman" w:cs="Times New Roman"/>
                <w:color w:val="auto"/>
                <w:szCs w:val="21"/>
                <w:highlight w:val="none"/>
              </w:rPr>
              <w:t>防渗和硬化处理</w:t>
            </w:r>
            <w:r>
              <w:rPr>
                <w:rFonts w:hint="default" w:ascii="Times New Roman" w:hAnsi="Times New Roman" w:cs="Times New Roman"/>
                <w:bCs/>
                <w:color w:val="auto"/>
                <w:szCs w:val="21"/>
                <w:highlight w:val="none"/>
              </w:rPr>
              <w:t>；加强日常管理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防范措施</w:t>
            </w:r>
          </w:p>
        </w:tc>
        <w:tc>
          <w:tcPr>
            <w:tcW w:w="4158" w:type="pct"/>
            <w:gridSpan w:val="4"/>
            <w:noWrap w:val="0"/>
            <w:vAlign w:val="center"/>
          </w:tcPr>
          <w:p>
            <w:pPr>
              <w:keepNext w:val="0"/>
              <w:keepLines w:val="0"/>
              <w:pageBreakBefore w:val="0"/>
              <w:kinsoku/>
              <w:wordWrap/>
              <w:overflowPunct/>
              <w:topLinePunct w:val="0"/>
              <w:bidi w:val="0"/>
              <w:adjustRightInd/>
              <w:snapToGrid/>
              <w:spacing w:line="320" w:lineRule="exact"/>
              <w:ind w:left="0" w:leftChars="0" w:right="0" w:righ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健全安全管理制度，加强火源管理，加强厂区用电制度，原来区、成品区、危废间等区域配备足量灭火器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4" w:hRule="atLeast"/>
          <w:jc w:val="center"/>
        </w:trPr>
        <w:tc>
          <w:tcPr>
            <w:tcW w:w="841" w:type="pct"/>
            <w:noWrap w:val="0"/>
            <w:vAlign w:val="center"/>
          </w:tcPr>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pPr>
              <w:keepNext w:val="0"/>
              <w:keepLines w:val="0"/>
              <w:pageBreakBefore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4158"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 = 1 \* GB3 \* MERGEFORMAT </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rPr>
              <w:t>总用电控制位置、主要生产设施和污染治理设施安装用电量监控系统终端；</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 = 2 \* GB3 \* MERGEFORMAT </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lang w:eastAsia="zh-CN"/>
              </w:rPr>
              <w:t>安装视频监控，对生产过程废气收集和治理设施运行情况24小时视频录像；</w:t>
            </w:r>
          </w:p>
        </w:tc>
      </w:tr>
    </w:tbl>
    <w:p>
      <w:pPr>
        <w:pStyle w:val="17"/>
        <w:jc w:val="center"/>
        <w:outlineLvl w:val="0"/>
        <w:rPr>
          <w:rFonts w:hint="default" w:ascii="Times New Roman" w:hAnsi="Times New Roman" w:cs="Times New Roman"/>
          <w:snapToGrid w:val="0"/>
          <w:color w:val="auto"/>
          <w:highlight w:val="green"/>
        </w:rPr>
        <w:sectPr>
          <w:pgSz w:w="11906" w:h="16838"/>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highlight w:val="green"/>
        </w:rPr>
        <w:br w:type="page"/>
      </w:r>
    </w:p>
    <w:p>
      <w:pPr>
        <w:pStyle w:val="17"/>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六、结论</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7" w:hRule="atLeast"/>
          <w:jc w:val="center"/>
        </w:trPr>
        <w:tc>
          <w:tcPr>
            <w:tcW w:w="5000" w:type="pct"/>
            <w:noWrap w:val="0"/>
            <w:vAlign w:val="top"/>
          </w:tcPr>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新乡市盛宏合成材料有限公司年产100吨塑料制品及其他塑料零件项目位于新乡市凤泉区陈堡工业区，该项目的建设符合国家产业政策及相关规划，符合生态保护红线、资源利用上线、环境质量底线和环境准入负面清单等“三线一单”相关要求；项目采取的环保措施可行，能实现达标排放；各类污染物达标排放，环境保护措施可行。</w:t>
            </w:r>
          </w:p>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因此，在建设单位加强项目的环境管理，严格遵守“三同时”等环保制度，严格落实本报告书提出的各项环保措施，确保污染防治设施稳定运行和污染物达标排放前提下，从环境保护角度，建设项目环境影响可行。</w:t>
            </w:r>
          </w:p>
          <w:p>
            <w:pPr>
              <w:spacing w:line="360" w:lineRule="auto"/>
              <w:rPr>
                <w:rFonts w:hint="default" w:ascii="Times New Roman" w:hAnsi="Times New Roman" w:cs="Times New Roman"/>
                <w:color w:val="auto"/>
                <w:sz w:val="24"/>
                <w:highlight w:val="green"/>
              </w:rPr>
            </w:pPr>
          </w:p>
        </w:tc>
      </w:tr>
    </w:tbl>
    <w:p>
      <w:pPr>
        <w:rPr>
          <w:rFonts w:hint="default" w:ascii="Times New Roman" w:hAnsi="Times New Roman" w:cs="Times New Roman"/>
          <w:color w:val="auto"/>
          <w:highlight w:val="green"/>
        </w:rPr>
        <w:sectPr>
          <w:pgSz w:w="11906" w:h="16838"/>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75"/>
        <w:gridCol w:w="1570"/>
        <w:gridCol w:w="1473"/>
        <w:gridCol w:w="1473"/>
        <w:gridCol w:w="1473"/>
        <w:gridCol w:w="1473"/>
        <w:gridCol w:w="1473"/>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tcBorders>
              <w:tl2br w:val="single" w:color="auto" w:sz="4" w:space="0"/>
            </w:tcBorders>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righ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left"/>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2175"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570"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=1\*GB3\*MERGEFORMAT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=2\*GB3\*MERGEFORMAT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=3\*GB3\*MERGEFORMAT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=4\*GB3\*MERGEFORMAT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473"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=5\*GB3\*MERGEFORMAT</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473"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=6\*GB3\*MERGEFORMAT</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476" w:type="dxa"/>
            <w:noWrap w:val="0"/>
            <w:tcMar>
              <w:left w:w="28" w:type="dxa"/>
              <w:right w:w="28" w:type="dxa"/>
            </w:tcMar>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=7\*GB3\*MERGEFORMAT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2175"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cs="Times New Roman"/>
                <w:snapToGrid w:val="0"/>
                <w:color w:val="auto"/>
                <w:kern w:val="21"/>
                <w:sz w:val="21"/>
                <w:szCs w:val="21"/>
                <w:highlight w:val="none"/>
                <w:lang w:val="en-US" w:eastAsia="zh-CN"/>
              </w:rPr>
              <w:t>非甲烷总烃</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0.0648</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0.0648</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+0.0648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颗粒物</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0.0012</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0.0012</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2175"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eastAsia="zh-CN"/>
              </w:rPr>
              <w:t>废水量（</w:t>
            </w:r>
            <w:r>
              <w:rPr>
                <w:rFonts w:hint="default" w:ascii="Times New Roman" w:hAnsi="Times New Roman" w:eastAsia="宋体" w:cs="Times New Roman"/>
                <w:snapToGrid w:val="0"/>
                <w:color w:val="auto"/>
                <w:kern w:val="21"/>
                <w:sz w:val="21"/>
                <w:szCs w:val="21"/>
                <w:highlight w:val="none"/>
                <w:lang w:val="en-US" w:eastAsia="zh-CN"/>
              </w:rPr>
              <w:t>m</w:t>
            </w:r>
            <w:r>
              <w:rPr>
                <w:rFonts w:hint="default" w:ascii="Times New Roman" w:hAnsi="Times New Roman" w:eastAsia="宋体" w:cs="Times New Roman"/>
                <w:snapToGrid w:val="0"/>
                <w:color w:val="auto"/>
                <w:kern w:val="21"/>
                <w:sz w:val="21"/>
                <w:szCs w:val="21"/>
                <w:highlight w:val="none"/>
                <w:vertAlign w:val="superscript"/>
                <w:lang w:val="en-US" w:eastAsia="zh-CN"/>
              </w:rPr>
              <w:t>3</w:t>
            </w:r>
            <w:r>
              <w:rPr>
                <w:rFonts w:hint="default" w:ascii="Times New Roman" w:hAnsi="Times New Roman" w:eastAsia="宋体" w:cs="Times New Roman"/>
                <w:snapToGrid w:val="0"/>
                <w:color w:val="auto"/>
                <w:kern w:val="21"/>
                <w:sz w:val="21"/>
                <w:szCs w:val="21"/>
                <w:highlight w:val="none"/>
                <w:lang w:val="en-US" w:eastAsia="zh-CN"/>
              </w:rPr>
              <w:t>/a</w:t>
            </w:r>
            <w:r>
              <w:rPr>
                <w:rFonts w:hint="default" w:ascii="Times New Roman" w:hAnsi="Times New Roman" w:eastAsia="宋体" w:cs="Times New Roman"/>
                <w:snapToGrid w:val="0"/>
                <w:color w:val="auto"/>
                <w:kern w:val="21"/>
                <w:sz w:val="21"/>
                <w:szCs w:val="21"/>
                <w:highlight w:val="none"/>
                <w:lang w:eastAsia="zh-CN"/>
              </w:rPr>
              <w:t>）</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144</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144</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COD</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0.0302</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0.0302</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SS</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0.0144</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0.0144</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NH</w:t>
            </w:r>
            <w:r>
              <w:rPr>
                <w:rFonts w:hint="default" w:ascii="Times New Roman" w:hAnsi="Times New Roman" w:eastAsia="宋体" w:cs="Times New Roman"/>
                <w:snapToGrid w:val="0"/>
                <w:color w:val="auto"/>
                <w:kern w:val="21"/>
                <w:sz w:val="21"/>
                <w:szCs w:val="21"/>
                <w:highlight w:val="none"/>
                <w:vertAlign w:val="subscript"/>
                <w:lang w:val="en-US" w:eastAsia="zh-CN" w:bidi="ar-SA"/>
              </w:rPr>
              <w:t>3</w:t>
            </w:r>
            <w:r>
              <w:rPr>
                <w:rFonts w:hint="default" w:ascii="Times New Roman" w:hAnsi="Times New Roman" w:eastAsia="宋体" w:cs="Times New Roman"/>
                <w:snapToGrid w:val="0"/>
                <w:color w:val="auto"/>
                <w:kern w:val="21"/>
                <w:sz w:val="21"/>
                <w:szCs w:val="21"/>
                <w:highlight w:val="none"/>
                <w:lang w:val="en-US" w:eastAsia="zh-CN" w:bidi="ar-SA"/>
              </w:rPr>
              <w:t>-N</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0.0039</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0.0039</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TP</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0.005</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0.005</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TN</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0.0004</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0.0004</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袋式除尘器集尘</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0.0191</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0.0191</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+0.0191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原辅材料废包装（t/a）</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不合格品（</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val="en-US" w:eastAsia="zh-CN" w:bidi="ar-SA"/>
              </w:rPr>
              <w:t>）</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5</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5</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r>
              <w:rPr>
                <w:rFonts w:hint="default" w:ascii="Times New Roman" w:hAnsi="Times New Roman" w:cs="Times New Roman"/>
                <w:snapToGrid w:val="0"/>
                <w:color w:val="auto"/>
                <w:kern w:val="21"/>
                <w:sz w:val="21"/>
                <w:szCs w:val="21"/>
                <w:highlight w:val="none"/>
                <w:lang w:val="en-US" w:eastAsia="zh-CN" w:bidi="ar-SA"/>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eastAsia="zh-CN"/>
              </w:rPr>
              <w:t>危险固废</w:t>
            </w: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废UV灯管（t/a）</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0.008</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0.008</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cs="Times New Roman"/>
                <w:snapToGrid w:val="0"/>
                <w:color w:val="auto"/>
                <w:kern w:val="21"/>
                <w:szCs w:val="21"/>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废活性炭（t/a）</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1.7</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bidi="ar-SA"/>
              </w:rPr>
              <w:t>1.7</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r>
              <w:rPr>
                <w:rFonts w:hint="default" w:ascii="Times New Roman" w:hAnsi="Times New Roman" w:cs="Times New Roman"/>
                <w:snapToGrid w:val="0"/>
                <w:color w:val="auto"/>
                <w:kern w:val="21"/>
                <w:sz w:val="21"/>
                <w:szCs w:val="21"/>
                <w:highlight w:val="none"/>
                <w:lang w:val="en-US" w:eastAsia="zh-CN" w:bidi="ar-SA"/>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217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r>
              <w:rPr>
                <w:rFonts w:hint="default" w:ascii="Times New Roman" w:hAnsi="Times New Roman" w:cs="Times New Roman"/>
                <w:snapToGrid w:val="0"/>
                <w:color w:val="auto"/>
                <w:kern w:val="21"/>
                <w:sz w:val="21"/>
                <w:szCs w:val="21"/>
                <w:highlight w:val="none"/>
                <w:lang w:eastAsia="zh-CN"/>
              </w:rPr>
              <w:t>（</w:t>
            </w:r>
            <w:r>
              <w:rPr>
                <w:rFonts w:hint="default" w:ascii="Times New Roman" w:hAnsi="Times New Roman" w:cs="Times New Roman"/>
                <w:snapToGrid w:val="0"/>
                <w:color w:val="auto"/>
                <w:kern w:val="21"/>
                <w:sz w:val="21"/>
                <w:szCs w:val="21"/>
                <w:highlight w:val="none"/>
                <w:lang w:val="en-US" w:eastAsia="zh-CN"/>
              </w:rPr>
              <w:t>t/a</w:t>
            </w:r>
            <w:r>
              <w:rPr>
                <w:rFonts w:hint="default" w:ascii="Times New Roman" w:hAnsi="Times New Roman" w:cs="Times New Roman"/>
                <w:snapToGrid w:val="0"/>
                <w:color w:val="auto"/>
                <w:kern w:val="21"/>
                <w:sz w:val="21"/>
                <w:szCs w:val="21"/>
                <w:highlight w:val="none"/>
                <w:lang w:eastAsia="zh-CN"/>
              </w:rPr>
              <w:t>）</w:t>
            </w:r>
          </w:p>
        </w:tc>
        <w:tc>
          <w:tcPr>
            <w:tcW w:w="1570"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2.25</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w:t>
            </w:r>
          </w:p>
        </w:tc>
        <w:tc>
          <w:tcPr>
            <w:tcW w:w="1473"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2.25</w:t>
            </w:r>
          </w:p>
        </w:tc>
        <w:tc>
          <w:tcPr>
            <w:tcW w:w="1476" w:type="dxa"/>
            <w:noWrap w:val="0"/>
            <w:vAlign w:val="center"/>
          </w:tcPr>
          <w:p>
            <w:pPr>
              <w:pStyle w:val="37"/>
              <w:keepNext w:val="0"/>
              <w:keepLines w:val="0"/>
              <w:pageBreakBefore w:val="0"/>
              <w:widowControl w:val="0"/>
              <w:kinsoku/>
              <w:wordWrap/>
              <w:overflowPunct/>
              <w:topLinePunct w:val="0"/>
              <w:autoSpaceDE/>
              <w:autoSpaceDN/>
              <w:bidi w:val="0"/>
              <w:adjustRightInd/>
              <w:snapToGrid/>
              <w:spacing w:beforeLines="0" w:afterLines="0" w:line="32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+2.25</w:t>
            </w:r>
          </w:p>
        </w:tc>
      </w:tr>
    </w:tbl>
    <w:p>
      <w:pPr>
        <w:pStyle w:val="37"/>
        <w:spacing w:before="192" w:beforeLines="80" w:after="24"/>
        <w:jc w:val="left"/>
        <w:rPr>
          <w:rFonts w:hint="default" w:ascii="Times New Roman" w:hAnsi="Times New Roman" w:cs="Times New Roman"/>
          <w:snapToGrid w:val="0"/>
          <w:color w:val="auto"/>
          <w:spacing w:val="-6"/>
          <w:kern w:val="21"/>
          <w:szCs w:val="21"/>
          <w:highlight w:val="none"/>
        </w:rPr>
        <w:sectPr>
          <w:footerReference r:id="rId8" w:type="default"/>
          <w:pgSz w:w="16838" w:h="11906" w:orient="landscape"/>
          <w:pgMar w:top="1803" w:right="1440" w:bottom="1803"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=3\*GB3\*MERGEFORMAT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=4\*GB3\*MERGEFORMAT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=5\*GB3\*MERGEFORMAT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=7\*GB3\*MERGEFORMAT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lang w:val="en-US" w:eastAsia="zh-CN"/>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sz w:val="21"/>
        </w:rPr>
        <w:drawing>
          <wp:anchor distT="0" distB="0" distL="114300" distR="114300" simplePos="0" relativeHeight="251689984" behindDoc="0" locked="0" layoutInCell="1" allowOverlap="1">
            <wp:simplePos x="0" y="0"/>
            <wp:positionH relativeFrom="column">
              <wp:posOffset>138430</wp:posOffset>
            </wp:positionH>
            <wp:positionV relativeFrom="paragraph">
              <wp:posOffset>-888365</wp:posOffset>
            </wp:positionV>
            <wp:extent cx="9194800" cy="6644640"/>
            <wp:effectExtent l="0" t="0" r="6350" b="3810"/>
            <wp:wrapSquare wrapText="bothSides"/>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25"/>
                    <a:stretch>
                      <a:fillRect/>
                    </a:stretch>
                  </pic:blipFill>
                  <pic:spPr>
                    <a:xfrm>
                      <a:off x="0" y="0"/>
                      <a:ext cx="9194800" cy="6644640"/>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1349375</wp:posOffset>
                </wp:positionH>
                <wp:positionV relativeFrom="paragraph">
                  <wp:posOffset>8509000</wp:posOffset>
                </wp:positionV>
                <wp:extent cx="2712085" cy="325755"/>
                <wp:effectExtent l="0" t="0" r="12065" b="17145"/>
                <wp:wrapNone/>
                <wp:docPr id="7" name="文本框 7"/>
                <wp:cNvGraphicFramePr/>
                <a:graphic xmlns:a="http://schemas.openxmlformats.org/drawingml/2006/main">
                  <a:graphicData uri="http://schemas.microsoft.com/office/word/2010/wordprocessingShape">
                    <wps:wsp>
                      <wps:cNvSpPr txBox="1"/>
                      <wps:spPr>
                        <a:xfrm>
                          <a:off x="0" y="0"/>
                          <a:ext cx="2712085" cy="325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附图一</w:t>
                            </w:r>
                            <w:r>
                              <w:rPr>
                                <w:rFonts w:hint="eastAsia" w:ascii="黑体" w:hAnsi="黑体" w:eastAsia="黑体" w:cs="黑体"/>
                                <w:sz w:val="24"/>
                                <w:szCs w:val="24"/>
                                <w:lang w:val="en-US" w:eastAsia="zh-CN"/>
                              </w:rPr>
                              <w:t xml:space="preserve">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25pt;margin-top:670pt;height:25.65pt;width:213.55pt;z-index:251660288;mso-width-relative:page;mso-height-relative:page;" fillcolor="#FFFFFF [3201]" filled="t" stroked="f" coordsize="21600,21600" o:gfxdata="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41YAXXAAAADQEAAA8A&#10;AAAAAAAAAQAgAAAAIgAAAGRycy9kb3ducmV2LnhtbFBLAQIUABQAAAAIAIdO4kAOaXTfUQIAAI8E&#10;AAAOAAAAAAAAAAEAIAAAACYBAABkcnMvZTJvRG9jLnhtbFBLBQYAAAAABgAGAFkBAADpBQAAAAA=&#10;">
                <v:fill on="t" focussize="0,0"/>
                <v:stroke on="f" weight="0.5pt"/>
                <v:imagedata o:title=""/>
                <o:lock v:ext="edit" aspectratio="f"/>
                <v:textbox>
                  <w:txbxContent>
                    <w:p>
                      <w:pPr>
                        <w:jc w:val="center"/>
                        <w:rPr>
                          <w:rFonts w:hint="eastAsia" w:ascii="黑体" w:hAnsi="黑体" w:eastAsia="黑体" w:cs="黑体"/>
                          <w:sz w:val="24"/>
                          <w:szCs w:val="24"/>
                          <w:lang w:val="en-US" w:eastAsia="zh-CN"/>
                        </w:rPr>
                      </w:pPr>
                      <w:r>
                        <w:rPr>
                          <w:rFonts w:hint="eastAsia" w:ascii="黑体" w:hAnsi="黑体" w:eastAsia="黑体" w:cs="黑体"/>
                          <w:sz w:val="24"/>
                          <w:szCs w:val="24"/>
                          <w:lang w:eastAsia="zh-CN"/>
                        </w:rPr>
                        <w:t>附图一</w:t>
                      </w:r>
                      <w:r>
                        <w:rPr>
                          <w:rFonts w:hint="eastAsia" w:ascii="黑体" w:hAnsi="黑体" w:eastAsia="黑体" w:cs="黑体"/>
                          <w:sz w:val="24"/>
                          <w:szCs w:val="24"/>
                          <w:lang w:val="en-US" w:eastAsia="zh-CN"/>
                        </w:rPr>
                        <w:t xml:space="preserve">    项目地理位置图</w:t>
                      </w:r>
                    </w:p>
                  </w:txbxContent>
                </v:textbox>
              </v:shape>
            </w:pict>
          </mc:Fallback>
        </mc:AlternateContent>
      </w:r>
    </w:p>
    <w:p>
      <w:pPr>
        <w:jc w:val="center"/>
        <w:rPr>
          <w:rFonts w:hint="eastAsia" w:eastAsiaTheme="minorEastAsia"/>
          <w:lang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91008" behindDoc="0" locked="0" layoutInCell="1" allowOverlap="1">
            <wp:simplePos x="0" y="0"/>
            <wp:positionH relativeFrom="column">
              <wp:posOffset>452755</wp:posOffset>
            </wp:positionH>
            <wp:positionV relativeFrom="paragraph">
              <wp:posOffset>-906780</wp:posOffset>
            </wp:positionV>
            <wp:extent cx="8491220" cy="6607175"/>
            <wp:effectExtent l="0" t="0" r="5080" b="3175"/>
            <wp:wrapSquare wrapText="bothSides"/>
            <wp:docPr id="41" name="图片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2"/>
                    <pic:cNvPicPr>
                      <a:picLocks noChangeAspect="1"/>
                    </pic:cNvPicPr>
                  </pic:nvPicPr>
                  <pic:blipFill>
                    <a:blip r:embed="rId26"/>
                    <a:stretch>
                      <a:fillRect/>
                    </a:stretch>
                  </pic:blipFill>
                  <pic:spPr>
                    <a:xfrm>
                      <a:off x="0" y="0"/>
                      <a:ext cx="8491220" cy="6607175"/>
                    </a:xfrm>
                    <a:prstGeom prst="rect">
                      <a:avLst/>
                    </a:prstGeom>
                  </pic:spPr>
                </pic:pic>
              </a:graphicData>
            </a:graphic>
          </wp:anchor>
        </w:drawing>
      </w:r>
    </w:p>
    <w:p>
      <w:pPr>
        <w:jc w:val="left"/>
        <w:rPr>
          <w:rFonts w:hint="eastAsia" w:eastAsiaTheme="minorEastAsia"/>
          <w:lang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92032" behindDoc="0" locked="0" layoutInCell="1" allowOverlap="1">
            <wp:simplePos x="0" y="0"/>
            <wp:positionH relativeFrom="column">
              <wp:posOffset>252730</wp:posOffset>
            </wp:positionH>
            <wp:positionV relativeFrom="paragraph">
              <wp:posOffset>-629920</wp:posOffset>
            </wp:positionV>
            <wp:extent cx="8728075" cy="6343650"/>
            <wp:effectExtent l="0" t="0" r="15875" b="0"/>
            <wp:wrapSquare wrapText="bothSides"/>
            <wp:docPr id="42" name="图片 4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3"/>
                    <pic:cNvPicPr>
                      <a:picLocks noChangeAspect="1"/>
                    </pic:cNvPicPr>
                  </pic:nvPicPr>
                  <pic:blipFill>
                    <a:blip r:embed="rId27"/>
                    <a:stretch>
                      <a:fillRect/>
                    </a:stretch>
                  </pic:blipFill>
                  <pic:spPr>
                    <a:xfrm>
                      <a:off x="0" y="0"/>
                      <a:ext cx="8728075" cy="6343650"/>
                    </a:xfrm>
                    <a:prstGeom prst="rect">
                      <a:avLst/>
                    </a:prstGeom>
                  </pic:spPr>
                </pic:pic>
              </a:graphicData>
            </a:graphic>
          </wp:anchor>
        </w:drawing>
      </w:r>
    </w:p>
    <w:p>
      <w:pPr>
        <w:jc w:val="left"/>
        <w:rPr>
          <w:rFonts w:hint="eastAsia" w:eastAsiaTheme="minorEastAsia"/>
          <w:lang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eastAsia" w:eastAsiaTheme="minorEastAsia"/>
          <w:lang w:eastAsia="zh-CN"/>
        </w:rPr>
        <w:drawing>
          <wp:anchor distT="0" distB="0" distL="114300" distR="114300" simplePos="0" relativeHeight="251693056" behindDoc="0" locked="0" layoutInCell="1" allowOverlap="1">
            <wp:simplePos x="0" y="0"/>
            <wp:positionH relativeFrom="column">
              <wp:posOffset>360045</wp:posOffset>
            </wp:positionH>
            <wp:positionV relativeFrom="paragraph">
              <wp:posOffset>-486410</wp:posOffset>
            </wp:positionV>
            <wp:extent cx="8658225" cy="6182995"/>
            <wp:effectExtent l="0" t="0" r="9525" b="8255"/>
            <wp:wrapSquare wrapText="bothSides"/>
            <wp:docPr id="43" name="图片 4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4"/>
                    <pic:cNvPicPr>
                      <a:picLocks noChangeAspect="1"/>
                    </pic:cNvPicPr>
                  </pic:nvPicPr>
                  <pic:blipFill>
                    <a:blip r:embed="rId28"/>
                    <a:stretch>
                      <a:fillRect/>
                    </a:stretch>
                  </pic:blipFill>
                  <pic:spPr>
                    <a:xfrm>
                      <a:off x="0" y="0"/>
                      <a:ext cx="8658225" cy="6182995"/>
                    </a:xfrm>
                    <a:prstGeom prst="rect">
                      <a:avLst/>
                    </a:prstGeom>
                  </pic:spPr>
                </pic:pic>
              </a:graphicData>
            </a:graphic>
          </wp:anchor>
        </w:drawing>
      </w:r>
    </w:p>
    <w:p>
      <w:pPr>
        <w:jc w:val="left"/>
        <w:rPr>
          <w:rFonts w:hint="default" w:ascii="Times New Roman" w:hAnsi="Times New Roman" w:cs="Times New Roman"/>
          <w:b/>
          <w:bCs/>
          <w:sz w:val="40"/>
          <w:szCs w:val="40"/>
        </w:rPr>
      </w:pPr>
      <w:r>
        <w:rPr>
          <w:sz w:val="21"/>
        </w:rPr>
        <mc:AlternateContent>
          <mc:Choice Requires="wps">
            <w:drawing>
              <wp:anchor distT="0" distB="0" distL="114300" distR="114300" simplePos="0" relativeHeight="251662336" behindDoc="0" locked="0" layoutInCell="1" allowOverlap="1">
                <wp:simplePos x="0" y="0"/>
                <wp:positionH relativeFrom="column">
                  <wp:posOffset>1217930</wp:posOffset>
                </wp:positionH>
                <wp:positionV relativeFrom="paragraph">
                  <wp:posOffset>8283575</wp:posOffset>
                </wp:positionV>
                <wp:extent cx="3077845" cy="306070"/>
                <wp:effectExtent l="0" t="0" r="8255" b="17780"/>
                <wp:wrapNone/>
                <wp:docPr id="10" name="文本框 10"/>
                <wp:cNvGraphicFramePr/>
                <a:graphic xmlns:a="http://schemas.openxmlformats.org/drawingml/2006/main">
                  <a:graphicData uri="http://schemas.microsoft.com/office/word/2010/wordprocessingShape">
                    <wps:wsp>
                      <wps:cNvSpPr txBox="1"/>
                      <wps:spPr>
                        <a:xfrm>
                          <a:off x="0" y="0"/>
                          <a:ext cx="3077845" cy="3060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24"/>
                                <w:szCs w:val="32"/>
                                <w:lang w:val="en-US" w:eastAsia="zh-CN"/>
                              </w:rPr>
                            </w:pPr>
                            <w:r>
                              <w:rPr>
                                <w:rFonts w:hint="eastAsia" w:ascii="黑体" w:hAnsi="黑体" w:eastAsia="黑体" w:cs="黑体"/>
                                <w:sz w:val="24"/>
                                <w:szCs w:val="32"/>
                                <w:lang w:eastAsia="zh-CN"/>
                              </w:rPr>
                              <w:t>附图三</w:t>
                            </w:r>
                            <w:r>
                              <w:rPr>
                                <w:rFonts w:hint="eastAsia" w:ascii="黑体" w:hAnsi="黑体" w:eastAsia="黑体" w:cs="黑体"/>
                                <w:sz w:val="24"/>
                                <w:szCs w:val="32"/>
                                <w:lang w:val="en-US" w:eastAsia="zh-CN"/>
                              </w:rPr>
                              <w:t>-2   现有工程二层平面布局图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9pt;margin-top:652.25pt;height:24.1pt;width:242.35pt;z-index:251662336;mso-width-relative:page;mso-height-relative:page;" fillcolor="#FFFFFF [3201]" filled="t" stroked="f" coordsize="21600,21600" o:gfxdata="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rsCEjWAAAADQEAAA8A&#10;AAAAAAAAAQAgAAAAIgAAAGRycy9kb3ducmV2LnhtbFBLAQIUABQAAAAIAIdO4kAu8sMOUgIAAJEE&#10;AAAOAAAAAAAAAAEAIAAAACUBAABkcnMvZTJvRG9jLnhtbFBLBQYAAAAABgAGAFkBAADpBQAAAAA=&#10;">
                <v:fill on="t" focussize="0,0"/>
                <v:stroke on="f" weight="0.5pt"/>
                <v:imagedata o:title=""/>
                <o:lock v:ext="edit" aspectratio="f"/>
                <v:textbox>
                  <w:txbxContent>
                    <w:p>
                      <w:pPr>
                        <w:jc w:val="center"/>
                        <w:rPr>
                          <w:rFonts w:hint="eastAsia" w:ascii="黑体" w:hAnsi="黑体" w:eastAsia="黑体" w:cs="黑体"/>
                          <w:sz w:val="24"/>
                          <w:szCs w:val="32"/>
                          <w:lang w:val="en-US" w:eastAsia="zh-CN"/>
                        </w:rPr>
                      </w:pPr>
                      <w:r>
                        <w:rPr>
                          <w:rFonts w:hint="eastAsia" w:ascii="黑体" w:hAnsi="黑体" w:eastAsia="黑体" w:cs="黑体"/>
                          <w:sz w:val="24"/>
                          <w:szCs w:val="32"/>
                          <w:lang w:eastAsia="zh-CN"/>
                        </w:rPr>
                        <w:t>附图三</w:t>
                      </w:r>
                      <w:r>
                        <w:rPr>
                          <w:rFonts w:hint="eastAsia" w:ascii="黑体" w:hAnsi="黑体" w:eastAsia="黑体" w:cs="黑体"/>
                          <w:sz w:val="24"/>
                          <w:szCs w:val="32"/>
                          <w:lang w:val="en-US" w:eastAsia="zh-CN"/>
                        </w:rPr>
                        <w:t>-2   现有工程二层平面布局图</w:t>
                      </w:r>
                    </w:p>
                  </w:txbxContent>
                </v:textbox>
              </v:shape>
            </w:pict>
          </mc:Fallback>
        </mc:AlternateContent>
      </w:r>
      <w:bookmarkStart w:id="2" w:name="_GoBack"/>
      <w:bookmarkEnd w:id="2"/>
      <w:r>
        <w:rPr>
          <w:sz w:val="21"/>
        </w:rPr>
        <mc:AlternateContent>
          <mc:Choice Requires="wps">
            <w:drawing>
              <wp:anchor distT="0" distB="0" distL="114300" distR="114300" simplePos="0" relativeHeight="251677696" behindDoc="0" locked="0" layoutInCell="1" allowOverlap="1">
                <wp:simplePos x="0" y="0"/>
                <wp:positionH relativeFrom="column">
                  <wp:posOffset>5183505</wp:posOffset>
                </wp:positionH>
                <wp:positionV relativeFrom="paragraph">
                  <wp:posOffset>-300355</wp:posOffset>
                </wp:positionV>
                <wp:extent cx="900430" cy="4381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0043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15pt;margin-top:-23.65pt;height:34.5pt;width:70.9pt;z-index:251677696;mso-width-relative:page;mso-height-relative:page;" filled="f" stroked="f" coordsize="21600,21600" o:gfxdata="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9I9b/cAAAACgEAAA8AAAAAAAAAAQAgAAAAIgAAAGRy&#10;cy9kb3ducmV2LnhtbFBLAQIUABQAAAAIAIdO4kAC2R53OgIAAGcEAAAOAAAAAAAAAAEAIAAAACsB&#10;AABkcnMvZTJvRG9jLnhtbFBLBQYAAAAABgAGAFkBAADXBQAAAAA=&#10;">
                <v:fill on="f" focussize="0,0"/>
                <v:stroke on="f" weight="0.5pt"/>
                <v:imagedata o:title=""/>
                <o:lock v:ext="edit" aspectratio="f"/>
                <v:textbo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附件一</w:t>
                      </w:r>
                    </w:p>
                  </w:txbxContent>
                </v:textbox>
              </v:shape>
            </w:pict>
          </mc:Fallback>
        </mc:AlternateContent>
      </w:r>
      <w:r>
        <w:rPr>
          <w:rFonts w:hint="default" w:ascii="Times New Roman" w:hAnsi="Times New Roman" w:cs="Times New Roman"/>
          <w:sz w:val="28"/>
          <w:szCs w:val="28"/>
        </w:rPr>
        <w:drawing>
          <wp:anchor distT="0" distB="0" distL="114300" distR="114300" simplePos="0" relativeHeight="251676672" behindDoc="0" locked="0" layoutInCell="1" allowOverlap="1">
            <wp:simplePos x="0" y="0"/>
            <wp:positionH relativeFrom="column">
              <wp:posOffset>-1141730</wp:posOffset>
            </wp:positionH>
            <wp:positionV relativeFrom="paragraph">
              <wp:posOffset>-463550</wp:posOffset>
            </wp:positionV>
            <wp:extent cx="7534275" cy="9799955"/>
            <wp:effectExtent l="0" t="0" r="9525" b="10795"/>
            <wp:wrapNone/>
            <wp:docPr id="14" name="图片 14" descr="委托书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委托书_页面_1"/>
                    <pic:cNvPicPr>
                      <a:picLocks noChangeAspect="1"/>
                    </pic:cNvPicPr>
                  </pic:nvPicPr>
                  <pic:blipFill>
                    <a:blip r:embed="rId29">
                      <a:lum bright="6000"/>
                    </a:blip>
                    <a:srcRect/>
                    <a:stretch>
                      <a:fillRect/>
                    </a:stretch>
                  </pic:blipFill>
                  <pic:spPr>
                    <a:xfrm>
                      <a:off x="0" y="0"/>
                      <a:ext cx="7534275" cy="97999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eastAsiaTheme="minorEastAsia"/>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rFonts w:hint="default" w:ascii="Times New Roman" w:hAnsi="Times New Roman" w:cs="Times New Roman"/>
          <w:sz w:val="28"/>
          <w:szCs w:val="28"/>
        </w:rPr>
        <w:t xml:space="preserve">   </w:t>
      </w:r>
    </w:p>
    <w:p>
      <w:pPr>
        <w:shd w:val="clear" w:fill="000000"/>
        <w:rPr>
          <w:rFonts w:hint="eastAsia" w:eastAsiaTheme="minorEastAsia"/>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sz w:val="21"/>
        </w:rPr>
        <mc:AlternateContent>
          <mc:Choice Requires="wps">
            <w:drawing>
              <wp:anchor distT="0" distB="0" distL="114300" distR="114300" simplePos="0" relativeHeight="251681792" behindDoc="0" locked="0" layoutInCell="1" allowOverlap="1">
                <wp:simplePos x="0" y="0"/>
                <wp:positionH relativeFrom="column">
                  <wp:posOffset>5183505</wp:posOffset>
                </wp:positionH>
                <wp:positionV relativeFrom="paragraph">
                  <wp:posOffset>-9090025</wp:posOffset>
                </wp:positionV>
                <wp:extent cx="900430" cy="4381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0043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15pt;margin-top:-715.75pt;height:34.5pt;width:70.9pt;z-index:251681792;mso-width-relative:page;mso-height-relative:page;" filled="f" stroked="f" coordsize="21600,21600" o:gfxdata="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u/JH7eAAAADwEAAA8AAAAAAAAAAQAgAAAAIgAA&#10;AGRycy9kb3ducmV2LnhtbFBLAQIUABQAAAAIAIdO4kAJq2I7OwIAAGcEAAAOAAAAAAAAAAEAIAAA&#10;AC0BAABkcnMvZTJvRG9jLnhtbFBLBQYAAAAABgAGAFkBAADaBQAAAAA=&#10;">
                <v:fill on="f" focussize="0,0"/>
                <v:stroke on="f" weight="0.5pt"/>
                <v:imagedata o:title=""/>
                <o:lock v:ext="edit" aspectratio="f"/>
                <v:textbo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附件二</w:t>
                      </w:r>
                    </w:p>
                  </w:txbxContent>
                </v:textbox>
              </v:shape>
            </w:pict>
          </mc:Fallback>
        </mc:AlternateContent>
      </w:r>
      <w:r>
        <w:rPr>
          <w:sz w:val="21"/>
        </w:rPr>
        <w:drawing>
          <wp:anchor distT="0" distB="0" distL="114300" distR="114300" simplePos="0" relativeHeight="251680768" behindDoc="0" locked="0" layoutInCell="1" allowOverlap="1">
            <wp:simplePos x="0" y="0"/>
            <wp:positionH relativeFrom="column">
              <wp:posOffset>-1024255</wp:posOffset>
            </wp:positionH>
            <wp:positionV relativeFrom="paragraph">
              <wp:posOffset>-855345</wp:posOffset>
            </wp:positionV>
            <wp:extent cx="7308850" cy="9464040"/>
            <wp:effectExtent l="0" t="0" r="6350" b="3810"/>
            <wp:wrapSquare wrapText="bothSides"/>
            <wp:docPr id="15" name="图片 2" descr="河南省企业投资项目备案证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河南省企业投资项目备案证明(1)"/>
                    <pic:cNvPicPr>
                      <a:picLocks noChangeAspect="1"/>
                    </pic:cNvPicPr>
                  </pic:nvPicPr>
                  <pic:blipFill>
                    <a:blip r:embed="rId30">
                      <a:lum bright="6000"/>
                    </a:blip>
                    <a:srcRect/>
                    <a:stretch>
                      <a:fillRect/>
                    </a:stretch>
                  </pic:blipFill>
                  <pic:spPr>
                    <a:xfrm>
                      <a:off x="0" y="0"/>
                      <a:ext cx="7308850" cy="9464040"/>
                    </a:xfrm>
                    <a:prstGeom prst="rect">
                      <a:avLst/>
                    </a:prstGeom>
                    <a:noFill/>
                    <a:ln>
                      <a:noFill/>
                    </a:ln>
                  </pic:spPr>
                </pic:pic>
              </a:graphicData>
            </a:graphic>
          </wp:anchor>
        </w:drawing>
      </w:r>
    </w:p>
    <w:p>
      <w:pPr>
        <w:shd w:val="clear" w:fill="000000"/>
        <w:rPr>
          <w:rFonts w:hint="eastAsia" w:eastAsiaTheme="minorEastAsia"/>
          <w:lang w:eastAsia="zh-CN"/>
        </w:rPr>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pPr>
      <w:r>
        <w:rPr>
          <w:sz w:val="21"/>
        </w:rPr>
        <mc:AlternateContent>
          <mc:Choice Requires="wps">
            <w:drawing>
              <wp:anchor distT="0" distB="0" distL="114300" distR="114300" simplePos="0" relativeHeight="251679744" behindDoc="0" locked="0" layoutInCell="1" allowOverlap="1">
                <wp:simplePos x="0" y="0"/>
                <wp:positionH relativeFrom="column">
                  <wp:posOffset>5183505</wp:posOffset>
                </wp:positionH>
                <wp:positionV relativeFrom="paragraph">
                  <wp:posOffset>-9090025</wp:posOffset>
                </wp:positionV>
                <wp:extent cx="900430" cy="4381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0043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15pt;margin-top:-715.75pt;height:34.5pt;width:70.9pt;z-index:251679744;mso-width-relative:page;mso-height-relative:page;" filled="f" stroked="f" coordsize="21600,21600" o:gfxdata="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u/JH7eAAAADwEAAA8AAAAAAAAAAQAgAAAAIgAA&#10;AGRycy9kb3ducmV2LnhtbFBLAQIUABQAAAAIAIdO4kCyVzKKOwIAAGcEAAAOAAAAAAAAAAEAIAAA&#10;AC0BAABkcnMvZTJvRG9jLnhtbFBLBQYAAAAABgAGAFkBAADaBQAAAAA=&#10;">
                <v:fill on="f" focussize="0,0"/>
                <v:stroke on="f" weight="0.5pt"/>
                <v:imagedata o:title=""/>
                <o:lock v:ext="edit" aspectratio="f"/>
                <v:textbo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附件三</w:t>
                      </w:r>
                    </w:p>
                  </w:txbxContent>
                </v:textbox>
              </v:shape>
            </w:pict>
          </mc:Fallback>
        </mc:AlternateContent>
      </w:r>
      <w:r>
        <w:rPr>
          <w:rFonts w:hint="eastAsia" w:eastAsiaTheme="minorEastAsia"/>
          <w:lang w:eastAsia="zh-CN"/>
        </w:rPr>
        <w:drawing>
          <wp:anchor distT="0" distB="0" distL="114300" distR="114300" simplePos="0" relativeHeight="251678720" behindDoc="0" locked="0" layoutInCell="1" allowOverlap="1">
            <wp:simplePos x="0" y="0"/>
            <wp:positionH relativeFrom="column">
              <wp:posOffset>-1130935</wp:posOffset>
            </wp:positionH>
            <wp:positionV relativeFrom="paragraph">
              <wp:posOffset>-913765</wp:posOffset>
            </wp:positionV>
            <wp:extent cx="7418070" cy="9626600"/>
            <wp:effectExtent l="0" t="0" r="11430" b="12700"/>
            <wp:wrapSquare wrapText="bothSides"/>
            <wp:docPr id="17" name="图片 17" descr="委托书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委托书_页面_2"/>
                    <pic:cNvPicPr>
                      <a:picLocks noChangeAspect="1"/>
                    </pic:cNvPicPr>
                  </pic:nvPicPr>
                  <pic:blipFill>
                    <a:blip r:embed="rId31">
                      <a:lum bright="6000"/>
                    </a:blip>
                    <a:srcRect/>
                    <a:stretch>
                      <a:fillRect/>
                    </a:stretch>
                  </pic:blipFill>
                  <pic:spPr>
                    <a:xfrm>
                      <a:off x="0" y="0"/>
                      <a:ext cx="7418070" cy="9626600"/>
                    </a:xfrm>
                    <a:prstGeom prst="rect">
                      <a:avLst/>
                    </a:prstGeom>
                  </pic:spPr>
                </pic:pic>
              </a:graphicData>
            </a:graphic>
          </wp:anchor>
        </w:drawing>
      </w:r>
    </w:p>
    <w:p>
      <w:pPr>
        <w:rPr>
          <w:rFonts w:hint="eastAsia" w:eastAsiaTheme="minorEastAsia"/>
          <w:lang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5183505</wp:posOffset>
                </wp:positionH>
                <wp:positionV relativeFrom="paragraph">
                  <wp:posOffset>-9090025</wp:posOffset>
                </wp:positionV>
                <wp:extent cx="900430" cy="4381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0043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15pt;margin-top:-715.75pt;height:34.5pt;width:70.9pt;z-index:251682816;mso-width-relative:page;mso-height-relative:page;" filled="f" stroked="f" coordsize="21600,21600" o:gfxdata="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u/JH7eAAAADwEAAA8AAAAAAAAAAQAgAAAAIgAA&#10;AGRycy9kb3ducmV2LnhtbFBLAQIUABQAAAAIAIdO4kCmLFbZOwIAAGcEAAAOAAAAAAAAAAEAIAAA&#10;AC0BAABkcnMvZTJvRG9jLnhtbFBLBQYAAAAABgAGAFkBAADaBQAAAAA=&#10;">
                <v:fill on="f" focussize="0,0"/>
                <v:stroke on="f" weight="0.5pt"/>
                <v:imagedata o:title=""/>
                <o:lock v:ext="edit" aspectratio="f"/>
                <v:textbox>
                  <w:txbxContent>
                    <w:p>
                      <w:pPr>
                        <w:jc w:val="center"/>
                        <w:rPr>
                          <w:rFonts w:hint="eastAsia" w:ascii="黑体" w:hAnsi="黑体" w:eastAsia="黑体" w:cs="黑体"/>
                          <w:b w:val="0"/>
                          <w:bCs w:val="0"/>
                          <w:sz w:val="28"/>
                          <w:szCs w:val="36"/>
                          <w:lang w:eastAsia="zh-CN"/>
                        </w:rPr>
                      </w:pPr>
                      <w:r>
                        <w:rPr>
                          <w:rFonts w:hint="eastAsia" w:ascii="黑体" w:hAnsi="黑体" w:eastAsia="黑体" w:cs="黑体"/>
                          <w:b w:val="0"/>
                          <w:bCs w:val="0"/>
                          <w:sz w:val="28"/>
                          <w:szCs w:val="36"/>
                          <w:lang w:eastAsia="zh-CN"/>
                        </w:rPr>
                        <w:t>附件四</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4999990</wp:posOffset>
                </wp:positionH>
                <wp:positionV relativeFrom="paragraph">
                  <wp:posOffset>-9047480</wp:posOffset>
                </wp:positionV>
                <wp:extent cx="900430" cy="3200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7pt;margin-top:-712.4pt;height:25.2pt;width:70.9pt;z-index:251674624;mso-width-relative:page;mso-height-relative:page;" filled="f" stroked="f" coordsize="21600,21600" o:gfxdata="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8Gbz3wAAAA8BAAAPAAAAAAAAAAEAIAAAACIA&#10;AABkcnMvZG93bnJldi54bWxQSwECFAAUAAAACACHTuJA7vPXFTsCAABnBAAADgAAAAAAAAABACAA&#10;AAAuAQAAZHJzL2Uyb0RvYy54bWxQSwUGAAAAAAYABgBZAQAA2wUAAAAA&#10;">
                <v:fill on="f"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5196840</wp:posOffset>
                </wp:positionH>
                <wp:positionV relativeFrom="paragraph">
                  <wp:posOffset>-9099550</wp:posOffset>
                </wp:positionV>
                <wp:extent cx="900430" cy="320040"/>
                <wp:effectExtent l="0" t="0" r="13970" b="3810"/>
                <wp:wrapNone/>
                <wp:docPr id="20" name="文本框 20"/>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2pt;margin-top:-716.5pt;height:25.2pt;width:70.9pt;z-index:251670528;mso-width-relative:page;mso-height-relative:page;" fillcolor="#FFFFFF [3201]" filled="t" stroked="f" coordsize="21600,21600" o:gfxdata="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QHu2QAAAA8BAAAP&#10;AAAAAAAAAAEAIAAAACIAAABkcnMvZG93bnJldi54bWxQSwECFAAUAAAACACHTuJAj4V8CVACAACQ&#10;BAAADgAAAAAAAAABACAAAAAoAQAAZHJzL2Uyb0RvYy54bWxQSwUGAAAAAAYABgBZAQAA6gUAAA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附件三</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5010785</wp:posOffset>
                </wp:positionH>
                <wp:positionV relativeFrom="paragraph">
                  <wp:posOffset>-9185275</wp:posOffset>
                </wp:positionV>
                <wp:extent cx="900430" cy="32004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55pt;margin-top:-723.25pt;height:25.2pt;width:70.9pt;z-index:251675648;mso-width-relative:page;mso-height-relative:page;" filled="f" stroked="f" coordsize="21600,21600" o:gfxdata="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HwUwd8AAAAPAQAADwAAAAAAAAABACAAAAAi&#10;AAAAZHJzL2Rvd25yZXYueG1sUEsBAhQAFAAAAAgAh07iQDFidHI8AgAAZwQAAA4AAAAAAAAAAQAg&#10;AAAALgEAAGRycy9lMm9Eb2MueG1sUEsFBgAAAAAGAAYAWQEAANwFAAAAAA==&#10;">
                <v:fill on="f"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5196840</wp:posOffset>
                </wp:positionH>
                <wp:positionV relativeFrom="paragraph">
                  <wp:posOffset>-9099550</wp:posOffset>
                </wp:positionV>
                <wp:extent cx="900430" cy="320040"/>
                <wp:effectExtent l="0" t="0" r="13970" b="3810"/>
                <wp:wrapNone/>
                <wp:docPr id="24" name="文本框 24"/>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2pt;margin-top:-716.5pt;height:25.2pt;width:70.9pt;z-index:251671552;mso-width-relative:page;mso-height-relative:page;" fillcolor="#FFFFFF [3201]" filled="t" stroked="f" coordsize="21600,21600" o:gfxdata="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EB7tkAAAAPAQAA&#10;DwAAAAAAAAABACAAAAAiAAAAZHJzL2Rvd25yZXYueG1sUEsBAhQAFAAAAAgAh07iQMz7ZfFRAgAA&#10;kAQAAA4AAAAAAAAAAQAgAAAAKAEAAGRycy9lMm9Eb2MueG1sUEsFBgAAAAAGAAYAWQEAAOsFAAAA&#10;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附件四</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4987290</wp:posOffset>
                </wp:positionH>
                <wp:positionV relativeFrom="paragraph">
                  <wp:posOffset>-9078595</wp:posOffset>
                </wp:positionV>
                <wp:extent cx="900430" cy="320040"/>
                <wp:effectExtent l="0" t="0" r="13970" b="3810"/>
                <wp:wrapNone/>
                <wp:docPr id="25" name="文本框 25"/>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黑体" w:hAnsi="黑体" w:eastAsia="黑体" w:cs="黑体"/>
                                <w:b w:val="0"/>
                                <w:bCs w:val="0"/>
                                <w:lang w:val="en-US" w:eastAsia="zh-CN"/>
                              </w:rPr>
                            </w:pPr>
                            <w:r>
                              <w:rPr>
                                <w:rFonts w:hint="eastAsia" w:ascii="黑体" w:hAnsi="黑体" w:eastAsia="黑体" w:cs="黑体"/>
                                <w:b w:val="0"/>
                                <w:bCs w:val="0"/>
                                <w:lang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7pt;margin-top:-714.85pt;height:25.2pt;width:70.9pt;z-index:251666432;mso-width-relative:page;mso-height-relative:page;" fillcolor="#FFFFFF [3201]" filled="t" stroked="f" coordsize="21600,21600" o:gfxdata="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pU8hPaAAAADwEA&#10;AA8AAAAAAAAAAQAgAAAAIgAAAGRycy9kb3ducmV2LnhtbFBLAQIUABQAAAAIAIdO4kDsZgdUUQIA&#10;AJAEAAAOAAAAAAAAAAEAIAAAACkBAABkcnMvZTJvRG9jLnhtbFBLBQYAAAAABgAGAFkBAADsBQAA&#10;AAA=&#10;">
                <v:fill on="t" focussize="0,0"/>
                <v:stroke on="f" weight="0.5pt"/>
                <v:imagedata o:title=""/>
                <o:lock v:ext="edit" aspectratio="f"/>
                <v:textbox>
                  <w:txbxContent>
                    <w:p>
                      <w:pPr>
                        <w:jc w:val="center"/>
                        <w:rPr>
                          <w:rFonts w:hint="default" w:ascii="黑体" w:hAnsi="黑体" w:eastAsia="黑体" w:cs="黑体"/>
                          <w:b w:val="0"/>
                          <w:bCs w:val="0"/>
                          <w:lang w:val="en-US" w:eastAsia="zh-CN"/>
                        </w:rPr>
                      </w:pPr>
                      <w:r>
                        <w:rPr>
                          <w:rFonts w:hint="eastAsia" w:ascii="黑体" w:hAnsi="黑体" w:eastAsia="黑体" w:cs="黑体"/>
                          <w:b w:val="0"/>
                          <w:bCs w:val="0"/>
                          <w:lang w:eastAsia="zh-CN"/>
                        </w:rPr>
                        <w:t>附件三</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7686675</wp:posOffset>
                </wp:positionH>
                <wp:positionV relativeFrom="paragraph">
                  <wp:posOffset>-5694045</wp:posOffset>
                </wp:positionV>
                <wp:extent cx="900430" cy="320040"/>
                <wp:effectExtent l="0" t="0" r="13970" b="3810"/>
                <wp:wrapNone/>
                <wp:docPr id="26" name="文本框 26"/>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25pt;margin-top:-448.35pt;height:25.2pt;width:70.9pt;z-index:251673600;mso-width-relative:page;mso-height-relative:page;" fillcolor="#FFFFFF [3201]" filled="t" stroked="f" coordsize="21600,21600" o:gfxdata="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BHJEt2AAAAA8BAAAP&#10;AAAAAAAAAAEAIAAAACIAAABkcnMvZG93bnJldi54bWxQSwECFAAUAAAACACHTuJAzcfRYFECAACQ&#10;BAAADgAAAAAAAAABACAAAAAnAQAAZHJzL2Uyb0RvYy54bWxQSwUGAAAAAAYABgBZAQAA6gUAAA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附件五</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5196840</wp:posOffset>
                </wp:positionH>
                <wp:positionV relativeFrom="paragraph">
                  <wp:posOffset>-9099550</wp:posOffset>
                </wp:positionV>
                <wp:extent cx="900430" cy="320040"/>
                <wp:effectExtent l="0" t="0" r="13970" b="3810"/>
                <wp:wrapNone/>
                <wp:docPr id="27" name="文本框 27"/>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2pt;margin-top:-716.5pt;height:25.2pt;width:70.9pt;z-index:251672576;mso-width-relative:page;mso-height-relative:page;" fillcolor="#FFFFFF [3201]" filled="t" stroked="f" coordsize="21600,21600" o:gfxdata="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EB7tkAAAAPAQAA&#10;DwAAAAAAAAABACAAAAAiAAAAZHJzL2Rvd25yZXYueG1sUEsBAhQAFAAAAAgAh07iQO1as8VRAgAA&#10;kAQAAA4AAAAAAAAAAQAgAAAAKAEAAGRycy9lMm9Eb2MueG1sUEsFBgAAAAAGAAYAWQEAAOsFAAAA&#10;AA==&#10;">
                <v:fill on="t" focussize="0,0"/>
                <v:stroke on="f" weight="0.5pt"/>
                <v:imagedata o:title=""/>
                <o:lock v:ext="edit" aspectratio="f"/>
                <v:textbox>
                  <w:txbxContent>
                    <w:p>
                      <w:pPr>
                        <w:jc w:val="center"/>
                        <w:rPr>
                          <w:rFonts w:hint="eastAsia" w:ascii="黑体" w:hAnsi="黑体" w:eastAsia="黑体" w:cs="黑体"/>
                          <w:b w:val="0"/>
                          <w:bCs w:val="0"/>
                          <w:lang w:eastAsia="zh-CN"/>
                        </w:rPr>
                      </w:pPr>
                      <w:r>
                        <w:rPr>
                          <w:rFonts w:hint="eastAsia" w:ascii="黑体" w:hAnsi="黑体" w:eastAsia="黑体" w:cs="黑体"/>
                          <w:b w:val="0"/>
                          <w:bCs w:val="0"/>
                          <w:lang w:eastAsia="zh-CN"/>
                        </w:rPr>
                        <w:t>附件六</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5277485</wp:posOffset>
                </wp:positionH>
                <wp:positionV relativeFrom="paragraph">
                  <wp:posOffset>-9178290</wp:posOffset>
                </wp:positionV>
                <wp:extent cx="900430" cy="32004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55pt;margin-top:-722.7pt;height:25.2pt;width:70.9pt;z-index:251667456;mso-width-relative:page;mso-height-relative:page;" filled="f" stroked="f" coordsize="21600,21600" o:gfxdata="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zPg9+AAAAAPAQAADwAAAAAAAAABACAAAAAi&#10;AAAAZHJzL2Rvd25yZXYueG1sUEsBAhQAFAAAAAgAh07iQEoGn7s7AgAAZwQAAA4AAAAAAAAAAQAg&#10;AAAALwEAAGRycy9lMm9Eb2MueG1sUEsFBgAAAAAGAAYAWQEAANwFAAAAAA==&#10;">
                <v:fill on="f" focussize="0,0"/>
                <v:stroke on="f" weight="0.5pt"/>
                <v:imagedata o:title=""/>
                <o:lock v:ext="edit" aspectratio="f"/>
                <v:textbox>
                  <w:txbxContent>
                    <w:p>
                      <w:pPr>
                        <w:jc w:val="center"/>
                        <w:rPr>
                          <w:rFonts w:hint="eastAsia" w:eastAsiaTheme="minorEastAsia"/>
                          <w:b/>
                          <w:bCs/>
                          <w:lang w:eastAsia="zh-CN"/>
                        </w:rPr>
                      </w:pPr>
                      <w:r>
                        <w:rPr>
                          <w:rFonts w:hint="eastAsia" w:ascii="黑体" w:hAnsi="黑体" w:eastAsia="黑体" w:cs="黑体"/>
                          <w:b w:val="0"/>
                          <w:bCs w:val="0"/>
                          <w:lang w:eastAsia="zh-CN"/>
                        </w:rPr>
                        <w:t>附件四</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5277485</wp:posOffset>
                </wp:positionH>
                <wp:positionV relativeFrom="paragraph">
                  <wp:posOffset>-9178290</wp:posOffset>
                </wp:positionV>
                <wp:extent cx="900430" cy="32004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ascii="黑体" w:hAnsi="黑体" w:eastAsia="黑体" w:cs="黑体"/>
                                <w:b w:val="0"/>
                                <w:bCs w:val="0"/>
                                <w:lang w:eastAsia="zh-CN"/>
                              </w:rPr>
                              <w:t>附件五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55pt;margin-top:-722.7pt;height:25.2pt;width:70.9pt;z-index:251668480;mso-width-relative:page;mso-height-relative:page;" filled="f" stroked="f" coordsize="21600,21600" o:gfxdata="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Mz4PfgAAAADwEAAA8AAAAAAAAAAQAgAAAA&#10;IgAAAGRycy9kb3ducmV2LnhtbFBLAQIUABQAAAAIAIdO4kAQeVxTPAIAAGcEAAAOAAAAAAAAAAEA&#10;IAAAAC8BAABkcnMvZTJvRG9jLnhtbFBLBQYAAAAABgAGAFkBAADdBQAAAAA=&#10;">
                <v:fill on="f" focussize="0,0"/>
                <v:stroke on="f" weight="0.5pt"/>
                <v:imagedata o:title=""/>
                <o:lock v:ext="edit" aspectratio="f"/>
                <v:textbox>
                  <w:txbxContent>
                    <w:p>
                      <w:pPr>
                        <w:jc w:val="center"/>
                        <w:rPr>
                          <w:rFonts w:hint="eastAsia" w:eastAsiaTheme="minorEastAsia"/>
                          <w:b/>
                          <w:bCs/>
                          <w:lang w:eastAsia="zh-CN"/>
                        </w:rPr>
                      </w:pPr>
                      <w:r>
                        <w:rPr>
                          <w:rFonts w:hint="eastAsia" w:ascii="黑体" w:hAnsi="黑体" w:eastAsia="黑体" w:cs="黑体"/>
                          <w:b w:val="0"/>
                          <w:bCs w:val="0"/>
                          <w:lang w:eastAsia="zh-CN"/>
                        </w:rPr>
                        <w:t>附件五</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5276215</wp:posOffset>
                </wp:positionH>
                <wp:positionV relativeFrom="paragraph">
                  <wp:posOffset>-9330690</wp:posOffset>
                </wp:positionV>
                <wp:extent cx="900430" cy="320040"/>
                <wp:effectExtent l="0" t="0" r="13970" b="3810"/>
                <wp:wrapNone/>
                <wp:docPr id="38" name="文本框 38"/>
                <wp:cNvGraphicFramePr/>
                <a:graphic xmlns:a="http://schemas.openxmlformats.org/drawingml/2006/main">
                  <a:graphicData uri="http://schemas.microsoft.com/office/word/2010/wordprocessingShape">
                    <wps:wsp>
                      <wps:cNvSpPr txBox="1"/>
                      <wps:spPr>
                        <a:xfrm>
                          <a:off x="0" y="0"/>
                          <a:ext cx="900430" cy="3200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color w:val="000000" w:themeColor="text1"/>
                                <w:lang w:eastAsia="zh-CN"/>
                                <w14:textFill>
                                  <w14:solidFill>
                                    <w14:schemeClr w14:val="tx1"/>
                                  </w14:solidFill>
                                </w14:textFill>
                              </w:rPr>
                            </w:pPr>
                            <w:r>
                              <w:rPr>
                                <w:rFonts w:hint="eastAsia" w:ascii="黑体" w:hAnsi="黑体" w:eastAsia="黑体" w:cs="黑体"/>
                                <w:b w:val="0"/>
                                <w:bCs w:val="0"/>
                                <w:color w:val="000000" w:themeColor="text1"/>
                                <w:lang w:eastAsia="zh-CN"/>
                                <w14:textFill>
                                  <w14:solidFill>
                                    <w14:schemeClr w14:val="tx1"/>
                                  </w14:solidFill>
                                </w14:textFill>
                              </w:rPr>
                              <w:t>附件七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45pt;margin-top:-734.7pt;height:25.2pt;width:70.9pt;z-index:251669504;mso-width-relative:page;mso-height-relative:page;" fillcolor="#FFFFFF [3212]" filled="t" stroked="f" coordsize="21600,21600" o:gfxdata="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W7OaNoAAAAPAQAA&#10;DwAAAAAAAAABACAAAAAiAAAAZHJzL2Rvd25yZXYueG1sUEsBAhQAFAAAAAgAh07iQB099BlQAgAA&#10;kAQAAA4AAAAAAAAAAQAgAAAAKQEAAGRycy9lMm9Eb2MueG1sUEsFBgAAAAAGAAYAWQEAAOsFAAAA&#10;AA==&#10;">
                <v:fill on="t" focussize="0,0"/>
                <v:stroke on="f" weight="0.5pt"/>
                <v:imagedata o:title=""/>
                <o:lock v:ext="edit" aspectratio="f"/>
                <v:textbox>
                  <w:txbxContent>
                    <w:p>
                      <w:pPr>
                        <w:jc w:val="center"/>
                        <w:rPr>
                          <w:rFonts w:hint="eastAsia" w:eastAsiaTheme="minorEastAsia"/>
                          <w:b/>
                          <w:bCs/>
                          <w:color w:val="000000" w:themeColor="text1"/>
                          <w:lang w:eastAsia="zh-CN"/>
                          <w14:textFill>
                            <w14:solidFill>
                              <w14:schemeClr w14:val="tx1"/>
                            </w14:solidFill>
                          </w14:textFill>
                        </w:rPr>
                      </w:pPr>
                      <w:r>
                        <w:rPr>
                          <w:rFonts w:hint="eastAsia" w:ascii="黑体" w:hAnsi="黑体" w:eastAsia="黑体" w:cs="黑体"/>
                          <w:b w:val="0"/>
                          <w:bCs w:val="0"/>
                          <w:color w:val="000000" w:themeColor="text1"/>
                          <w:lang w:eastAsia="zh-CN"/>
                          <w14:textFill>
                            <w14:solidFill>
                              <w14:schemeClr w14:val="tx1"/>
                            </w14:solidFill>
                          </w14:textFill>
                        </w:rPr>
                        <w:t>附件七</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-3809365</wp:posOffset>
                </wp:positionV>
                <wp:extent cx="647700" cy="1209675"/>
                <wp:effectExtent l="12700" t="12700" r="25400" b="15875"/>
                <wp:wrapNone/>
                <wp:docPr id="30" name="矩形 30"/>
                <wp:cNvGraphicFramePr/>
                <a:graphic xmlns:a="http://schemas.openxmlformats.org/drawingml/2006/main">
                  <a:graphicData uri="http://schemas.microsoft.com/office/word/2010/wordprocessingShape">
                    <wps:wsp>
                      <wps:cNvSpPr/>
                      <wps:spPr>
                        <a:xfrm>
                          <a:off x="1282700" y="5894705"/>
                          <a:ext cx="647700"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299.95pt;height:95.25pt;width:51pt;z-index:251664384;v-text-anchor:middle;mso-width-relative:page;mso-height-relative:page;" fillcolor="#4F81BD [3204]" filled="t" stroked="t" coordsize="21600,21600" o:gfxdata="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QcK2raAAAADAEAAA8AAAAA&#10;AAAAAQAgAAAAIgAAAGRycy9kb3ducmV2LnhtbFBLAQIUABQAAAAIAIdO4kAfo/ELhAIAAAwFAAAO&#10;AAAAAAAAAAEAIAAAACkBAABkcnMvZTJvRG9jLnhtbFBLBQYAAAAABgAGAFkBAAAfBgAAAAA=&#10;">
                <v:fill on="t" focussize="0,0"/>
                <v:stroke weight="2pt" color="#385D8A [3204]" joinstyle="round"/>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101600</wp:posOffset>
                </wp:positionH>
                <wp:positionV relativeFrom="paragraph">
                  <wp:posOffset>-3885565</wp:posOffset>
                </wp:positionV>
                <wp:extent cx="476250" cy="1362075"/>
                <wp:effectExtent l="4445" t="4445" r="14605" b="5080"/>
                <wp:wrapNone/>
                <wp:docPr id="31" name="文本框 31"/>
                <wp:cNvGraphicFramePr/>
                <a:graphic xmlns:a="http://schemas.openxmlformats.org/drawingml/2006/main">
                  <a:graphicData uri="http://schemas.microsoft.com/office/word/2010/wordprocessingShape">
                    <wps:wsp>
                      <wps:cNvSpPr txBox="1"/>
                      <wps:spPr>
                        <a:xfrm>
                          <a:off x="1244600" y="5818505"/>
                          <a:ext cx="476250"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pt;margin-top:-305.95pt;height:107.25pt;width:37.5pt;z-index:251663360;mso-width-relative:page;mso-height-relative:page;" fillcolor="#FFFFFF [3201]" filled="t" stroked="t" coordsize="21600,21600" o:gfxdata="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sPJUtcAAAALAQAADwAAAAAAAAABACAAAAAiAAAAZHJzL2Rvd25yZXYueG1sUEsBAhQA&#10;FAAAAAgAh07iQAnkNiJlAgAAxQQAAA4AAAAAAAAAAQAgAAAAJgEAAGRycy9lMm9Eb2MueG1sUEsF&#10;BgAAAAAGAAYAWQEAAP0FAAAAAA==&#10;">
                <v:fill on="t" focussize="0,0"/>
                <v:stroke weight="0.5pt" color="#00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5091430</wp:posOffset>
                </wp:positionH>
                <wp:positionV relativeFrom="paragraph">
                  <wp:posOffset>-9073515</wp:posOffset>
                </wp:positionV>
                <wp:extent cx="900430" cy="32004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0043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lang w:val="en-US" w:eastAsia="zh-CN"/>
                              </w:rPr>
                            </w:pPr>
                            <w:r>
                              <w:rPr>
                                <w:rFonts w:hint="eastAsia" w:ascii="黑体" w:hAnsi="黑体" w:eastAsia="黑体" w:cs="黑体"/>
                                <w:b w:val="0"/>
                                <w:bCs w:val="0"/>
                                <w:lang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9pt;margin-top:-714.45pt;height:25.2pt;width:70.9pt;z-index:251665408;mso-width-relative:page;mso-height-relative:page;" filled="f" stroked="f" coordsize="21600,21600" o:gfxdata="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mnBjN8AAAAPAQAADwAAAAAAAAABACAAAAAi&#10;AAAAZHJzL2Rvd25yZXYueG1sUEsBAhQAFAAAAAgAh07iQP5m4RE8AgAAZwQAAA4AAAAAAAAAAQAg&#10;AAAALgEAAGRycy9lMm9Eb2MueG1sUEsFBgAAAAAGAAYAWQEAANwFAAAAAA==&#10;">
                <v:fill on="f" focussize="0,0"/>
                <v:stroke on="f" weight="0.5pt"/>
                <v:imagedata o:title=""/>
                <o:lock v:ext="edit" aspectratio="f"/>
                <v:textbox>
                  <w:txbxContent>
                    <w:p>
                      <w:pPr>
                        <w:jc w:val="center"/>
                        <w:rPr>
                          <w:rFonts w:hint="default" w:eastAsiaTheme="minorEastAsia"/>
                          <w:b/>
                          <w:bCs/>
                          <w:lang w:val="en-US" w:eastAsia="zh-CN"/>
                        </w:rPr>
                      </w:pPr>
                      <w:r>
                        <w:rPr>
                          <w:rFonts w:hint="eastAsia" w:ascii="黑体" w:hAnsi="黑体" w:eastAsia="黑体" w:cs="黑体"/>
                          <w:b w:val="0"/>
                          <w:bCs w:val="0"/>
                          <w:lang w:eastAsia="zh-CN"/>
                        </w:rPr>
                        <w:t>附件四</w:t>
                      </w:r>
                    </w:p>
                  </w:txbxContent>
                </v:textbox>
              </v:shape>
            </w:pict>
          </mc:Fallback>
        </mc:AlternateContent>
      </w:r>
    </w:p>
    <w:p>
      <w:pPr>
        <w:rPr>
          <w:rFonts w:hint="default"/>
        </w:rPr>
      </w:pPr>
    </w:p>
    <w:sectPr>
      <w:pgSz w:w="11906" w:h="16838"/>
      <w:pgMar w:top="1440" w:right="1800" w:bottom="1440" w:left="1800" w:header="851" w:footer="1077" w:gutter="0"/>
      <w:pgBorders>
        <w:top w:val="none" w:sz="0" w:space="0"/>
        <w:left w:val="none" w:sz="0" w:space="0"/>
        <w:bottom w:val="none" w:sz="0" w:space="0"/>
        <w:right w:val="none" w:sz="0" w:space="0"/>
      </w:pgBorders>
      <w:lnNumType w:countBy="0" w:restart="continuous"/>
      <w:cols w:space="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26">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font-weight : 400">
    <w:altName w:val="Segoe Print"/>
    <w:panose1 w:val="00000000000000000000"/>
    <w:charset w:val="00"/>
    <w:family w:val="auto"/>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hint="eastAsia" w:ascii="宋体" w:hAnsi="宋体" w:eastAsia="宋体" w:cs="宋体"/>
                              <w:sz w:val="26"/>
                              <w:szCs w:val="26"/>
                            </w:rPr>
                            <w:fldChar w:fldCharType="begin"/>
                          </w:r>
                          <w:r>
                            <w:rPr>
                              <w:rStyle w:val="25"/>
                              <w:rFonts w:hint="eastAsia" w:ascii="宋体" w:hAnsi="宋体" w:eastAsia="宋体" w:cs="宋体"/>
                              <w:sz w:val="26"/>
                              <w:szCs w:val="26"/>
                            </w:rPr>
                            <w:instrText xml:space="preserve">PAGE  </w:instrText>
                          </w:r>
                          <w:r>
                            <w:rPr>
                              <w:rFonts w:hint="eastAsia" w:ascii="宋体" w:hAnsi="宋体" w:eastAsia="宋体" w:cs="宋体"/>
                              <w:sz w:val="26"/>
                              <w:szCs w:val="26"/>
                            </w:rPr>
                            <w:fldChar w:fldCharType="separate"/>
                          </w:r>
                          <w:r>
                            <w:rPr>
                              <w:rStyle w:val="25"/>
                              <w:rFonts w:hint="eastAsia" w:ascii="宋体" w:hAnsi="宋体" w:eastAsia="宋体" w:cs="宋体"/>
                              <w:sz w:val="26"/>
                              <w:szCs w:val="26"/>
                            </w:rPr>
                            <w:t>23</w:t>
                          </w:r>
                          <w:r>
                            <w:rPr>
                              <w:rFonts w:hint="eastAsia" w:ascii="宋体" w:hAnsi="宋体" w:eastAsia="宋体" w:cs="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hint="eastAsia" w:ascii="宋体" w:hAnsi="宋体" w:eastAsia="宋体" w:cs="宋体"/>
                        <w:sz w:val="26"/>
                        <w:szCs w:val="26"/>
                      </w:rPr>
                      <w:fldChar w:fldCharType="begin"/>
                    </w:r>
                    <w:r>
                      <w:rPr>
                        <w:rStyle w:val="25"/>
                        <w:rFonts w:hint="eastAsia" w:ascii="宋体" w:hAnsi="宋体" w:eastAsia="宋体" w:cs="宋体"/>
                        <w:sz w:val="26"/>
                        <w:szCs w:val="26"/>
                      </w:rPr>
                      <w:instrText xml:space="preserve">PAGE  </w:instrText>
                    </w:r>
                    <w:r>
                      <w:rPr>
                        <w:rFonts w:hint="eastAsia" w:ascii="宋体" w:hAnsi="宋体" w:eastAsia="宋体" w:cs="宋体"/>
                        <w:sz w:val="26"/>
                        <w:szCs w:val="26"/>
                      </w:rPr>
                      <w:fldChar w:fldCharType="separate"/>
                    </w:r>
                    <w:r>
                      <w:rPr>
                        <w:rStyle w:val="25"/>
                        <w:rFonts w:hint="eastAsia" w:ascii="宋体" w:hAnsi="宋体" w:eastAsia="宋体" w:cs="宋体"/>
                        <w:sz w:val="26"/>
                        <w:szCs w:val="26"/>
                      </w:rPr>
                      <w:t>23</w:t>
                    </w:r>
                    <w:r>
                      <w:rPr>
                        <w:rFonts w:hint="eastAsia" w:ascii="宋体" w:hAnsi="宋体" w:eastAsia="宋体" w:cs="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hint="eastAsia" w:ascii="宋体" w:hAnsi="宋体" w:eastAsia="宋体" w:cs="宋体"/>
                              <w:sz w:val="26"/>
                              <w:szCs w:val="26"/>
                            </w:rPr>
                            <w:fldChar w:fldCharType="begin"/>
                          </w:r>
                          <w:r>
                            <w:rPr>
                              <w:rStyle w:val="25"/>
                              <w:rFonts w:hint="eastAsia" w:ascii="宋体" w:hAnsi="宋体" w:eastAsia="宋体" w:cs="宋体"/>
                              <w:sz w:val="26"/>
                              <w:szCs w:val="26"/>
                            </w:rPr>
                            <w:instrText xml:space="preserve">PAGE  </w:instrText>
                          </w:r>
                          <w:r>
                            <w:rPr>
                              <w:rFonts w:hint="eastAsia" w:ascii="宋体" w:hAnsi="宋体" w:eastAsia="宋体" w:cs="宋体"/>
                              <w:sz w:val="26"/>
                              <w:szCs w:val="26"/>
                            </w:rPr>
                            <w:fldChar w:fldCharType="separate"/>
                          </w:r>
                          <w:r>
                            <w:rPr>
                              <w:rStyle w:val="25"/>
                              <w:rFonts w:hint="eastAsia" w:ascii="宋体" w:hAnsi="宋体" w:eastAsia="宋体" w:cs="宋体"/>
                              <w:sz w:val="26"/>
                              <w:szCs w:val="26"/>
                            </w:rPr>
                            <w:t>23</w:t>
                          </w:r>
                          <w:r>
                            <w:rPr>
                              <w:rFonts w:hint="eastAsia" w:ascii="宋体" w:hAnsi="宋体" w:eastAsia="宋体" w:cs="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hint="eastAsia" w:ascii="宋体" w:hAnsi="宋体" w:eastAsia="宋体" w:cs="宋体"/>
                        <w:sz w:val="26"/>
                        <w:szCs w:val="26"/>
                      </w:rPr>
                      <w:fldChar w:fldCharType="begin"/>
                    </w:r>
                    <w:r>
                      <w:rPr>
                        <w:rStyle w:val="25"/>
                        <w:rFonts w:hint="eastAsia" w:ascii="宋体" w:hAnsi="宋体" w:eastAsia="宋体" w:cs="宋体"/>
                        <w:sz w:val="26"/>
                        <w:szCs w:val="26"/>
                      </w:rPr>
                      <w:instrText xml:space="preserve">PAGE  </w:instrText>
                    </w:r>
                    <w:r>
                      <w:rPr>
                        <w:rFonts w:hint="eastAsia" w:ascii="宋体" w:hAnsi="宋体" w:eastAsia="宋体" w:cs="宋体"/>
                        <w:sz w:val="26"/>
                        <w:szCs w:val="26"/>
                      </w:rPr>
                      <w:fldChar w:fldCharType="separate"/>
                    </w:r>
                    <w:r>
                      <w:rPr>
                        <w:rStyle w:val="25"/>
                        <w:rFonts w:hint="eastAsia" w:ascii="宋体" w:hAnsi="宋体" w:eastAsia="宋体" w:cs="宋体"/>
                        <w:sz w:val="26"/>
                        <w:szCs w:val="26"/>
                      </w:rPr>
                      <w:t>23</w:t>
                    </w:r>
                    <w:r>
                      <w:rPr>
                        <w:rFonts w:hint="eastAsia" w:ascii="宋体" w:hAnsi="宋体" w:eastAsia="宋体" w:cs="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Style w:val="2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25"/>
                              <w:rFonts w:hint="default" w:ascii="Times New Roman" w:hAnsi="Times New Roman" w:cs="Times New Roman"/>
                              <w:sz w:val="26"/>
                              <w:szCs w:val="26"/>
                            </w:rPr>
                            <w:t>69</w:t>
                          </w:r>
                          <w:r>
                            <w:rPr>
                              <w:rFonts w:hint="default" w:ascii="Times New Roman" w:hAnsi="Times New Roman" w:cs="Times New Roman"/>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Style w:val="25"/>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Style w:val="2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25"/>
                        <w:rFonts w:hint="default" w:ascii="Times New Roman" w:hAnsi="Times New Roman" w:cs="Times New Roman"/>
                        <w:sz w:val="26"/>
                        <w:szCs w:val="26"/>
                      </w:rPr>
                      <w:t>69</w:t>
                    </w:r>
                    <w:r>
                      <w:rPr>
                        <w:rFonts w:hint="default" w:ascii="Times New Roman" w:hAnsi="Times New Roman" w:cs="Times New Roman"/>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rPr>
        <w:rFonts w:hint="eastAsia" w:eastAsia="宋体"/>
        <w:lang w:val="en-US" w:eastAsia="zh-CN"/>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3B33F"/>
    <w:multiLevelType w:val="singleLevel"/>
    <w:tmpl w:val="9003B33F"/>
    <w:lvl w:ilvl="0" w:tentative="0">
      <w:start w:val="7"/>
      <w:numFmt w:val="decimal"/>
      <w:suff w:val="nothing"/>
      <w:lvlText w:val="（%1）"/>
      <w:lvlJc w:val="left"/>
    </w:lvl>
  </w:abstractNum>
  <w:abstractNum w:abstractNumId="1">
    <w:nsid w:val="A458761D"/>
    <w:multiLevelType w:val="multilevel"/>
    <w:tmpl w:val="A458761D"/>
    <w:lvl w:ilvl="0" w:tentative="0">
      <w:start w:val="1"/>
      <w:numFmt w:val="decimal"/>
      <w:lvlText w:val="图%1   "/>
      <w:lvlJc w:val="center"/>
      <w:pPr>
        <w:ind w:left="900" w:hanging="420"/>
      </w:pPr>
      <w:rPr>
        <w:rFonts w:hint="default" w:ascii="Times New Roman" w:hAnsi="Times New Roman" w:eastAsia="黑体" w:cs="Times New Roman"/>
        <w:b w:val="0"/>
        <w:bCs w:val="0"/>
        <w:i w:val="0"/>
        <w:color w:val="000000"/>
        <w:sz w:val="21"/>
        <w:szCs w:val="21"/>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4E41BFF"/>
    <w:multiLevelType w:val="singleLevel"/>
    <w:tmpl w:val="D4E41BFF"/>
    <w:lvl w:ilvl="0" w:tentative="0">
      <w:start w:val="2"/>
      <w:numFmt w:val="chineseCounting"/>
      <w:suff w:val="nothing"/>
      <w:lvlText w:val="%1、"/>
      <w:lvlJc w:val="left"/>
      <w:rPr>
        <w:rFonts w:hint="eastAsia"/>
      </w:rPr>
    </w:lvl>
  </w:abstractNum>
  <w:abstractNum w:abstractNumId="3">
    <w:nsid w:val="EBE68D09"/>
    <w:multiLevelType w:val="singleLevel"/>
    <w:tmpl w:val="EBE68D09"/>
    <w:lvl w:ilvl="0" w:tentative="0">
      <w:start w:val="1"/>
      <w:numFmt w:val="decimal"/>
      <w:suff w:val="nothing"/>
      <w:lvlText w:val="%1、"/>
      <w:lvlJc w:val="left"/>
    </w:lvl>
  </w:abstractNum>
  <w:abstractNum w:abstractNumId="4">
    <w:nsid w:val="105310EA"/>
    <w:multiLevelType w:val="singleLevel"/>
    <w:tmpl w:val="105310EA"/>
    <w:lvl w:ilvl="0" w:tentative="0">
      <w:start w:val="1"/>
      <w:numFmt w:val="decimal"/>
      <w:suff w:val="nothing"/>
      <w:lvlText w:val="表%1   "/>
      <w:lvlJc w:val="left"/>
      <w:pPr>
        <w:tabs>
          <w:tab w:val="left" w:pos="0"/>
        </w:tabs>
      </w:pPr>
      <w:rPr>
        <w:rFonts w:hint="default" w:ascii="Times New Roman" w:hAnsi="Times New Roman" w:eastAsia="黑体" w:cs="Times New Roman"/>
        <w:sz w:val="21"/>
      </w:rPr>
    </w:lvl>
  </w:abstractNum>
  <w:abstractNum w:abstractNumId="5">
    <w:nsid w:val="1EF60170"/>
    <w:multiLevelType w:val="singleLevel"/>
    <w:tmpl w:val="1EF60170"/>
    <w:lvl w:ilvl="0" w:tentative="0">
      <w:start w:val="1"/>
      <w:numFmt w:val="decimal"/>
      <w:suff w:val="nothing"/>
      <w:lvlText w:val="（%1）"/>
      <w:lvlJc w:val="left"/>
    </w:lvl>
  </w:abstractNum>
  <w:abstractNum w:abstractNumId="6">
    <w:nsid w:val="6B25C167"/>
    <w:multiLevelType w:val="singleLevel"/>
    <w:tmpl w:val="6B25C167"/>
    <w:lvl w:ilvl="0" w:tentative="0">
      <w:start w:val="5"/>
      <w:numFmt w:val="chineseCounting"/>
      <w:suff w:val="nothing"/>
      <w:lvlText w:val="%1、"/>
      <w:lvlJc w:val="left"/>
      <w:rPr>
        <w:rFonts w:hint="eastAsia"/>
      </w:rPr>
    </w:lvl>
  </w:abstractNum>
  <w:num w:numId="1">
    <w:abstractNumId w:val="4"/>
  </w:num>
  <w:num w:numId="2">
    <w:abstractNumId w:val="3"/>
  </w:num>
  <w:num w:numId="3">
    <w:abstractNumId w:val="6"/>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ZWQ1ZDRmODgxNGI4Y2YzOTFhZTNjMDRiYTBkY2IifQ=="/>
  </w:docVars>
  <w:rsids>
    <w:rsidRoot w:val="00172A27"/>
    <w:rsid w:val="000060B3"/>
    <w:rsid w:val="00007E50"/>
    <w:rsid w:val="00026E08"/>
    <w:rsid w:val="000302E4"/>
    <w:rsid w:val="000327D0"/>
    <w:rsid w:val="00043000"/>
    <w:rsid w:val="0004364B"/>
    <w:rsid w:val="00045A94"/>
    <w:rsid w:val="00054221"/>
    <w:rsid w:val="0005554E"/>
    <w:rsid w:val="00061B1F"/>
    <w:rsid w:val="00072FA6"/>
    <w:rsid w:val="000733C4"/>
    <w:rsid w:val="00074783"/>
    <w:rsid w:val="0008070B"/>
    <w:rsid w:val="000810AC"/>
    <w:rsid w:val="000815C3"/>
    <w:rsid w:val="00081A02"/>
    <w:rsid w:val="00082231"/>
    <w:rsid w:val="00085D0C"/>
    <w:rsid w:val="000908BA"/>
    <w:rsid w:val="00092D38"/>
    <w:rsid w:val="0009377B"/>
    <w:rsid w:val="000A02B9"/>
    <w:rsid w:val="000A20C9"/>
    <w:rsid w:val="000A24FF"/>
    <w:rsid w:val="000A68E6"/>
    <w:rsid w:val="000B058F"/>
    <w:rsid w:val="000B25CD"/>
    <w:rsid w:val="000B4467"/>
    <w:rsid w:val="000B4DB9"/>
    <w:rsid w:val="000B6885"/>
    <w:rsid w:val="000C09AC"/>
    <w:rsid w:val="000C5E85"/>
    <w:rsid w:val="000C668B"/>
    <w:rsid w:val="000C767F"/>
    <w:rsid w:val="000D5A44"/>
    <w:rsid w:val="000D79E4"/>
    <w:rsid w:val="000E10C8"/>
    <w:rsid w:val="000E3ED2"/>
    <w:rsid w:val="000E4493"/>
    <w:rsid w:val="00131F42"/>
    <w:rsid w:val="0013285B"/>
    <w:rsid w:val="001357F1"/>
    <w:rsid w:val="00135F68"/>
    <w:rsid w:val="001374A0"/>
    <w:rsid w:val="00140FA8"/>
    <w:rsid w:val="00142FEB"/>
    <w:rsid w:val="00143A2D"/>
    <w:rsid w:val="00145A41"/>
    <w:rsid w:val="001460D7"/>
    <w:rsid w:val="00151675"/>
    <w:rsid w:val="00157435"/>
    <w:rsid w:val="0017504D"/>
    <w:rsid w:val="0017671A"/>
    <w:rsid w:val="00177422"/>
    <w:rsid w:val="00184590"/>
    <w:rsid w:val="001870D1"/>
    <w:rsid w:val="0018781E"/>
    <w:rsid w:val="00190B22"/>
    <w:rsid w:val="0019262D"/>
    <w:rsid w:val="00194AEF"/>
    <w:rsid w:val="001A1B35"/>
    <w:rsid w:val="001A48A2"/>
    <w:rsid w:val="001A6F61"/>
    <w:rsid w:val="001B72B8"/>
    <w:rsid w:val="001C456F"/>
    <w:rsid w:val="001C69B3"/>
    <w:rsid w:val="001D5595"/>
    <w:rsid w:val="001D6736"/>
    <w:rsid w:val="001D69B2"/>
    <w:rsid w:val="001D7874"/>
    <w:rsid w:val="001D7F22"/>
    <w:rsid w:val="001E22E0"/>
    <w:rsid w:val="001E2F5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11E5"/>
    <w:rsid w:val="00284204"/>
    <w:rsid w:val="002870BA"/>
    <w:rsid w:val="00291773"/>
    <w:rsid w:val="002A168C"/>
    <w:rsid w:val="002A2253"/>
    <w:rsid w:val="002A3DC7"/>
    <w:rsid w:val="002B49E2"/>
    <w:rsid w:val="002B7B00"/>
    <w:rsid w:val="002B7C44"/>
    <w:rsid w:val="002C0B4F"/>
    <w:rsid w:val="002C2B17"/>
    <w:rsid w:val="002D3DD0"/>
    <w:rsid w:val="002E1F3A"/>
    <w:rsid w:val="002E298A"/>
    <w:rsid w:val="002E4F2F"/>
    <w:rsid w:val="002F10CC"/>
    <w:rsid w:val="002F35E8"/>
    <w:rsid w:val="00301596"/>
    <w:rsid w:val="00301978"/>
    <w:rsid w:val="0030332C"/>
    <w:rsid w:val="00303688"/>
    <w:rsid w:val="003051C2"/>
    <w:rsid w:val="00312296"/>
    <w:rsid w:val="00314614"/>
    <w:rsid w:val="00314F0E"/>
    <w:rsid w:val="00321D8E"/>
    <w:rsid w:val="00325928"/>
    <w:rsid w:val="003265B2"/>
    <w:rsid w:val="003302DC"/>
    <w:rsid w:val="00332863"/>
    <w:rsid w:val="0033684D"/>
    <w:rsid w:val="00337B42"/>
    <w:rsid w:val="003412F6"/>
    <w:rsid w:val="00341861"/>
    <w:rsid w:val="00341A92"/>
    <w:rsid w:val="00341B42"/>
    <w:rsid w:val="0034348F"/>
    <w:rsid w:val="00356653"/>
    <w:rsid w:val="003570CD"/>
    <w:rsid w:val="0035743F"/>
    <w:rsid w:val="00357BE2"/>
    <w:rsid w:val="0036170C"/>
    <w:rsid w:val="00363C08"/>
    <w:rsid w:val="00366E0F"/>
    <w:rsid w:val="00381A72"/>
    <w:rsid w:val="00384676"/>
    <w:rsid w:val="00390857"/>
    <w:rsid w:val="00390FBC"/>
    <w:rsid w:val="003A4BF3"/>
    <w:rsid w:val="003B420D"/>
    <w:rsid w:val="003C6C16"/>
    <w:rsid w:val="003D103A"/>
    <w:rsid w:val="003D794D"/>
    <w:rsid w:val="003E3058"/>
    <w:rsid w:val="003E76A9"/>
    <w:rsid w:val="003F0809"/>
    <w:rsid w:val="003F6A8C"/>
    <w:rsid w:val="003F755C"/>
    <w:rsid w:val="00402E2F"/>
    <w:rsid w:val="00406F01"/>
    <w:rsid w:val="004076E2"/>
    <w:rsid w:val="0041641A"/>
    <w:rsid w:val="00416B38"/>
    <w:rsid w:val="00416D50"/>
    <w:rsid w:val="00416FD5"/>
    <w:rsid w:val="00417772"/>
    <w:rsid w:val="00420E6A"/>
    <w:rsid w:val="00421AFC"/>
    <w:rsid w:val="00424A21"/>
    <w:rsid w:val="00424D09"/>
    <w:rsid w:val="00425A9E"/>
    <w:rsid w:val="00426D6B"/>
    <w:rsid w:val="00431E6C"/>
    <w:rsid w:val="00433CE7"/>
    <w:rsid w:val="00434115"/>
    <w:rsid w:val="00452738"/>
    <w:rsid w:val="00456091"/>
    <w:rsid w:val="00466321"/>
    <w:rsid w:val="00473C2C"/>
    <w:rsid w:val="00484B9B"/>
    <w:rsid w:val="004855F6"/>
    <w:rsid w:val="0048661E"/>
    <w:rsid w:val="00494670"/>
    <w:rsid w:val="004A3823"/>
    <w:rsid w:val="004B60EC"/>
    <w:rsid w:val="004D49DD"/>
    <w:rsid w:val="004E10CE"/>
    <w:rsid w:val="004E6946"/>
    <w:rsid w:val="004F1AD8"/>
    <w:rsid w:val="005039CB"/>
    <w:rsid w:val="0050558F"/>
    <w:rsid w:val="00506286"/>
    <w:rsid w:val="00507241"/>
    <w:rsid w:val="00510813"/>
    <w:rsid w:val="00511990"/>
    <w:rsid w:val="00511DE0"/>
    <w:rsid w:val="00513337"/>
    <w:rsid w:val="00514870"/>
    <w:rsid w:val="00514B9B"/>
    <w:rsid w:val="00515AFC"/>
    <w:rsid w:val="00517F02"/>
    <w:rsid w:val="00524303"/>
    <w:rsid w:val="005258A2"/>
    <w:rsid w:val="00530544"/>
    <w:rsid w:val="00537C28"/>
    <w:rsid w:val="005401AE"/>
    <w:rsid w:val="00542E07"/>
    <w:rsid w:val="00545424"/>
    <w:rsid w:val="0055159A"/>
    <w:rsid w:val="00551F30"/>
    <w:rsid w:val="00554A7B"/>
    <w:rsid w:val="005550E8"/>
    <w:rsid w:val="0055572C"/>
    <w:rsid w:val="005579AE"/>
    <w:rsid w:val="0056106A"/>
    <w:rsid w:val="005720AE"/>
    <w:rsid w:val="00574637"/>
    <w:rsid w:val="0058374D"/>
    <w:rsid w:val="00583829"/>
    <w:rsid w:val="0058514E"/>
    <w:rsid w:val="00592F95"/>
    <w:rsid w:val="00594D77"/>
    <w:rsid w:val="005969E4"/>
    <w:rsid w:val="005A06B7"/>
    <w:rsid w:val="005A1759"/>
    <w:rsid w:val="005A68A7"/>
    <w:rsid w:val="005A7860"/>
    <w:rsid w:val="005D36AB"/>
    <w:rsid w:val="005F6807"/>
    <w:rsid w:val="006042F8"/>
    <w:rsid w:val="00617CC3"/>
    <w:rsid w:val="00635E3A"/>
    <w:rsid w:val="006377A6"/>
    <w:rsid w:val="00637A3D"/>
    <w:rsid w:val="006411EF"/>
    <w:rsid w:val="00646716"/>
    <w:rsid w:val="00650856"/>
    <w:rsid w:val="00655B52"/>
    <w:rsid w:val="006651BE"/>
    <w:rsid w:val="0066627D"/>
    <w:rsid w:val="006748B8"/>
    <w:rsid w:val="006775C3"/>
    <w:rsid w:val="00683099"/>
    <w:rsid w:val="00686843"/>
    <w:rsid w:val="0069290A"/>
    <w:rsid w:val="0069775A"/>
    <w:rsid w:val="00697813"/>
    <w:rsid w:val="006A3EE8"/>
    <w:rsid w:val="006A72BF"/>
    <w:rsid w:val="006B0064"/>
    <w:rsid w:val="006B03F2"/>
    <w:rsid w:val="006B0FCF"/>
    <w:rsid w:val="006B37DC"/>
    <w:rsid w:val="006B4F68"/>
    <w:rsid w:val="006B6329"/>
    <w:rsid w:val="006C0592"/>
    <w:rsid w:val="006C272E"/>
    <w:rsid w:val="006C5479"/>
    <w:rsid w:val="006C63AE"/>
    <w:rsid w:val="006D13B5"/>
    <w:rsid w:val="006D5CE2"/>
    <w:rsid w:val="006D7D80"/>
    <w:rsid w:val="006E12FF"/>
    <w:rsid w:val="006E607E"/>
    <w:rsid w:val="006F7C9C"/>
    <w:rsid w:val="00706C5D"/>
    <w:rsid w:val="007206B7"/>
    <w:rsid w:val="00730CC4"/>
    <w:rsid w:val="00732922"/>
    <w:rsid w:val="007360CF"/>
    <w:rsid w:val="00747594"/>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054B"/>
    <w:rsid w:val="007B1056"/>
    <w:rsid w:val="007B72B8"/>
    <w:rsid w:val="007B7A58"/>
    <w:rsid w:val="007C1741"/>
    <w:rsid w:val="007C21B5"/>
    <w:rsid w:val="007C4FA5"/>
    <w:rsid w:val="007E4BD2"/>
    <w:rsid w:val="007E79B2"/>
    <w:rsid w:val="00801393"/>
    <w:rsid w:val="00802F88"/>
    <w:rsid w:val="0081293E"/>
    <w:rsid w:val="00815465"/>
    <w:rsid w:val="00817E9A"/>
    <w:rsid w:val="00823F79"/>
    <w:rsid w:val="00826E3B"/>
    <w:rsid w:val="008277F7"/>
    <w:rsid w:val="008306BD"/>
    <w:rsid w:val="008318AF"/>
    <w:rsid w:val="00831A80"/>
    <w:rsid w:val="00833743"/>
    <w:rsid w:val="008340A4"/>
    <w:rsid w:val="0084064D"/>
    <w:rsid w:val="00844CFE"/>
    <w:rsid w:val="00851E7D"/>
    <w:rsid w:val="0087135F"/>
    <w:rsid w:val="00872D94"/>
    <w:rsid w:val="00876435"/>
    <w:rsid w:val="00880364"/>
    <w:rsid w:val="00891592"/>
    <w:rsid w:val="00891E9E"/>
    <w:rsid w:val="008A2F68"/>
    <w:rsid w:val="008B4FA6"/>
    <w:rsid w:val="008B5282"/>
    <w:rsid w:val="008B5429"/>
    <w:rsid w:val="008B7C17"/>
    <w:rsid w:val="008C2D01"/>
    <w:rsid w:val="008C40E6"/>
    <w:rsid w:val="008C424F"/>
    <w:rsid w:val="008C6747"/>
    <w:rsid w:val="008D0B58"/>
    <w:rsid w:val="008D0F7A"/>
    <w:rsid w:val="008D68E4"/>
    <w:rsid w:val="008E0506"/>
    <w:rsid w:val="008E0CFF"/>
    <w:rsid w:val="008E5D6B"/>
    <w:rsid w:val="008E76F0"/>
    <w:rsid w:val="008F12C3"/>
    <w:rsid w:val="008F15FE"/>
    <w:rsid w:val="008F2D29"/>
    <w:rsid w:val="008F5187"/>
    <w:rsid w:val="008F60D8"/>
    <w:rsid w:val="00902727"/>
    <w:rsid w:val="0090312B"/>
    <w:rsid w:val="00907F7B"/>
    <w:rsid w:val="00911E34"/>
    <w:rsid w:val="0091736D"/>
    <w:rsid w:val="00925E7E"/>
    <w:rsid w:val="009268FC"/>
    <w:rsid w:val="00927816"/>
    <w:rsid w:val="0093037A"/>
    <w:rsid w:val="00932FAD"/>
    <w:rsid w:val="0094154D"/>
    <w:rsid w:val="00946B22"/>
    <w:rsid w:val="0095155F"/>
    <w:rsid w:val="00954429"/>
    <w:rsid w:val="009563CE"/>
    <w:rsid w:val="0095707D"/>
    <w:rsid w:val="00957F6B"/>
    <w:rsid w:val="00971415"/>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98F"/>
    <w:rsid w:val="009E227D"/>
    <w:rsid w:val="009E4788"/>
    <w:rsid w:val="009E5019"/>
    <w:rsid w:val="009F66F1"/>
    <w:rsid w:val="00A0203F"/>
    <w:rsid w:val="00A04F1B"/>
    <w:rsid w:val="00A0501B"/>
    <w:rsid w:val="00A14947"/>
    <w:rsid w:val="00A308EF"/>
    <w:rsid w:val="00A3274E"/>
    <w:rsid w:val="00A32A83"/>
    <w:rsid w:val="00A368DB"/>
    <w:rsid w:val="00A423AA"/>
    <w:rsid w:val="00A5167A"/>
    <w:rsid w:val="00A53EC6"/>
    <w:rsid w:val="00A55C0F"/>
    <w:rsid w:val="00A6280A"/>
    <w:rsid w:val="00A63179"/>
    <w:rsid w:val="00A731F9"/>
    <w:rsid w:val="00A8713F"/>
    <w:rsid w:val="00A90BA1"/>
    <w:rsid w:val="00A97A9A"/>
    <w:rsid w:val="00AA0671"/>
    <w:rsid w:val="00AA2531"/>
    <w:rsid w:val="00AA728E"/>
    <w:rsid w:val="00AA7AD8"/>
    <w:rsid w:val="00AB1E09"/>
    <w:rsid w:val="00AB5330"/>
    <w:rsid w:val="00AB7747"/>
    <w:rsid w:val="00AC14CE"/>
    <w:rsid w:val="00AC1E97"/>
    <w:rsid w:val="00AC2A56"/>
    <w:rsid w:val="00AC6282"/>
    <w:rsid w:val="00AD055E"/>
    <w:rsid w:val="00AD47A7"/>
    <w:rsid w:val="00AD4A34"/>
    <w:rsid w:val="00AE1DEB"/>
    <w:rsid w:val="00AF0CBF"/>
    <w:rsid w:val="00AF257F"/>
    <w:rsid w:val="00AF33CF"/>
    <w:rsid w:val="00AF4D50"/>
    <w:rsid w:val="00AF517A"/>
    <w:rsid w:val="00AF6179"/>
    <w:rsid w:val="00B07785"/>
    <w:rsid w:val="00B10585"/>
    <w:rsid w:val="00B11166"/>
    <w:rsid w:val="00B1218C"/>
    <w:rsid w:val="00B1295A"/>
    <w:rsid w:val="00B20A45"/>
    <w:rsid w:val="00B21A2D"/>
    <w:rsid w:val="00B22C5C"/>
    <w:rsid w:val="00B24B4D"/>
    <w:rsid w:val="00B24F30"/>
    <w:rsid w:val="00B25F51"/>
    <w:rsid w:val="00B2657A"/>
    <w:rsid w:val="00B31ABF"/>
    <w:rsid w:val="00B33BE3"/>
    <w:rsid w:val="00B3401A"/>
    <w:rsid w:val="00B53B5D"/>
    <w:rsid w:val="00B6055E"/>
    <w:rsid w:val="00B6317D"/>
    <w:rsid w:val="00B701B7"/>
    <w:rsid w:val="00B76659"/>
    <w:rsid w:val="00B7723F"/>
    <w:rsid w:val="00B80534"/>
    <w:rsid w:val="00B8433C"/>
    <w:rsid w:val="00B87491"/>
    <w:rsid w:val="00BA05D6"/>
    <w:rsid w:val="00BA29E9"/>
    <w:rsid w:val="00BA7142"/>
    <w:rsid w:val="00BB237C"/>
    <w:rsid w:val="00BB41A3"/>
    <w:rsid w:val="00BC32DC"/>
    <w:rsid w:val="00BC35B6"/>
    <w:rsid w:val="00BD1B51"/>
    <w:rsid w:val="00BD4596"/>
    <w:rsid w:val="00BE1405"/>
    <w:rsid w:val="00BE312D"/>
    <w:rsid w:val="00BF1C20"/>
    <w:rsid w:val="00BF20B6"/>
    <w:rsid w:val="00C10578"/>
    <w:rsid w:val="00C10A74"/>
    <w:rsid w:val="00C135BC"/>
    <w:rsid w:val="00C15C95"/>
    <w:rsid w:val="00C2596A"/>
    <w:rsid w:val="00C25CE3"/>
    <w:rsid w:val="00C27537"/>
    <w:rsid w:val="00C328FE"/>
    <w:rsid w:val="00C33507"/>
    <w:rsid w:val="00C4409D"/>
    <w:rsid w:val="00C44E72"/>
    <w:rsid w:val="00C45A06"/>
    <w:rsid w:val="00C47E5B"/>
    <w:rsid w:val="00C5252C"/>
    <w:rsid w:val="00C56AD6"/>
    <w:rsid w:val="00C61E4B"/>
    <w:rsid w:val="00C64BFF"/>
    <w:rsid w:val="00C704E9"/>
    <w:rsid w:val="00C727CE"/>
    <w:rsid w:val="00C763C9"/>
    <w:rsid w:val="00C80057"/>
    <w:rsid w:val="00C82232"/>
    <w:rsid w:val="00C82913"/>
    <w:rsid w:val="00C91539"/>
    <w:rsid w:val="00C93560"/>
    <w:rsid w:val="00C94A8B"/>
    <w:rsid w:val="00C972B1"/>
    <w:rsid w:val="00CA2CCE"/>
    <w:rsid w:val="00CA43FD"/>
    <w:rsid w:val="00CA7EF8"/>
    <w:rsid w:val="00CB0A42"/>
    <w:rsid w:val="00CB42AC"/>
    <w:rsid w:val="00CC2240"/>
    <w:rsid w:val="00CC489B"/>
    <w:rsid w:val="00CC7B45"/>
    <w:rsid w:val="00CD2BCD"/>
    <w:rsid w:val="00CD3A4C"/>
    <w:rsid w:val="00CE10E9"/>
    <w:rsid w:val="00CE2910"/>
    <w:rsid w:val="00CE3362"/>
    <w:rsid w:val="00CE3778"/>
    <w:rsid w:val="00CE5393"/>
    <w:rsid w:val="00CF10E9"/>
    <w:rsid w:val="00CF36BE"/>
    <w:rsid w:val="00CF6000"/>
    <w:rsid w:val="00D003F3"/>
    <w:rsid w:val="00D0364F"/>
    <w:rsid w:val="00D06834"/>
    <w:rsid w:val="00D15DB3"/>
    <w:rsid w:val="00D214EB"/>
    <w:rsid w:val="00D26002"/>
    <w:rsid w:val="00D308ED"/>
    <w:rsid w:val="00D36D86"/>
    <w:rsid w:val="00D428AA"/>
    <w:rsid w:val="00D50A34"/>
    <w:rsid w:val="00D53EFA"/>
    <w:rsid w:val="00D6517C"/>
    <w:rsid w:val="00D72AFA"/>
    <w:rsid w:val="00D761B9"/>
    <w:rsid w:val="00D82AB9"/>
    <w:rsid w:val="00D86D43"/>
    <w:rsid w:val="00D94506"/>
    <w:rsid w:val="00D94A7C"/>
    <w:rsid w:val="00D95896"/>
    <w:rsid w:val="00D95955"/>
    <w:rsid w:val="00DB2983"/>
    <w:rsid w:val="00DC1257"/>
    <w:rsid w:val="00DC3DC0"/>
    <w:rsid w:val="00DC5B2B"/>
    <w:rsid w:val="00DD318D"/>
    <w:rsid w:val="00DD5A43"/>
    <w:rsid w:val="00DF2E12"/>
    <w:rsid w:val="00DF514A"/>
    <w:rsid w:val="00DF662A"/>
    <w:rsid w:val="00DF6690"/>
    <w:rsid w:val="00DF6804"/>
    <w:rsid w:val="00E0358D"/>
    <w:rsid w:val="00E04323"/>
    <w:rsid w:val="00E070A2"/>
    <w:rsid w:val="00E0764F"/>
    <w:rsid w:val="00E14D92"/>
    <w:rsid w:val="00E25C10"/>
    <w:rsid w:val="00E2656A"/>
    <w:rsid w:val="00E30EC1"/>
    <w:rsid w:val="00E33B2F"/>
    <w:rsid w:val="00E33E3E"/>
    <w:rsid w:val="00E412D0"/>
    <w:rsid w:val="00E56322"/>
    <w:rsid w:val="00E60982"/>
    <w:rsid w:val="00E62C62"/>
    <w:rsid w:val="00E654C1"/>
    <w:rsid w:val="00E65D97"/>
    <w:rsid w:val="00E72A5A"/>
    <w:rsid w:val="00E73354"/>
    <w:rsid w:val="00E74627"/>
    <w:rsid w:val="00E9242D"/>
    <w:rsid w:val="00EA2F6A"/>
    <w:rsid w:val="00EB5255"/>
    <w:rsid w:val="00EB565A"/>
    <w:rsid w:val="00EB5C47"/>
    <w:rsid w:val="00EC1672"/>
    <w:rsid w:val="00ED0639"/>
    <w:rsid w:val="00ED747A"/>
    <w:rsid w:val="00EF4755"/>
    <w:rsid w:val="00EF6951"/>
    <w:rsid w:val="00EF7135"/>
    <w:rsid w:val="00F01ABA"/>
    <w:rsid w:val="00F027DB"/>
    <w:rsid w:val="00F03C1D"/>
    <w:rsid w:val="00F06514"/>
    <w:rsid w:val="00F14A7A"/>
    <w:rsid w:val="00F22985"/>
    <w:rsid w:val="00F31C19"/>
    <w:rsid w:val="00F3383E"/>
    <w:rsid w:val="00F35CDB"/>
    <w:rsid w:val="00F368A1"/>
    <w:rsid w:val="00F465A7"/>
    <w:rsid w:val="00F50B7C"/>
    <w:rsid w:val="00F550E6"/>
    <w:rsid w:val="00F70670"/>
    <w:rsid w:val="00F72B3A"/>
    <w:rsid w:val="00F74345"/>
    <w:rsid w:val="00F767AB"/>
    <w:rsid w:val="00F80A0A"/>
    <w:rsid w:val="00F80ACA"/>
    <w:rsid w:val="00F81904"/>
    <w:rsid w:val="00F82B19"/>
    <w:rsid w:val="00F914C5"/>
    <w:rsid w:val="00F9212D"/>
    <w:rsid w:val="00F965DA"/>
    <w:rsid w:val="00FA406A"/>
    <w:rsid w:val="00FB166C"/>
    <w:rsid w:val="00FB20DD"/>
    <w:rsid w:val="00FB503A"/>
    <w:rsid w:val="00FB516C"/>
    <w:rsid w:val="00FD0236"/>
    <w:rsid w:val="00FD18F4"/>
    <w:rsid w:val="00FD54DB"/>
    <w:rsid w:val="00FD619F"/>
    <w:rsid w:val="00FE2DB2"/>
    <w:rsid w:val="01020E54"/>
    <w:rsid w:val="011B398D"/>
    <w:rsid w:val="011E5562"/>
    <w:rsid w:val="01273479"/>
    <w:rsid w:val="01290F7E"/>
    <w:rsid w:val="013412AD"/>
    <w:rsid w:val="01462C02"/>
    <w:rsid w:val="014632E9"/>
    <w:rsid w:val="014C15B5"/>
    <w:rsid w:val="01511253"/>
    <w:rsid w:val="01530715"/>
    <w:rsid w:val="015D1E09"/>
    <w:rsid w:val="01702DAB"/>
    <w:rsid w:val="01993635"/>
    <w:rsid w:val="01BC156D"/>
    <w:rsid w:val="01D4129F"/>
    <w:rsid w:val="01F36A6F"/>
    <w:rsid w:val="02074DEA"/>
    <w:rsid w:val="020C4849"/>
    <w:rsid w:val="02367426"/>
    <w:rsid w:val="02510197"/>
    <w:rsid w:val="02697903"/>
    <w:rsid w:val="02933CF8"/>
    <w:rsid w:val="02CD1308"/>
    <w:rsid w:val="02CE17E8"/>
    <w:rsid w:val="02DE5734"/>
    <w:rsid w:val="02F96569"/>
    <w:rsid w:val="03082BE3"/>
    <w:rsid w:val="030B3424"/>
    <w:rsid w:val="03101D77"/>
    <w:rsid w:val="032C6BE5"/>
    <w:rsid w:val="033A6511"/>
    <w:rsid w:val="03514A3D"/>
    <w:rsid w:val="03571FF7"/>
    <w:rsid w:val="03660AEE"/>
    <w:rsid w:val="036F4D79"/>
    <w:rsid w:val="03750BFE"/>
    <w:rsid w:val="037B5F61"/>
    <w:rsid w:val="037E5457"/>
    <w:rsid w:val="03905699"/>
    <w:rsid w:val="03A84F45"/>
    <w:rsid w:val="03A908CB"/>
    <w:rsid w:val="03E71426"/>
    <w:rsid w:val="03EA7B21"/>
    <w:rsid w:val="041B272B"/>
    <w:rsid w:val="043619A5"/>
    <w:rsid w:val="04362059"/>
    <w:rsid w:val="043E1D9D"/>
    <w:rsid w:val="044A0B2F"/>
    <w:rsid w:val="048D12FC"/>
    <w:rsid w:val="048E046F"/>
    <w:rsid w:val="0490144A"/>
    <w:rsid w:val="04901B76"/>
    <w:rsid w:val="04A92C7A"/>
    <w:rsid w:val="04B213C1"/>
    <w:rsid w:val="04C86418"/>
    <w:rsid w:val="04CA0308"/>
    <w:rsid w:val="04D255BF"/>
    <w:rsid w:val="04E90B5B"/>
    <w:rsid w:val="0506227A"/>
    <w:rsid w:val="05383F82"/>
    <w:rsid w:val="055E433E"/>
    <w:rsid w:val="05634469"/>
    <w:rsid w:val="056B42F1"/>
    <w:rsid w:val="056D0CBF"/>
    <w:rsid w:val="057A1A3A"/>
    <w:rsid w:val="05815051"/>
    <w:rsid w:val="05AF57B0"/>
    <w:rsid w:val="05B3789F"/>
    <w:rsid w:val="05B61F54"/>
    <w:rsid w:val="05BC1DCB"/>
    <w:rsid w:val="05D723C2"/>
    <w:rsid w:val="05F83EAE"/>
    <w:rsid w:val="05FE7BBE"/>
    <w:rsid w:val="06073DD1"/>
    <w:rsid w:val="060A7570"/>
    <w:rsid w:val="061F2A86"/>
    <w:rsid w:val="062005AC"/>
    <w:rsid w:val="063B5B7A"/>
    <w:rsid w:val="063E7D85"/>
    <w:rsid w:val="06482992"/>
    <w:rsid w:val="06590F09"/>
    <w:rsid w:val="06602F27"/>
    <w:rsid w:val="06652463"/>
    <w:rsid w:val="06984EF8"/>
    <w:rsid w:val="069D6B5A"/>
    <w:rsid w:val="06B867FC"/>
    <w:rsid w:val="0700671A"/>
    <w:rsid w:val="071C6FC5"/>
    <w:rsid w:val="07293586"/>
    <w:rsid w:val="07295285"/>
    <w:rsid w:val="073A4468"/>
    <w:rsid w:val="073F20F3"/>
    <w:rsid w:val="074C5CD1"/>
    <w:rsid w:val="07636392"/>
    <w:rsid w:val="07770C56"/>
    <w:rsid w:val="077C2954"/>
    <w:rsid w:val="07823C29"/>
    <w:rsid w:val="078746E9"/>
    <w:rsid w:val="07B77899"/>
    <w:rsid w:val="07B97881"/>
    <w:rsid w:val="07BC60B3"/>
    <w:rsid w:val="07CC45E1"/>
    <w:rsid w:val="07D534D3"/>
    <w:rsid w:val="07EA0853"/>
    <w:rsid w:val="0822060B"/>
    <w:rsid w:val="082C19AB"/>
    <w:rsid w:val="084320A0"/>
    <w:rsid w:val="08454E7C"/>
    <w:rsid w:val="08510F6B"/>
    <w:rsid w:val="08976B43"/>
    <w:rsid w:val="089858A6"/>
    <w:rsid w:val="08A80E28"/>
    <w:rsid w:val="08AC3680"/>
    <w:rsid w:val="08CE0B51"/>
    <w:rsid w:val="08E26B92"/>
    <w:rsid w:val="090A5711"/>
    <w:rsid w:val="091A7487"/>
    <w:rsid w:val="092217DD"/>
    <w:rsid w:val="09284DBC"/>
    <w:rsid w:val="093721A1"/>
    <w:rsid w:val="093A7294"/>
    <w:rsid w:val="09497BFD"/>
    <w:rsid w:val="094B5F2D"/>
    <w:rsid w:val="09635002"/>
    <w:rsid w:val="09772BD9"/>
    <w:rsid w:val="098544DA"/>
    <w:rsid w:val="098D4BDD"/>
    <w:rsid w:val="099931B3"/>
    <w:rsid w:val="09DE3573"/>
    <w:rsid w:val="09E66E37"/>
    <w:rsid w:val="09FE2F63"/>
    <w:rsid w:val="0A093CB1"/>
    <w:rsid w:val="0A263993"/>
    <w:rsid w:val="0A2D3AC2"/>
    <w:rsid w:val="0A3C7712"/>
    <w:rsid w:val="0A3F1874"/>
    <w:rsid w:val="0A4E6FBD"/>
    <w:rsid w:val="0A5151D8"/>
    <w:rsid w:val="0A5B1C9D"/>
    <w:rsid w:val="0A8C07BD"/>
    <w:rsid w:val="0A9B3DCA"/>
    <w:rsid w:val="0AA27E70"/>
    <w:rsid w:val="0AA555CF"/>
    <w:rsid w:val="0AA755DF"/>
    <w:rsid w:val="0AB56E5C"/>
    <w:rsid w:val="0AC101D6"/>
    <w:rsid w:val="0AD83203"/>
    <w:rsid w:val="0AE16233"/>
    <w:rsid w:val="0AE85F78"/>
    <w:rsid w:val="0AF95916"/>
    <w:rsid w:val="0B022B79"/>
    <w:rsid w:val="0B113701"/>
    <w:rsid w:val="0B120D44"/>
    <w:rsid w:val="0B4765DB"/>
    <w:rsid w:val="0B595E15"/>
    <w:rsid w:val="0B601240"/>
    <w:rsid w:val="0B613F1A"/>
    <w:rsid w:val="0BC11EE9"/>
    <w:rsid w:val="0BD27BF6"/>
    <w:rsid w:val="0C1D0333"/>
    <w:rsid w:val="0C22277D"/>
    <w:rsid w:val="0C387E2C"/>
    <w:rsid w:val="0C392F0A"/>
    <w:rsid w:val="0C3B3C7D"/>
    <w:rsid w:val="0C4B242C"/>
    <w:rsid w:val="0C4E7445"/>
    <w:rsid w:val="0C691B96"/>
    <w:rsid w:val="0C8C7609"/>
    <w:rsid w:val="0C8E4EF6"/>
    <w:rsid w:val="0C9862FF"/>
    <w:rsid w:val="0CAB0C04"/>
    <w:rsid w:val="0CAB2EAE"/>
    <w:rsid w:val="0CD3533D"/>
    <w:rsid w:val="0CD96F6C"/>
    <w:rsid w:val="0CDC2CC2"/>
    <w:rsid w:val="0D143198"/>
    <w:rsid w:val="0D156991"/>
    <w:rsid w:val="0D2C5796"/>
    <w:rsid w:val="0D3B3882"/>
    <w:rsid w:val="0D3F756A"/>
    <w:rsid w:val="0D42705A"/>
    <w:rsid w:val="0D5A43A4"/>
    <w:rsid w:val="0D621C7D"/>
    <w:rsid w:val="0DA1356D"/>
    <w:rsid w:val="0DAE0F8E"/>
    <w:rsid w:val="0DB461AA"/>
    <w:rsid w:val="0DBA12E6"/>
    <w:rsid w:val="0DDE0B34"/>
    <w:rsid w:val="0DF4585F"/>
    <w:rsid w:val="0E013AA6"/>
    <w:rsid w:val="0E233C52"/>
    <w:rsid w:val="0E37131F"/>
    <w:rsid w:val="0E73034D"/>
    <w:rsid w:val="0EB21FBD"/>
    <w:rsid w:val="0EC53040"/>
    <w:rsid w:val="0EDD018D"/>
    <w:rsid w:val="0EF27D74"/>
    <w:rsid w:val="0F035AE8"/>
    <w:rsid w:val="0F13775A"/>
    <w:rsid w:val="0F5F45FE"/>
    <w:rsid w:val="0F6A7266"/>
    <w:rsid w:val="0F9A112B"/>
    <w:rsid w:val="0FDF5034"/>
    <w:rsid w:val="0FF07241"/>
    <w:rsid w:val="101E01DD"/>
    <w:rsid w:val="102F5B68"/>
    <w:rsid w:val="10301D81"/>
    <w:rsid w:val="103136D5"/>
    <w:rsid w:val="106D2F64"/>
    <w:rsid w:val="108703B3"/>
    <w:rsid w:val="109B189C"/>
    <w:rsid w:val="10B63710"/>
    <w:rsid w:val="10D426BF"/>
    <w:rsid w:val="10DE4B9F"/>
    <w:rsid w:val="10EA0134"/>
    <w:rsid w:val="10F10820"/>
    <w:rsid w:val="10F15212"/>
    <w:rsid w:val="110132F0"/>
    <w:rsid w:val="111C2F7A"/>
    <w:rsid w:val="112371A2"/>
    <w:rsid w:val="112A0531"/>
    <w:rsid w:val="112A6983"/>
    <w:rsid w:val="11315459"/>
    <w:rsid w:val="1143045F"/>
    <w:rsid w:val="11551A52"/>
    <w:rsid w:val="11665CA1"/>
    <w:rsid w:val="117B6FDE"/>
    <w:rsid w:val="119D0D03"/>
    <w:rsid w:val="11C12CB1"/>
    <w:rsid w:val="11C74FD7"/>
    <w:rsid w:val="11D82AF8"/>
    <w:rsid w:val="11EB59A4"/>
    <w:rsid w:val="11FC011F"/>
    <w:rsid w:val="11FC1ECD"/>
    <w:rsid w:val="1221034B"/>
    <w:rsid w:val="12307DC9"/>
    <w:rsid w:val="125664E4"/>
    <w:rsid w:val="12747CB6"/>
    <w:rsid w:val="12767ED2"/>
    <w:rsid w:val="12D16E5D"/>
    <w:rsid w:val="13170101"/>
    <w:rsid w:val="13203999"/>
    <w:rsid w:val="13223BB5"/>
    <w:rsid w:val="133531D4"/>
    <w:rsid w:val="13931BDB"/>
    <w:rsid w:val="13951726"/>
    <w:rsid w:val="13A72B64"/>
    <w:rsid w:val="13BE4506"/>
    <w:rsid w:val="13D205B1"/>
    <w:rsid w:val="13D7584F"/>
    <w:rsid w:val="13F953C6"/>
    <w:rsid w:val="14034084"/>
    <w:rsid w:val="141352AC"/>
    <w:rsid w:val="141A13FB"/>
    <w:rsid w:val="14243C74"/>
    <w:rsid w:val="14396509"/>
    <w:rsid w:val="143C4803"/>
    <w:rsid w:val="14665304"/>
    <w:rsid w:val="147251D4"/>
    <w:rsid w:val="1486335B"/>
    <w:rsid w:val="1490109D"/>
    <w:rsid w:val="14932BE8"/>
    <w:rsid w:val="149B2440"/>
    <w:rsid w:val="14B12CBB"/>
    <w:rsid w:val="14BB3133"/>
    <w:rsid w:val="14C75D11"/>
    <w:rsid w:val="14DD2C3C"/>
    <w:rsid w:val="14DE3B0C"/>
    <w:rsid w:val="14E813C2"/>
    <w:rsid w:val="151015E2"/>
    <w:rsid w:val="1514752E"/>
    <w:rsid w:val="1548367B"/>
    <w:rsid w:val="15757273"/>
    <w:rsid w:val="15976B6E"/>
    <w:rsid w:val="15D1198F"/>
    <w:rsid w:val="15F829AC"/>
    <w:rsid w:val="16087E1D"/>
    <w:rsid w:val="161A6EA9"/>
    <w:rsid w:val="161D68B6"/>
    <w:rsid w:val="162D4D4B"/>
    <w:rsid w:val="163958A2"/>
    <w:rsid w:val="163E7F6F"/>
    <w:rsid w:val="164E081E"/>
    <w:rsid w:val="16541166"/>
    <w:rsid w:val="16590A62"/>
    <w:rsid w:val="16593F8C"/>
    <w:rsid w:val="16890E2E"/>
    <w:rsid w:val="16900415"/>
    <w:rsid w:val="169E6FE9"/>
    <w:rsid w:val="16B57185"/>
    <w:rsid w:val="172D0D7B"/>
    <w:rsid w:val="175D45DA"/>
    <w:rsid w:val="17701D14"/>
    <w:rsid w:val="17735226"/>
    <w:rsid w:val="17904284"/>
    <w:rsid w:val="17A80401"/>
    <w:rsid w:val="17AA3F16"/>
    <w:rsid w:val="17B47BF1"/>
    <w:rsid w:val="17B53831"/>
    <w:rsid w:val="17B65CA2"/>
    <w:rsid w:val="17BC6AFB"/>
    <w:rsid w:val="17DD073D"/>
    <w:rsid w:val="17DD5268"/>
    <w:rsid w:val="17EC4792"/>
    <w:rsid w:val="18052DD3"/>
    <w:rsid w:val="180E10DD"/>
    <w:rsid w:val="186A2793"/>
    <w:rsid w:val="18722EE9"/>
    <w:rsid w:val="188744BB"/>
    <w:rsid w:val="188E4A08"/>
    <w:rsid w:val="189F624C"/>
    <w:rsid w:val="18D1704E"/>
    <w:rsid w:val="18D70A65"/>
    <w:rsid w:val="18DF1450"/>
    <w:rsid w:val="18F358AD"/>
    <w:rsid w:val="192166BD"/>
    <w:rsid w:val="19232435"/>
    <w:rsid w:val="19345563"/>
    <w:rsid w:val="194543C8"/>
    <w:rsid w:val="196A32EF"/>
    <w:rsid w:val="19727272"/>
    <w:rsid w:val="197B7B7C"/>
    <w:rsid w:val="198303AF"/>
    <w:rsid w:val="19AD3736"/>
    <w:rsid w:val="19C05ED6"/>
    <w:rsid w:val="19C51918"/>
    <w:rsid w:val="19D26CC1"/>
    <w:rsid w:val="19D92AF4"/>
    <w:rsid w:val="19DF26F0"/>
    <w:rsid w:val="19F35B46"/>
    <w:rsid w:val="1A1C66C0"/>
    <w:rsid w:val="1A42393B"/>
    <w:rsid w:val="1A5D1977"/>
    <w:rsid w:val="1A644AB4"/>
    <w:rsid w:val="1A6E5329"/>
    <w:rsid w:val="1A84652E"/>
    <w:rsid w:val="1A942CC3"/>
    <w:rsid w:val="1AA26BE8"/>
    <w:rsid w:val="1AAD45DE"/>
    <w:rsid w:val="1AB33FF8"/>
    <w:rsid w:val="1AD14861"/>
    <w:rsid w:val="1AD87250"/>
    <w:rsid w:val="1AF97902"/>
    <w:rsid w:val="1B046F80"/>
    <w:rsid w:val="1B227C60"/>
    <w:rsid w:val="1B3267B5"/>
    <w:rsid w:val="1B3A5814"/>
    <w:rsid w:val="1B40161D"/>
    <w:rsid w:val="1B441859"/>
    <w:rsid w:val="1B4D2AF4"/>
    <w:rsid w:val="1B6606B1"/>
    <w:rsid w:val="1B883E20"/>
    <w:rsid w:val="1BAD565E"/>
    <w:rsid w:val="1BDC68CC"/>
    <w:rsid w:val="1BF750FD"/>
    <w:rsid w:val="1C042A47"/>
    <w:rsid w:val="1C1A10EE"/>
    <w:rsid w:val="1C3841BE"/>
    <w:rsid w:val="1C48566E"/>
    <w:rsid w:val="1C544DB8"/>
    <w:rsid w:val="1C5E7925"/>
    <w:rsid w:val="1C672639"/>
    <w:rsid w:val="1C6E2DC0"/>
    <w:rsid w:val="1C6E3F6B"/>
    <w:rsid w:val="1C765EED"/>
    <w:rsid w:val="1C8B6B48"/>
    <w:rsid w:val="1C99656B"/>
    <w:rsid w:val="1C9F0B9D"/>
    <w:rsid w:val="1CE17CE3"/>
    <w:rsid w:val="1CF058D6"/>
    <w:rsid w:val="1CF10155"/>
    <w:rsid w:val="1CF163A7"/>
    <w:rsid w:val="1CFD070F"/>
    <w:rsid w:val="1D3371F4"/>
    <w:rsid w:val="1D3732FC"/>
    <w:rsid w:val="1D5030CD"/>
    <w:rsid w:val="1D532BBD"/>
    <w:rsid w:val="1D5F6196"/>
    <w:rsid w:val="1D6132A5"/>
    <w:rsid w:val="1D6628F1"/>
    <w:rsid w:val="1D813CC1"/>
    <w:rsid w:val="1D8E56D5"/>
    <w:rsid w:val="1DB17512"/>
    <w:rsid w:val="1DC72D0E"/>
    <w:rsid w:val="1DEA3522"/>
    <w:rsid w:val="1DEA52D0"/>
    <w:rsid w:val="1DF11B11"/>
    <w:rsid w:val="1E3B111E"/>
    <w:rsid w:val="1E534ABC"/>
    <w:rsid w:val="1E545323"/>
    <w:rsid w:val="1E554249"/>
    <w:rsid w:val="1E5810E7"/>
    <w:rsid w:val="1E6B556D"/>
    <w:rsid w:val="1E7A43DA"/>
    <w:rsid w:val="1E8277F9"/>
    <w:rsid w:val="1E973A3F"/>
    <w:rsid w:val="1EA614A3"/>
    <w:rsid w:val="1EAF1A93"/>
    <w:rsid w:val="1EBB7ACA"/>
    <w:rsid w:val="1EBF675C"/>
    <w:rsid w:val="1EC51899"/>
    <w:rsid w:val="1ECB57F4"/>
    <w:rsid w:val="1ED072B2"/>
    <w:rsid w:val="1EE37343"/>
    <w:rsid w:val="1EE86C52"/>
    <w:rsid w:val="1F022C16"/>
    <w:rsid w:val="1F743AE6"/>
    <w:rsid w:val="1F747B6D"/>
    <w:rsid w:val="1F8D285C"/>
    <w:rsid w:val="1F923A98"/>
    <w:rsid w:val="1F9A2D26"/>
    <w:rsid w:val="1F9B48BB"/>
    <w:rsid w:val="1F9C35C0"/>
    <w:rsid w:val="1FA82281"/>
    <w:rsid w:val="1FB10F53"/>
    <w:rsid w:val="1FC57FA4"/>
    <w:rsid w:val="1FE02794"/>
    <w:rsid w:val="1FE7539E"/>
    <w:rsid w:val="1FF829EB"/>
    <w:rsid w:val="200A7D12"/>
    <w:rsid w:val="20531852"/>
    <w:rsid w:val="205B4263"/>
    <w:rsid w:val="20671BE0"/>
    <w:rsid w:val="206760AA"/>
    <w:rsid w:val="20725926"/>
    <w:rsid w:val="2080016D"/>
    <w:rsid w:val="20963CB8"/>
    <w:rsid w:val="20A81A1B"/>
    <w:rsid w:val="20AC2D10"/>
    <w:rsid w:val="20B07FB6"/>
    <w:rsid w:val="20B646FB"/>
    <w:rsid w:val="20CF0814"/>
    <w:rsid w:val="20D603E1"/>
    <w:rsid w:val="20DD18D9"/>
    <w:rsid w:val="213B74B1"/>
    <w:rsid w:val="215A2310"/>
    <w:rsid w:val="216A4989"/>
    <w:rsid w:val="217750CC"/>
    <w:rsid w:val="21826606"/>
    <w:rsid w:val="21C347B6"/>
    <w:rsid w:val="21DC7625"/>
    <w:rsid w:val="21DE318A"/>
    <w:rsid w:val="21EC16E9"/>
    <w:rsid w:val="21EF5B80"/>
    <w:rsid w:val="22576990"/>
    <w:rsid w:val="225E34CC"/>
    <w:rsid w:val="22721379"/>
    <w:rsid w:val="22733AEE"/>
    <w:rsid w:val="22733ED9"/>
    <w:rsid w:val="229D6DB5"/>
    <w:rsid w:val="22C97BAA"/>
    <w:rsid w:val="22DF6424"/>
    <w:rsid w:val="22EC09E4"/>
    <w:rsid w:val="22F43287"/>
    <w:rsid w:val="22F47480"/>
    <w:rsid w:val="23253732"/>
    <w:rsid w:val="233603D3"/>
    <w:rsid w:val="23410C42"/>
    <w:rsid w:val="23757D31"/>
    <w:rsid w:val="23BF2D5B"/>
    <w:rsid w:val="23CB615B"/>
    <w:rsid w:val="23DE1C48"/>
    <w:rsid w:val="23F0191A"/>
    <w:rsid w:val="23FC5D5D"/>
    <w:rsid w:val="240210CD"/>
    <w:rsid w:val="24091DE1"/>
    <w:rsid w:val="24264B88"/>
    <w:rsid w:val="242B219E"/>
    <w:rsid w:val="246B6A3F"/>
    <w:rsid w:val="247F433D"/>
    <w:rsid w:val="24973CD7"/>
    <w:rsid w:val="24975A86"/>
    <w:rsid w:val="24BF09F7"/>
    <w:rsid w:val="24C347F3"/>
    <w:rsid w:val="24CA658A"/>
    <w:rsid w:val="252D53FE"/>
    <w:rsid w:val="256041BB"/>
    <w:rsid w:val="256F70E5"/>
    <w:rsid w:val="25807435"/>
    <w:rsid w:val="259A37BF"/>
    <w:rsid w:val="25C1100C"/>
    <w:rsid w:val="25EC2D81"/>
    <w:rsid w:val="260B34EE"/>
    <w:rsid w:val="261E66BD"/>
    <w:rsid w:val="261F20D9"/>
    <w:rsid w:val="26305DF0"/>
    <w:rsid w:val="26341E47"/>
    <w:rsid w:val="26487037"/>
    <w:rsid w:val="265E02D3"/>
    <w:rsid w:val="2660508F"/>
    <w:rsid w:val="266F17F9"/>
    <w:rsid w:val="26834513"/>
    <w:rsid w:val="269D33ED"/>
    <w:rsid w:val="269E759F"/>
    <w:rsid w:val="26E6011C"/>
    <w:rsid w:val="26F04ACF"/>
    <w:rsid w:val="2720435B"/>
    <w:rsid w:val="2728039B"/>
    <w:rsid w:val="272D5420"/>
    <w:rsid w:val="274719E5"/>
    <w:rsid w:val="27574C29"/>
    <w:rsid w:val="277057A2"/>
    <w:rsid w:val="277B3410"/>
    <w:rsid w:val="278F30CA"/>
    <w:rsid w:val="27AE3812"/>
    <w:rsid w:val="27B2687E"/>
    <w:rsid w:val="27BD5346"/>
    <w:rsid w:val="27C24F68"/>
    <w:rsid w:val="27E3353B"/>
    <w:rsid w:val="280276BA"/>
    <w:rsid w:val="281C60D6"/>
    <w:rsid w:val="28214015"/>
    <w:rsid w:val="28231C0C"/>
    <w:rsid w:val="28484B8F"/>
    <w:rsid w:val="285520ED"/>
    <w:rsid w:val="286059A6"/>
    <w:rsid w:val="28702875"/>
    <w:rsid w:val="287E3BF6"/>
    <w:rsid w:val="28902F18"/>
    <w:rsid w:val="28BC1142"/>
    <w:rsid w:val="28BF5A2C"/>
    <w:rsid w:val="28D72DA3"/>
    <w:rsid w:val="28FB201F"/>
    <w:rsid w:val="290D4568"/>
    <w:rsid w:val="29206EB8"/>
    <w:rsid w:val="294C3D70"/>
    <w:rsid w:val="294D2BB7"/>
    <w:rsid w:val="29595666"/>
    <w:rsid w:val="29606D8E"/>
    <w:rsid w:val="29673F9A"/>
    <w:rsid w:val="297D055D"/>
    <w:rsid w:val="29874881"/>
    <w:rsid w:val="29A42EB3"/>
    <w:rsid w:val="29BC7957"/>
    <w:rsid w:val="29C15A7E"/>
    <w:rsid w:val="29E325E0"/>
    <w:rsid w:val="2A2437DD"/>
    <w:rsid w:val="2A426494"/>
    <w:rsid w:val="2A452503"/>
    <w:rsid w:val="2A656E6E"/>
    <w:rsid w:val="2AAC67D5"/>
    <w:rsid w:val="2AC43825"/>
    <w:rsid w:val="2AD417E1"/>
    <w:rsid w:val="2ADF12DD"/>
    <w:rsid w:val="2B53055A"/>
    <w:rsid w:val="2B5B5A5F"/>
    <w:rsid w:val="2B6648A5"/>
    <w:rsid w:val="2B717B3C"/>
    <w:rsid w:val="2B792139"/>
    <w:rsid w:val="2BA07916"/>
    <w:rsid w:val="2BA936A8"/>
    <w:rsid w:val="2BD32290"/>
    <w:rsid w:val="2BEF7F55"/>
    <w:rsid w:val="2C1219BB"/>
    <w:rsid w:val="2C315A5A"/>
    <w:rsid w:val="2C351E0C"/>
    <w:rsid w:val="2C4701CE"/>
    <w:rsid w:val="2C4B1C25"/>
    <w:rsid w:val="2C6C481A"/>
    <w:rsid w:val="2C7F577D"/>
    <w:rsid w:val="2CAD52E1"/>
    <w:rsid w:val="2CC46DAC"/>
    <w:rsid w:val="2CDD4CB6"/>
    <w:rsid w:val="2CDE06F5"/>
    <w:rsid w:val="2D10705E"/>
    <w:rsid w:val="2D12039F"/>
    <w:rsid w:val="2D371B71"/>
    <w:rsid w:val="2D4B08B0"/>
    <w:rsid w:val="2D4C0D65"/>
    <w:rsid w:val="2D654F40"/>
    <w:rsid w:val="2D666FB2"/>
    <w:rsid w:val="2D946763"/>
    <w:rsid w:val="2D9E56F5"/>
    <w:rsid w:val="2DA730DA"/>
    <w:rsid w:val="2DCC49F2"/>
    <w:rsid w:val="2DCC5589"/>
    <w:rsid w:val="2DE27D71"/>
    <w:rsid w:val="2E263A80"/>
    <w:rsid w:val="2E3C2181"/>
    <w:rsid w:val="2E3E700E"/>
    <w:rsid w:val="2E667F96"/>
    <w:rsid w:val="2E8226AB"/>
    <w:rsid w:val="2EAD4709"/>
    <w:rsid w:val="2EB10E54"/>
    <w:rsid w:val="2ED00645"/>
    <w:rsid w:val="2EDB7306"/>
    <w:rsid w:val="2EE3574B"/>
    <w:rsid w:val="2EE55AE5"/>
    <w:rsid w:val="2F0D459B"/>
    <w:rsid w:val="2F2D7712"/>
    <w:rsid w:val="2F585DE4"/>
    <w:rsid w:val="2F6E19B1"/>
    <w:rsid w:val="2F86506E"/>
    <w:rsid w:val="2F8C7A06"/>
    <w:rsid w:val="2FC53C32"/>
    <w:rsid w:val="2FC53DC8"/>
    <w:rsid w:val="2FD065E6"/>
    <w:rsid w:val="2FD96870"/>
    <w:rsid w:val="30022E5B"/>
    <w:rsid w:val="303A20E7"/>
    <w:rsid w:val="30580BC9"/>
    <w:rsid w:val="306F4855"/>
    <w:rsid w:val="307B3DE3"/>
    <w:rsid w:val="3090640C"/>
    <w:rsid w:val="309C6C2F"/>
    <w:rsid w:val="30C23F79"/>
    <w:rsid w:val="30D3594F"/>
    <w:rsid w:val="30DA2026"/>
    <w:rsid w:val="30E07834"/>
    <w:rsid w:val="311E2ED7"/>
    <w:rsid w:val="313A6116"/>
    <w:rsid w:val="31450839"/>
    <w:rsid w:val="314909D7"/>
    <w:rsid w:val="314B5736"/>
    <w:rsid w:val="315619EE"/>
    <w:rsid w:val="315801C0"/>
    <w:rsid w:val="315C449C"/>
    <w:rsid w:val="31701F4C"/>
    <w:rsid w:val="318F0ECE"/>
    <w:rsid w:val="319A5F7F"/>
    <w:rsid w:val="31B22151"/>
    <w:rsid w:val="31B82709"/>
    <w:rsid w:val="31BD6B98"/>
    <w:rsid w:val="31D05482"/>
    <w:rsid w:val="31FF7EB0"/>
    <w:rsid w:val="320655AF"/>
    <w:rsid w:val="32140715"/>
    <w:rsid w:val="322924BF"/>
    <w:rsid w:val="32297556"/>
    <w:rsid w:val="32400B34"/>
    <w:rsid w:val="32494863"/>
    <w:rsid w:val="32573C08"/>
    <w:rsid w:val="32743EF4"/>
    <w:rsid w:val="327B3CFF"/>
    <w:rsid w:val="32804A86"/>
    <w:rsid w:val="328C14AB"/>
    <w:rsid w:val="329E6876"/>
    <w:rsid w:val="32C05C5B"/>
    <w:rsid w:val="32DA30A0"/>
    <w:rsid w:val="32E83B87"/>
    <w:rsid w:val="331D26D3"/>
    <w:rsid w:val="33226A2C"/>
    <w:rsid w:val="332B2B49"/>
    <w:rsid w:val="333015F2"/>
    <w:rsid w:val="33364F1A"/>
    <w:rsid w:val="33374DFF"/>
    <w:rsid w:val="3341378C"/>
    <w:rsid w:val="334B6320"/>
    <w:rsid w:val="33556251"/>
    <w:rsid w:val="33670469"/>
    <w:rsid w:val="33754941"/>
    <w:rsid w:val="33886B3E"/>
    <w:rsid w:val="33A8556B"/>
    <w:rsid w:val="33D934D4"/>
    <w:rsid w:val="33DF6860"/>
    <w:rsid w:val="33EA5704"/>
    <w:rsid w:val="33F12501"/>
    <w:rsid w:val="33F23C50"/>
    <w:rsid w:val="33FE2F6A"/>
    <w:rsid w:val="34031E9A"/>
    <w:rsid w:val="34070810"/>
    <w:rsid w:val="340E07E5"/>
    <w:rsid w:val="34235BF7"/>
    <w:rsid w:val="343B790C"/>
    <w:rsid w:val="345F1C3A"/>
    <w:rsid w:val="34600D1D"/>
    <w:rsid w:val="346746A9"/>
    <w:rsid w:val="34777368"/>
    <w:rsid w:val="34DB19BE"/>
    <w:rsid w:val="34E1503D"/>
    <w:rsid w:val="353A069D"/>
    <w:rsid w:val="35416308"/>
    <w:rsid w:val="354711A9"/>
    <w:rsid w:val="354B49EF"/>
    <w:rsid w:val="354F479B"/>
    <w:rsid w:val="355968AD"/>
    <w:rsid w:val="358C5FA8"/>
    <w:rsid w:val="358D5BE4"/>
    <w:rsid w:val="35C15DF1"/>
    <w:rsid w:val="35CE5396"/>
    <w:rsid w:val="35DA1C76"/>
    <w:rsid w:val="36074A7F"/>
    <w:rsid w:val="36183E27"/>
    <w:rsid w:val="361F4892"/>
    <w:rsid w:val="363C7F8E"/>
    <w:rsid w:val="367125DA"/>
    <w:rsid w:val="36765F29"/>
    <w:rsid w:val="36923549"/>
    <w:rsid w:val="36A4497E"/>
    <w:rsid w:val="36AC3852"/>
    <w:rsid w:val="36B75FBF"/>
    <w:rsid w:val="36BA5F48"/>
    <w:rsid w:val="36BD0C45"/>
    <w:rsid w:val="36D214DF"/>
    <w:rsid w:val="36FD5C1C"/>
    <w:rsid w:val="36FE5F0E"/>
    <w:rsid w:val="37474E1D"/>
    <w:rsid w:val="374B37C3"/>
    <w:rsid w:val="377D6812"/>
    <w:rsid w:val="37822916"/>
    <w:rsid w:val="37C93E97"/>
    <w:rsid w:val="37CB4130"/>
    <w:rsid w:val="37CF3E9D"/>
    <w:rsid w:val="37E00298"/>
    <w:rsid w:val="380F5EE2"/>
    <w:rsid w:val="380F75E4"/>
    <w:rsid w:val="38255CB5"/>
    <w:rsid w:val="38262F51"/>
    <w:rsid w:val="38637D01"/>
    <w:rsid w:val="386C4CA5"/>
    <w:rsid w:val="38B302F9"/>
    <w:rsid w:val="38EC4BB3"/>
    <w:rsid w:val="38F12CD3"/>
    <w:rsid w:val="38F82B3F"/>
    <w:rsid w:val="38F94775"/>
    <w:rsid w:val="392261B1"/>
    <w:rsid w:val="392753DE"/>
    <w:rsid w:val="392971ED"/>
    <w:rsid w:val="39325651"/>
    <w:rsid w:val="395A0680"/>
    <w:rsid w:val="395D3F56"/>
    <w:rsid w:val="39AF3828"/>
    <w:rsid w:val="39B4222B"/>
    <w:rsid w:val="39F544E1"/>
    <w:rsid w:val="3A4E08BC"/>
    <w:rsid w:val="3A4E0CEB"/>
    <w:rsid w:val="3A4E41E0"/>
    <w:rsid w:val="3A865F28"/>
    <w:rsid w:val="3A872856"/>
    <w:rsid w:val="3A8E63BA"/>
    <w:rsid w:val="3AA906BC"/>
    <w:rsid w:val="3AAF2239"/>
    <w:rsid w:val="3ABA4A99"/>
    <w:rsid w:val="3AC401BA"/>
    <w:rsid w:val="3AD969A0"/>
    <w:rsid w:val="3B3763D1"/>
    <w:rsid w:val="3B5B761C"/>
    <w:rsid w:val="3B624C93"/>
    <w:rsid w:val="3B71466B"/>
    <w:rsid w:val="3B7B3744"/>
    <w:rsid w:val="3BC41323"/>
    <w:rsid w:val="3BE205C7"/>
    <w:rsid w:val="3BE64ED1"/>
    <w:rsid w:val="3BF138D0"/>
    <w:rsid w:val="3C096E11"/>
    <w:rsid w:val="3C2810DB"/>
    <w:rsid w:val="3C2D5BDB"/>
    <w:rsid w:val="3C2F6E1E"/>
    <w:rsid w:val="3C3E487E"/>
    <w:rsid w:val="3C413397"/>
    <w:rsid w:val="3C4979E3"/>
    <w:rsid w:val="3C4F64BA"/>
    <w:rsid w:val="3C4F6F1A"/>
    <w:rsid w:val="3C522A4A"/>
    <w:rsid w:val="3C5B2793"/>
    <w:rsid w:val="3C5E400B"/>
    <w:rsid w:val="3C656005"/>
    <w:rsid w:val="3C9455F4"/>
    <w:rsid w:val="3CDA245A"/>
    <w:rsid w:val="3D014521"/>
    <w:rsid w:val="3D136E0E"/>
    <w:rsid w:val="3D1E06B7"/>
    <w:rsid w:val="3D361CF6"/>
    <w:rsid w:val="3D381A7B"/>
    <w:rsid w:val="3D4011E0"/>
    <w:rsid w:val="3D6A5E37"/>
    <w:rsid w:val="3D8E5820"/>
    <w:rsid w:val="3D9C12F8"/>
    <w:rsid w:val="3D9F6A2C"/>
    <w:rsid w:val="3DAD2772"/>
    <w:rsid w:val="3DCF633C"/>
    <w:rsid w:val="3DD75419"/>
    <w:rsid w:val="3DD97108"/>
    <w:rsid w:val="3DEC22C1"/>
    <w:rsid w:val="3DED5874"/>
    <w:rsid w:val="3E086D70"/>
    <w:rsid w:val="3E0B6E71"/>
    <w:rsid w:val="3E5F0F6A"/>
    <w:rsid w:val="3E5F4196"/>
    <w:rsid w:val="3E5F540E"/>
    <w:rsid w:val="3E634CB5"/>
    <w:rsid w:val="3E736E23"/>
    <w:rsid w:val="3EDA0523"/>
    <w:rsid w:val="3EE878CB"/>
    <w:rsid w:val="3F1D2F3F"/>
    <w:rsid w:val="3F36616F"/>
    <w:rsid w:val="3F404654"/>
    <w:rsid w:val="3F4343B0"/>
    <w:rsid w:val="3F5136FA"/>
    <w:rsid w:val="3F5F69E4"/>
    <w:rsid w:val="3F6031EC"/>
    <w:rsid w:val="3F6718AB"/>
    <w:rsid w:val="3F7E3FBC"/>
    <w:rsid w:val="3F806214"/>
    <w:rsid w:val="3FF322B2"/>
    <w:rsid w:val="40242CE7"/>
    <w:rsid w:val="40385F17"/>
    <w:rsid w:val="403F2E01"/>
    <w:rsid w:val="407A6407"/>
    <w:rsid w:val="40A50046"/>
    <w:rsid w:val="40CA554C"/>
    <w:rsid w:val="40E65973"/>
    <w:rsid w:val="4105229D"/>
    <w:rsid w:val="41145F91"/>
    <w:rsid w:val="411753FE"/>
    <w:rsid w:val="413A3ED2"/>
    <w:rsid w:val="413B7A6D"/>
    <w:rsid w:val="41890513"/>
    <w:rsid w:val="4192492E"/>
    <w:rsid w:val="41D13F2D"/>
    <w:rsid w:val="41D26D66"/>
    <w:rsid w:val="41DF471C"/>
    <w:rsid w:val="41EC0D67"/>
    <w:rsid w:val="41F00CB8"/>
    <w:rsid w:val="41F24E6F"/>
    <w:rsid w:val="41FF4F3E"/>
    <w:rsid w:val="4200449D"/>
    <w:rsid w:val="42040582"/>
    <w:rsid w:val="420A0807"/>
    <w:rsid w:val="423A3BCC"/>
    <w:rsid w:val="424E57D2"/>
    <w:rsid w:val="42540FF9"/>
    <w:rsid w:val="4298343B"/>
    <w:rsid w:val="42AD2AB0"/>
    <w:rsid w:val="42B26C49"/>
    <w:rsid w:val="42D76A7A"/>
    <w:rsid w:val="42E960CB"/>
    <w:rsid w:val="42F44377"/>
    <w:rsid w:val="431F180A"/>
    <w:rsid w:val="433A6FE6"/>
    <w:rsid w:val="43480868"/>
    <w:rsid w:val="4350713C"/>
    <w:rsid w:val="436653E0"/>
    <w:rsid w:val="437877BC"/>
    <w:rsid w:val="43803DD5"/>
    <w:rsid w:val="43A578D0"/>
    <w:rsid w:val="43AF029E"/>
    <w:rsid w:val="43B336B5"/>
    <w:rsid w:val="43B76C74"/>
    <w:rsid w:val="43C4431A"/>
    <w:rsid w:val="43D27FC5"/>
    <w:rsid w:val="43D62D1F"/>
    <w:rsid w:val="440B4FC8"/>
    <w:rsid w:val="44171D01"/>
    <w:rsid w:val="443A04B0"/>
    <w:rsid w:val="44893F64"/>
    <w:rsid w:val="448E74DF"/>
    <w:rsid w:val="44AD6ED3"/>
    <w:rsid w:val="44AE7B60"/>
    <w:rsid w:val="44B350DF"/>
    <w:rsid w:val="44B951CC"/>
    <w:rsid w:val="44CD14E0"/>
    <w:rsid w:val="44CD1C49"/>
    <w:rsid w:val="44DA46D5"/>
    <w:rsid w:val="44EC1676"/>
    <w:rsid w:val="44F20B0B"/>
    <w:rsid w:val="44FE12DE"/>
    <w:rsid w:val="452E5F4C"/>
    <w:rsid w:val="453A628D"/>
    <w:rsid w:val="454E7A88"/>
    <w:rsid w:val="45612018"/>
    <w:rsid w:val="457B5846"/>
    <w:rsid w:val="45851EA5"/>
    <w:rsid w:val="458946E9"/>
    <w:rsid w:val="45920AF2"/>
    <w:rsid w:val="45963239"/>
    <w:rsid w:val="45A47C0E"/>
    <w:rsid w:val="45AC0F39"/>
    <w:rsid w:val="45AD7418"/>
    <w:rsid w:val="45BE2FE0"/>
    <w:rsid w:val="4622744D"/>
    <w:rsid w:val="463252F0"/>
    <w:rsid w:val="46570FCA"/>
    <w:rsid w:val="46577FD6"/>
    <w:rsid w:val="46756273"/>
    <w:rsid w:val="46911EDD"/>
    <w:rsid w:val="46955090"/>
    <w:rsid w:val="46D87B0C"/>
    <w:rsid w:val="46D955A7"/>
    <w:rsid w:val="46EB3C22"/>
    <w:rsid w:val="46F72CBA"/>
    <w:rsid w:val="46FB2867"/>
    <w:rsid w:val="47133957"/>
    <w:rsid w:val="472320D7"/>
    <w:rsid w:val="473C60E1"/>
    <w:rsid w:val="475529C8"/>
    <w:rsid w:val="476615BC"/>
    <w:rsid w:val="477E071D"/>
    <w:rsid w:val="47805297"/>
    <w:rsid w:val="478D4D9A"/>
    <w:rsid w:val="479D2CF9"/>
    <w:rsid w:val="47A07E0C"/>
    <w:rsid w:val="47AB5535"/>
    <w:rsid w:val="47B36F9E"/>
    <w:rsid w:val="47C01E75"/>
    <w:rsid w:val="47CA4C51"/>
    <w:rsid w:val="47CC4A9D"/>
    <w:rsid w:val="47D74267"/>
    <w:rsid w:val="47F646ED"/>
    <w:rsid w:val="47FC1517"/>
    <w:rsid w:val="480D3012"/>
    <w:rsid w:val="482762D1"/>
    <w:rsid w:val="4853145B"/>
    <w:rsid w:val="48595198"/>
    <w:rsid w:val="48623B31"/>
    <w:rsid w:val="486C6C61"/>
    <w:rsid w:val="486D6549"/>
    <w:rsid w:val="4870272E"/>
    <w:rsid w:val="48790E7B"/>
    <w:rsid w:val="487E25DF"/>
    <w:rsid w:val="487F6573"/>
    <w:rsid w:val="48C82244"/>
    <w:rsid w:val="48D26D05"/>
    <w:rsid w:val="48E921CA"/>
    <w:rsid w:val="4913727A"/>
    <w:rsid w:val="49202AE6"/>
    <w:rsid w:val="49486421"/>
    <w:rsid w:val="49492F43"/>
    <w:rsid w:val="496274DF"/>
    <w:rsid w:val="496C3E3C"/>
    <w:rsid w:val="497D6590"/>
    <w:rsid w:val="499E3232"/>
    <w:rsid w:val="49A72AEB"/>
    <w:rsid w:val="49D74391"/>
    <w:rsid w:val="49DC7715"/>
    <w:rsid w:val="49E20FBA"/>
    <w:rsid w:val="49F01DD4"/>
    <w:rsid w:val="49FE2617"/>
    <w:rsid w:val="4A023139"/>
    <w:rsid w:val="4A145156"/>
    <w:rsid w:val="4A154C02"/>
    <w:rsid w:val="4A45195C"/>
    <w:rsid w:val="4A516C11"/>
    <w:rsid w:val="4A58168F"/>
    <w:rsid w:val="4A77428F"/>
    <w:rsid w:val="4A7B576F"/>
    <w:rsid w:val="4AB2087D"/>
    <w:rsid w:val="4ACA573D"/>
    <w:rsid w:val="4AF561A9"/>
    <w:rsid w:val="4B045373"/>
    <w:rsid w:val="4B2161F4"/>
    <w:rsid w:val="4B4D77EB"/>
    <w:rsid w:val="4B5358D7"/>
    <w:rsid w:val="4B565240"/>
    <w:rsid w:val="4B611AB4"/>
    <w:rsid w:val="4B6B71A0"/>
    <w:rsid w:val="4B86198D"/>
    <w:rsid w:val="4BA30248"/>
    <w:rsid w:val="4BAE0005"/>
    <w:rsid w:val="4BAF3531"/>
    <w:rsid w:val="4BBB3E40"/>
    <w:rsid w:val="4BE07B8E"/>
    <w:rsid w:val="4C3413A7"/>
    <w:rsid w:val="4C3C62A4"/>
    <w:rsid w:val="4C433C79"/>
    <w:rsid w:val="4C4A0649"/>
    <w:rsid w:val="4C554AE9"/>
    <w:rsid w:val="4C6E0441"/>
    <w:rsid w:val="4C7E5ECA"/>
    <w:rsid w:val="4C855E29"/>
    <w:rsid w:val="4C876AA5"/>
    <w:rsid w:val="4C9028AB"/>
    <w:rsid w:val="4CA77B53"/>
    <w:rsid w:val="4CAE284E"/>
    <w:rsid w:val="4CB97DCF"/>
    <w:rsid w:val="4CC0176E"/>
    <w:rsid w:val="4CEF7D2C"/>
    <w:rsid w:val="4D0E00FB"/>
    <w:rsid w:val="4D176606"/>
    <w:rsid w:val="4D1C0DE7"/>
    <w:rsid w:val="4D260E6C"/>
    <w:rsid w:val="4D4E6D7A"/>
    <w:rsid w:val="4D561A43"/>
    <w:rsid w:val="4D6640C3"/>
    <w:rsid w:val="4D764171"/>
    <w:rsid w:val="4D77671C"/>
    <w:rsid w:val="4DC66910"/>
    <w:rsid w:val="4DD962E3"/>
    <w:rsid w:val="4DE549AB"/>
    <w:rsid w:val="4DEC4FB0"/>
    <w:rsid w:val="4DF81CBC"/>
    <w:rsid w:val="4E011036"/>
    <w:rsid w:val="4E075D8A"/>
    <w:rsid w:val="4E276627"/>
    <w:rsid w:val="4E285EC6"/>
    <w:rsid w:val="4E3C1A8F"/>
    <w:rsid w:val="4E3D6C6A"/>
    <w:rsid w:val="4E4A5C22"/>
    <w:rsid w:val="4E646963"/>
    <w:rsid w:val="4E727016"/>
    <w:rsid w:val="4E75180B"/>
    <w:rsid w:val="4E983BA7"/>
    <w:rsid w:val="4EC00FAD"/>
    <w:rsid w:val="4ECD10A3"/>
    <w:rsid w:val="4EDB2B08"/>
    <w:rsid w:val="4EDC3366"/>
    <w:rsid w:val="4EDD03B5"/>
    <w:rsid w:val="4EEC6DAB"/>
    <w:rsid w:val="4EF77EEF"/>
    <w:rsid w:val="4F0B3174"/>
    <w:rsid w:val="4F0C2A48"/>
    <w:rsid w:val="4F10078B"/>
    <w:rsid w:val="4F676439"/>
    <w:rsid w:val="4F696D5A"/>
    <w:rsid w:val="4F773718"/>
    <w:rsid w:val="4F802D09"/>
    <w:rsid w:val="4F8627FB"/>
    <w:rsid w:val="4F887855"/>
    <w:rsid w:val="4F9843DC"/>
    <w:rsid w:val="4FA312A5"/>
    <w:rsid w:val="4FAE7E06"/>
    <w:rsid w:val="4FC62A8C"/>
    <w:rsid w:val="4FE20F0D"/>
    <w:rsid w:val="4FE2277E"/>
    <w:rsid w:val="4FE51552"/>
    <w:rsid w:val="4FF04026"/>
    <w:rsid w:val="500742FC"/>
    <w:rsid w:val="500B134E"/>
    <w:rsid w:val="503A3197"/>
    <w:rsid w:val="50504C4B"/>
    <w:rsid w:val="505B4019"/>
    <w:rsid w:val="505F6101"/>
    <w:rsid w:val="506B7639"/>
    <w:rsid w:val="506D2D79"/>
    <w:rsid w:val="5085442F"/>
    <w:rsid w:val="509A7C71"/>
    <w:rsid w:val="509C6E7C"/>
    <w:rsid w:val="50A218B6"/>
    <w:rsid w:val="50DC780D"/>
    <w:rsid w:val="50E15D4D"/>
    <w:rsid w:val="514A45D3"/>
    <w:rsid w:val="514B3CFC"/>
    <w:rsid w:val="5162104E"/>
    <w:rsid w:val="51754B84"/>
    <w:rsid w:val="51826FC0"/>
    <w:rsid w:val="51844B18"/>
    <w:rsid w:val="51AB4044"/>
    <w:rsid w:val="51C26320"/>
    <w:rsid w:val="51C7526D"/>
    <w:rsid w:val="51C94C21"/>
    <w:rsid w:val="51DB1900"/>
    <w:rsid w:val="52312F34"/>
    <w:rsid w:val="525666A0"/>
    <w:rsid w:val="525B0597"/>
    <w:rsid w:val="52706C20"/>
    <w:rsid w:val="52750905"/>
    <w:rsid w:val="52C11D9C"/>
    <w:rsid w:val="52DE46FC"/>
    <w:rsid w:val="52E2331D"/>
    <w:rsid w:val="52E43B5E"/>
    <w:rsid w:val="52E77A54"/>
    <w:rsid w:val="52EC0B45"/>
    <w:rsid w:val="52F1552A"/>
    <w:rsid w:val="53315A85"/>
    <w:rsid w:val="53587D04"/>
    <w:rsid w:val="536A351C"/>
    <w:rsid w:val="53820380"/>
    <w:rsid w:val="539108C3"/>
    <w:rsid w:val="53A039CC"/>
    <w:rsid w:val="53A1505A"/>
    <w:rsid w:val="54063E08"/>
    <w:rsid w:val="542D5BE2"/>
    <w:rsid w:val="5430603E"/>
    <w:rsid w:val="543437E8"/>
    <w:rsid w:val="544A1342"/>
    <w:rsid w:val="545F186C"/>
    <w:rsid w:val="54616A49"/>
    <w:rsid w:val="548C13E6"/>
    <w:rsid w:val="54A31759"/>
    <w:rsid w:val="54BF0398"/>
    <w:rsid w:val="54C435A2"/>
    <w:rsid w:val="54CF6E85"/>
    <w:rsid w:val="54D15274"/>
    <w:rsid w:val="54F73313"/>
    <w:rsid w:val="54F80955"/>
    <w:rsid w:val="54FA4CFA"/>
    <w:rsid w:val="55086FD1"/>
    <w:rsid w:val="551923E4"/>
    <w:rsid w:val="551A42B1"/>
    <w:rsid w:val="55202DAA"/>
    <w:rsid w:val="552D478F"/>
    <w:rsid w:val="554C0043"/>
    <w:rsid w:val="555170A7"/>
    <w:rsid w:val="555C23A0"/>
    <w:rsid w:val="556413FD"/>
    <w:rsid w:val="5587536D"/>
    <w:rsid w:val="559B174B"/>
    <w:rsid w:val="559D264C"/>
    <w:rsid w:val="55A74861"/>
    <w:rsid w:val="55CE0CF4"/>
    <w:rsid w:val="55DD7A41"/>
    <w:rsid w:val="56013199"/>
    <w:rsid w:val="56331401"/>
    <w:rsid w:val="56512413"/>
    <w:rsid w:val="56697343"/>
    <w:rsid w:val="56867584"/>
    <w:rsid w:val="568E3A93"/>
    <w:rsid w:val="56A95E08"/>
    <w:rsid w:val="56B22A9C"/>
    <w:rsid w:val="56C24C35"/>
    <w:rsid w:val="56E26CB7"/>
    <w:rsid w:val="570A3D11"/>
    <w:rsid w:val="571E77BD"/>
    <w:rsid w:val="572672EA"/>
    <w:rsid w:val="573D1223"/>
    <w:rsid w:val="57A118C8"/>
    <w:rsid w:val="57A24C1B"/>
    <w:rsid w:val="57B72A76"/>
    <w:rsid w:val="57C3426C"/>
    <w:rsid w:val="57CC7219"/>
    <w:rsid w:val="57CE1F93"/>
    <w:rsid w:val="57D60097"/>
    <w:rsid w:val="5803253C"/>
    <w:rsid w:val="5822099B"/>
    <w:rsid w:val="58692CBA"/>
    <w:rsid w:val="58715E55"/>
    <w:rsid w:val="588743D1"/>
    <w:rsid w:val="5887701A"/>
    <w:rsid w:val="588B42F9"/>
    <w:rsid w:val="589D038E"/>
    <w:rsid w:val="58B73CB7"/>
    <w:rsid w:val="58BF023E"/>
    <w:rsid w:val="58CB489D"/>
    <w:rsid w:val="58D03818"/>
    <w:rsid w:val="58D345D7"/>
    <w:rsid w:val="592866D1"/>
    <w:rsid w:val="593D067B"/>
    <w:rsid w:val="59516454"/>
    <w:rsid w:val="595A2602"/>
    <w:rsid w:val="595E46A3"/>
    <w:rsid w:val="59700EB0"/>
    <w:rsid w:val="59A25405"/>
    <w:rsid w:val="59AC4578"/>
    <w:rsid w:val="59C0439F"/>
    <w:rsid w:val="59D105B7"/>
    <w:rsid w:val="59D2488F"/>
    <w:rsid w:val="59F20A8D"/>
    <w:rsid w:val="59F84291"/>
    <w:rsid w:val="5A082FD9"/>
    <w:rsid w:val="5A10294A"/>
    <w:rsid w:val="5A421371"/>
    <w:rsid w:val="5A424547"/>
    <w:rsid w:val="5A505656"/>
    <w:rsid w:val="5A6B3FBA"/>
    <w:rsid w:val="5A716D02"/>
    <w:rsid w:val="5A7245D7"/>
    <w:rsid w:val="5A89319F"/>
    <w:rsid w:val="5AB04A9E"/>
    <w:rsid w:val="5AB95119"/>
    <w:rsid w:val="5ABE2233"/>
    <w:rsid w:val="5AC32CB4"/>
    <w:rsid w:val="5AF143C1"/>
    <w:rsid w:val="5B080F95"/>
    <w:rsid w:val="5B2F5A5B"/>
    <w:rsid w:val="5B332702"/>
    <w:rsid w:val="5B7770B0"/>
    <w:rsid w:val="5B9B2277"/>
    <w:rsid w:val="5BDF5D95"/>
    <w:rsid w:val="5BFE7528"/>
    <w:rsid w:val="5C0A6562"/>
    <w:rsid w:val="5C5537CA"/>
    <w:rsid w:val="5C59581B"/>
    <w:rsid w:val="5C860F6B"/>
    <w:rsid w:val="5C97637F"/>
    <w:rsid w:val="5CB91B1B"/>
    <w:rsid w:val="5CC20BEA"/>
    <w:rsid w:val="5CD56E5C"/>
    <w:rsid w:val="5D103A98"/>
    <w:rsid w:val="5D342241"/>
    <w:rsid w:val="5D506660"/>
    <w:rsid w:val="5D6972B8"/>
    <w:rsid w:val="5D714477"/>
    <w:rsid w:val="5D7400B5"/>
    <w:rsid w:val="5DC058EB"/>
    <w:rsid w:val="5DD10128"/>
    <w:rsid w:val="5DD81CCD"/>
    <w:rsid w:val="5DFE7EB6"/>
    <w:rsid w:val="5E00664F"/>
    <w:rsid w:val="5E2467F1"/>
    <w:rsid w:val="5E4E5EB9"/>
    <w:rsid w:val="5E530E11"/>
    <w:rsid w:val="5E687CB5"/>
    <w:rsid w:val="5E8F0FA0"/>
    <w:rsid w:val="5EB21DF7"/>
    <w:rsid w:val="5EB9324F"/>
    <w:rsid w:val="5EBB48D3"/>
    <w:rsid w:val="5EE035AA"/>
    <w:rsid w:val="5F1119B5"/>
    <w:rsid w:val="5F157B3C"/>
    <w:rsid w:val="5F1A2B43"/>
    <w:rsid w:val="5F24730D"/>
    <w:rsid w:val="5F507349"/>
    <w:rsid w:val="5F6212A1"/>
    <w:rsid w:val="5F683CCB"/>
    <w:rsid w:val="5F71003F"/>
    <w:rsid w:val="5F776EA7"/>
    <w:rsid w:val="5F7C32D2"/>
    <w:rsid w:val="5F7D0235"/>
    <w:rsid w:val="5F9173A6"/>
    <w:rsid w:val="5FB54D7B"/>
    <w:rsid w:val="5FB837BB"/>
    <w:rsid w:val="5FF82C9E"/>
    <w:rsid w:val="603E2C7E"/>
    <w:rsid w:val="60475718"/>
    <w:rsid w:val="60563B24"/>
    <w:rsid w:val="6084556A"/>
    <w:rsid w:val="608C64A1"/>
    <w:rsid w:val="60906CEE"/>
    <w:rsid w:val="60956D42"/>
    <w:rsid w:val="60A23B95"/>
    <w:rsid w:val="60BA653D"/>
    <w:rsid w:val="60CC405A"/>
    <w:rsid w:val="60D17C3E"/>
    <w:rsid w:val="61386967"/>
    <w:rsid w:val="61497B2C"/>
    <w:rsid w:val="615D5386"/>
    <w:rsid w:val="617859E8"/>
    <w:rsid w:val="618D7E32"/>
    <w:rsid w:val="61A30FEA"/>
    <w:rsid w:val="61A8488C"/>
    <w:rsid w:val="61A94127"/>
    <w:rsid w:val="61B35ABE"/>
    <w:rsid w:val="61BA27D8"/>
    <w:rsid w:val="61C70D37"/>
    <w:rsid w:val="61E215D8"/>
    <w:rsid w:val="61EB2000"/>
    <w:rsid w:val="620847C0"/>
    <w:rsid w:val="621B3775"/>
    <w:rsid w:val="622A34BA"/>
    <w:rsid w:val="622F6D22"/>
    <w:rsid w:val="62364782"/>
    <w:rsid w:val="623B764F"/>
    <w:rsid w:val="623E7711"/>
    <w:rsid w:val="623F6E56"/>
    <w:rsid w:val="626F25B9"/>
    <w:rsid w:val="62842E61"/>
    <w:rsid w:val="62854B94"/>
    <w:rsid w:val="628A341F"/>
    <w:rsid w:val="62960B4F"/>
    <w:rsid w:val="62E73159"/>
    <w:rsid w:val="62F320BB"/>
    <w:rsid w:val="62F53AC8"/>
    <w:rsid w:val="632750CE"/>
    <w:rsid w:val="632D6F1F"/>
    <w:rsid w:val="633B5C45"/>
    <w:rsid w:val="633D42EE"/>
    <w:rsid w:val="63935E6E"/>
    <w:rsid w:val="6394356A"/>
    <w:rsid w:val="639E415F"/>
    <w:rsid w:val="63B67828"/>
    <w:rsid w:val="63C61B2C"/>
    <w:rsid w:val="63D40BE9"/>
    <w:rsid w:val="63F35013"/>
    <w:rsid w:val="63FB4D3D"/>
    <w:rsid w:val="64102431"/>
    <w:rsid w:val="641E30F4"/>
    <w:rsid w:val="64404479"/>
    <w:rsid w:val="646F7140"/>
    <w:rsid w:val="648A0AFE"/>
    <w:rsid w:val="64A5243A"/>
    <w:rsid w:val="64B00C39"/>
    <w:rsid w:val="64D91F3D"/>
    <w:rsid w:val="64F531DE"/>
    <w:rsid w:val="64FF2A75"/>
    <w:rsid w:val="65046244"/>
    <w:rsid w:val="650F2266"/>
    <w:rsid w:val="65130235"/>
    <w:rsid w:val="651414DB"/>
    <w:rsid w:val="652C4266"/>
    <w:rsid w:val="65373578"/>
    <w:rsid w:val="65390F9D"/>
    <w:rsid w:val="65462486"/>
    <w:rsid w:val="654D17F1"/>
    <w:rsid w:val="657B402C"/>
    <w:rsid w:val="659934A9"/>
    <w:rsid w:val="65B76F02"/>
    <w:rsid w:val="65D67F63"/>
    <w:rsid w:val="65F71C93"/>
    <w:rsid w:val="66367CE8"/>
    <w:rsid w:val="666C4254"/>
    <w:rsid w:val="669376C0"/>
    <w:rsid w:val="66AC0EDD"/>
    <w:rsid w:val="66B45A48"/>
    <w:rsid w:val="66D82988"/>
    <w:rsid w:val="66E856F1"/>
    <w:rsid w:val="670E2CF4"/>
    <w:rsid w:val="671F124A"/>
    <w:rsid w:val="67291D7B"/>
    <w:rsid w:val="67334BBF"/>
    <w:rsid w:val="674A1F08"/>
    <w:rsid w:val="674C75E3"/>
    <w:rsid w:val="675D60DF"/>
    <w:rsid w:val="67644C59"/>
    <w:rsid w:val="677A33C6"/>
    <w:rsid w:val="679717A3"/>
    <w:rsid w:val="679A7D77"/>
    <w:rsid w:val="67A40284"/>
    <w:rsid w:val="67C36A7F"/>
    <w:rsid w:val="67E932C3"/>
    <w:rsid w:val="67F45CA8"/>
    <w:rsid w:val="67FC2C1C"/>
    <w:rsid w:val="681D7936"/>
    <w:rsid w:val="681F6961"/>
    <w:rsid w:val="68610A2F"/>
    <w:rsid w:val="68805514"/>
    <w:rsid w:val="688105BC"/>
    <w:rsid w:val="689577D1"/>
    <w:rsid w:val="68991B2C"/>
    <w:rsid w:val="689F35C3"/>
    <w:rsid w:val="68BF27B9"/>
    <w:rsid w:val="68C072C7"/>
    <w:rsid w:val="690146B6"/>
    <w:rsid w:val="690C2FEE"/>
    <w:rsid w:val="69110E39"/>
    <w:rsid w:val="6924682B"/>
    <w:rsid w:val="69285015"/>
    <w:rsid w:val="692F1FE5"/>
    <w:rsid w:val="69316E2F"/>
    <w:rsid w:val="69443B0A"/>
    <w:rsid w:val="694E2071"/>
    <w:rsid w:val="696B2369"/>
    <w:rsid w:val="6971484A"/>
    <w:rsid w:val="69766163"/>
    <w:rsid w:val="697A3B33"/>
    <w:rsid w:val="69860B9D"/>
    <w:rsid w:val="69BD77EF"/>
    <w:rsid w:val="69D22283"/>
    <w:rsid w:val="69D22757"/>
    <w:rsid w:val="69D44760"/>
    <w:rsid w:val="69D54154"/>
    <w:rsid w:val="69D55693"/>
    <w:rsid w:val="6A1E7759"/>
    <w:rsid w:val="6A2223B0"/>
    <w:rsid w:val="6A223A72"/>
    <w:rsid w:val="6A237592"/>
    <w:rsid w:val="6A425119"/>
    <w:rsid w:val="6A4335FB"/>
    <w:rsid w:val="6A4C70B4"/>
    <w:rsid w:val="6A4E61B3"/>
    <w:rsid w:val="6A520EC7"/>
    <w:rsid w:val="6A6D03E7"/>
    <w:rsid w:val="6A7D7420"/>
    <w:rsid w:val="6A9A6590"/>
    <w:rsid w:val="6AB0104F"/>
    <w:rsid w:val="6AC12A02"/>
    <w:rsid w:val="6AC46A89"/>
    <w:rsid w:val="6ACA63DC"/>
    <w:rsid w:val="6ADF68F7"/>
    <w:rsid w:val="6AF87E20"/>
    <w:rsid w:val="6B2131AD"/>
    <w:rsid w:val="6B2667E8"/>
    <w:rsid w:val="6B2B445F"/>
    <w:rsid w:val="6B322639"/>
    <w:rsid w:val="6B3B5EBD"/>
    <w:rsid w:val="6B4D2364"/>
    <w:rsid w:val="6B6537B4"/>
    <w:rsid w:val="6B83186E"/>
    <w:rsid w:val="6B8E2D0B"/>
    <w:rsid w:val="6B9A15B5"/>
    <w:rsid w:val="6BA6460F"/>
    <w:rsid w:val="6BB36DBD"/>
    <w:rsid w:val="6BED7125"/>
    <w:rsid w:val="6C4C7C6C"/>
    <w:rsid w:val="6C636C38"/>
    <w:rsid w:val="6C9A011D"/>
    <w:rsid w:val="6CE07F5A"/>
    <w:rsid w:val="6CE84DCA"/>
    <w:rsid w:val="6CEB5622"/>
    <w:rsid w:val="6CFB6878"/>
    <w:rsid w:val="6D016E29"/>
    <w:rsid w:val="6D0C029D"/>
    <w:rsid w:val="6D2D1C74"/>
    <w:rsid w:val="6D507DE1"/>
    <w:rsid w:val="6D7E2C2C"/>
    <w:rsid w:val="6DB34098"/>
    <w:rsid w:val="6DB545B6"/>
    <w:rsid w:val="6DB91255"/>
    <w:rsid w:val="6DC0587F"/>
    <w:rsid w:val="6DE02FB4"/>
    <w:rsid w:val="6DE226F5"/>
    <w:rsid w:val="6DE81972"/>
    <w:rsid w:val="6E28389A"/>
    <w:rsid w:val="6E29002F"/>
    <w:rsid w:val="6E2E7027"/>
    <w:rsid w:val="6E370B2E"/>
    <w:rsid w:val="6E4B6C92"/>
    <w:rsid w:val="6E514CED"/>
    <w:rsid w:val="6EB563D5"/>
    <w:rsid w:val="6EC274E1"/>
    <w:rsid w:val="6ED92677"/>
    <w:rsid w:val="6EE64C0C"/>
    <w:rsid w:val="6EF819BD"/>
    <w:rsid w:val="6F030DC0"/>
    <w:rsid w:val="6F08452F"/>
    <w:rsid w:val="6F1F7810"/>
    <w:rsid w:val="6F225983"/>
    <w:rsid w:val="6F56579A"/>
    <w:rsid w:val="6F715E6C"/>
    <w:rsid w:val="6FAA2E22"/>
    <w:rsid w:val="6FBE4DFC"/>
    <w:rsid w:val="6FC867CF"/>
    <w:rsid w:val="6FD22D31"/>
    <w:rsid w:val="6FFC5590"/>
    <w:rsid w:val="70075064"/>
    <w:rsid w:val="700A12F2"/>
    <w:rsid w:val="701F03D6"/>
    <w:rsid w:val="702E0619"/>
    <w:rsid w:val="70436DC6"/>
    <w:rsid w:val="704C1A75"/>
    <w:rsid w:val="706659AD"/>
    <w:rsid w:val="70677460"/>
    <w:rsid w:val="706D1DD0"/>
    <w:rsid w:val="70817EA2"/>
    <w:rsid w:val="70856B87"/>
    <w:rsid w:val="708C3D6B"/>
    <w:rsid w:val="70B36547"/>
    <w:rsid w:val="70C26FB3"/>
    <w:rsid w:val="70D527EE"/>
    <w:rsid w:val="70EA2C04"/>
    <w:rsid w:val="70F40740"/>
    <w:rsid w:val="70FA24FF"/>
    <w:rsid w:val="71325EE7"/>
    <w:rsid w:val="715015E0"/>
    <w:rsid w:val="715562D5"/>
    <w:rsid w:val="715B5300"/>
    <w:rsid w:val="715E12D2"/>
    <w:rsid w:val="718D5813"/>
    <w:rsid w:val="71C951FF"/>
    <w:rsid w:val="71D17060"/>
    <w:rsid w:val="71D27F8A"/>
    <w:rsid w:val="71E40CE8"/>
    <w:rsid w:val="71F14BEC"/>
    <w:rsid w:val="71F238C8"/>
    <w:rsid w:val="721D0C1E"/>
    <w:rsid w:val="72243A2A"/>
    <w:rsid w:val="722B23C0"/>
    <w:rsid w:val="72553024"/>
    <w:rsid w:val="72740CF0"/>
    <w:rsid w:val="728267BC"/>
    <w:rsid w:val="72BD237B"/>
    <w:rsid w:val="72D36083"/>
    <w:rsid w:val="72DA3944"/>
    <w:rsid w:val="72EF2DB5"/>
    <w:rsid w:val="72FA786E"/>
    <w:rsid w:val="73122968"/>
    <w:rsid w:val="731D4975"/>
    <w:rsid w:val="731F5D5E"/>
    <w:rsid w:val="73247AB1"/>
    <w:rsid w:val="73272BDC"/>
    <w:rsid w:val="733067B5"/>
    <w:rsid w:val="73780D94"/>
    <w:rsid w:val="73882F0F"/>
    <w:rsid w:val="73BA7B45"/>
    <w:rsid w:val="73C51AD5"/>
    <w:rsid w:val="73D01C2B"/>
    <w:rsid w:val="73F703BE"/>
    <w:rsid w:val="741E793C"/>
    <w:rsid w:val="743117C9"/>
    <w:rsid w:val="74373814"/>
    <w:rsid w:val="74487D1F"/>
    <w:rsid w:val="74527E06"/>
    <w:rsid w:val="74543B20"/>
    <w:rsid w:val="745E3944"/>
    <w:rsid w:val="747277DF"/>
    <w:rsid w:val="749C5F61"/>
    <w:rsid w:val="749E5641"/>
    <w:rsid w:val="74B47C18"/>
    <w:rsid w:val="74D07AB2"/>
    <w:rsid w:val="74D605B6"/>
    <w:rsid w:val="74E52C9C"/>
    <w:rsid w:val="74FA1ED5"/>
    <w:rsid w:val="75306BE1"/>
    <w:rsid w:val="7544736E"/>
    <w:rsid w:val="754D2874"/>
    <w:rsid w:val="75624691"/>
    <w:rsid w:val="75640AB8"/>
    <w:rsid w:val="758B1568"/>
    <w:rsid w:val="75C22A43"/>
    <w:rsid w:val="75D52413"/>
    <w:rsid w:val="75D93717"/>
    <w:rsid w:val="75DE03EB"/>
    <w:rsid w:val="75E8196C"/>
    <w:rsid w:val="75FB5CA5"/>
    <w:rsid w:val="760164B2"/>
    <w:rsid w:val="762F50EB"/>
    <w:rsid w:val="762F663B"/>
    <w:rsid w:val="7635099D"/>
    <w:rsid w:val="76363A86"/>
    <w:rsid w:val="76481559"/>
    <w:rsid w:val="76667D4B"/>
    <w:rsid w:val="76E03988"/>
    <w:rsid w:val="76F81981"/>
    <w:rsid w:val="771B6972"/>
    <w:rsid w:val="7725544B"/>
    <w:rsid w:val="772C2215"/>
    <w:rsid w:val="774C639E"/>
    <w:rsid w:val="77545277"/>
    <w:rsid w:val="775D7A36"/>
    <w:rsid w:val="776963DA"/>
    <w:rsid w:val="77762421"/>
    <w:rsid w:val="77763BBD"/>
    <w:rsid w:val="777F1672"/>
    <w:rsid w:val="7791148D"/>
    <w:rsid w:val="77B56B1F"/>
    <w:rsid w:val="77CA246F"/>
    <w:rsid w:val="77EE329F"/>
    <w:rsid w:val="77F15CD9"/>
    <w:rsid w:val="77F37914"/>
    <w:rsid w:val="77FC345B"/>
    <w:rsid w:val="78000AED"/>
    <w:rsid w:val="780F09F4"/>
    <w:rsid w:val="78150B79"/>
    <w:rsid w:val="783262C6"/>
    <w:rsid w:val="783C650A"/>
    <w:rsid w:val="784A17EC"/>
    <w:rsid w:val="785D0446"/>
    <w:rsid w:val="78A2146F"/>
    <w:rsid w:val="78A27DF6"/>
    <w:rsid w:val="78A67C1F"/>
    <w:rsid w:val="78A90480"/>
    <w:rsid w:val="78B87AD6"/>
    <w:rsid w:val="78D54EA9"/>
    <w:rsid w:val="78F32400"/>
    <w:rsid w:val="7906462C"/>
    <w:rsid w:val="790C1713"/>
    <w:rsid w:val="79240F4C"/>
    <w:rsid w:val="79242614"/>
    <w:rsid w:val="79370BFE"/>
    <w:rsid w:val="79433773"/>
    <w:rsid w:val="79617202"/>
    <w:rsid w:val="796926C2"/>
    <w:rsid w:val="79831B77"/>
    <w:rsid w:val="79932D5A"/>
    <w:rsid w:val="79956F87"/>
    <w:rsid w:val="79CE591A"/>
    <w:rsid w:val="79D87712"/>
    <w:rsid w:val="79EF04C5"/>
    <w:rsid w:val="7A0D6944"/>
    <w:rsid w:val="7A364017"/>
    <w:rsid w:val="7A5C3FD5"/>
    <w:rsid w:val="7A663012"/>
    <w:rsid w:val="7A664E53"/>
    <w:rsid w:val="7A8265E1"/>
    <w:rsid w:val="7A871722"/>
    <w:rsid w:val="7AA21FFC"/>
    <w:rsid w:val="7AB20098"/>
    <w:rsid w:val="7AC82F70"/>
    <w:rsid w:val="7AD51D81"/>
    <w:rsid w:val="7AED03E4"/>
    <w:rsid w:val="7B1A265A"/>
    <w:rsid w:val="7B1E128A"/>
    <w:rsid w:val="7B271A3F"/>
    <w:rsid w:val="7B5F1FA2"/>
    <w:rsid w:val="7B686D42"/>
    <w:rsid w:val="7B81253F"/>
    <w:rsid w:val="7B841746"/>
    <w:rsid w:val="7B975099"/>
    <w:rsid w:val="7BA87C08"/>
    <w:rsid w:val="7BD12F3C"/>
    <w:rsid w:val="7BD858DD"/>
    <w:rsid w:val="7BE04CB6"/>
    <w:rsid w:val="7BE6624C"/>
    <w:rsid w:val="7C05720C"/>
    <w:rsid w:val="7C073C4C"/>
    <w:rsid w:val="7C1914FD"/>
    <w:rsid w:val="7C2D79D7"/>
    <w:rsid w:val="7C306F55"/>
    <w:rsid w:val="7C375BAD"/>
    <w:rsid w:val="7C6C5AC7"/>
    <w:rsid w:val="7C801D18"/>
    <w:rsid w:val="7C8D4919"/>
    <w:rsid w:val="7CC6544B"/>
    <w:rsid w:val="7CCC2D51"/>
    <w:rsid w:val="7CF130FA"/>
    <w:rsid w:val="7CF92DF0"/>
    <w:rsid w:val="7CF9616B"/>
    <w:rsid w:val="7D0239FF"/>
    <w:rsid w:val="7D4A17B1"/>
    <w:rsid w:val="7D5E40CD"/>
    <w:rsid w:val="7D637AC9"/>
    <w:rsid w:val="7D656FB0"/>
    <w:rsid w:val="7D930CF5"/>
    <w:rsid w:val="7DC45B56"/>
    <w:rsid w:val="7DCD56F2"/>
    <w:rsid w:val="7DD10BB6"/>
    <w:rsid w:val="7DEF00C9"/>
    <w:rsid w:val="7DFC464E"/>
    <w:rsid w:val="7E130E4E"/>
    <w:rsid w:val="7E3738F7"/>
    <w:rsid w:val="7E396DCD"/>
    <w:rsid w:val="7E4E1E86"/>
    <w:rsid w:val="7E5C0AAA"/>
    <w:rsid w:val="7E8A55B4"/>
    <w:rsid w:val="7E8C3798"/>
    <w:rsid w:val="7EA335BB"/>
    <w:rsid w:val="7EAC7BD7"/>
    <w:rsid w:val="7EAF501B"/>
    <w:rsid w:val="7EB37CDE"/>
    <w:rsid w:val="7ECB3D8F"/>
    <w:rsid w:val="7ECF5B1E"/>
    <w:rsid w:val="7F001CE7"/>
    <w:rsid w:val="7F1206C1"/>
    <w:rsid w:val="7F1430D0"/>
    <w:rsid w:val="7F1A58FA"/>
    <w:rsid w:val="7F267D2F"/>
    <w:rsid w:val="7F5259A6"/>
    <w:rsid w:val="7F8750FC"/>
    <w:rsid w:val="7F8E20B7"/>
    <w:rsid w:val="7FAA4F75"/>
    <w:rsid w:val="7FE01204"/>
    <w:rsid w:val="7FE47E50"/>
    <w:rsid w:val="7FE505C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line="360" w:lineRule="auto"/>
      <w:ind w:left="0" w:hanging="432"/>
      <w:outlineLvl w:val="0"/>
    </w:pPr>
    <w:rPr>
      <w:b/>
      <w:bCs/>
      <w:color w:val="000000"/>
      <w:kern w:val="44"/>
      <w:szCs w:val="30"/>
    </w:rPr>
  </w:style>
  <w:style w:type="paragraph" w:styleId="3">
    <w:name w:val="heading 2"/>
    <w:basedOn w:val="1"/>
    <w:next w:val="1"/>
    <w:autoRedefine/>
    <w:qFormat/>
    <w:locked/>
    <w:uiPriority w:val="9"/>
    <w:pPr>
      <w:keepNext/>
      <w:keepLines/>
      <w:ind w:firstLine="0" w:firstLineChars="0"/>
      <w:jc w:val="left"/>
      <w:outlineLvl w:val="1"/>
    </w:pPr>
    <w:rPr>
      <w:b/>
      <w:bCs/>
      <w:szCs w:val="32"/>
    </w:rPr>
  </w:style>
  <w:style w:type="paragraph" w:styleId="4">
    <w:name w:val="heading 3"/>
    <w:basedOn w:val="1"/>
    <w:next w:val="1"/>
    <w:link w:val="27"/>
    <w:autoRedefine/>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49"/>
    <w:autoRedefine/>
    <w:unhideWhenUsed/>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6">
    <w:name w:val="caption"/>
    <w:basedOn w:val="1"/>
    <w:next w:val="1"/>
    <w:link w:val="46"/>
    <w:autoRedefine/>
    <w:qFormat/>
    <w:locked/>
    <w:uiPriority w:val="35"/>
    <w:pPr>
      <w:spacing w:line="360" w:lineRule="auto"/>
      <w:jc w:val="center"/>
    </w:pPr>
    <w:rPr>
      <w:rFonts w:eastAsia="黑体"/>
      <w:kern w:val="0"/>
      <w:sz w:val="24"/>
      <w:szCs w:val="20"/>
    </w:rPr>
  </w:style>
  <w:style w:type="paragraph" w:styleId="7">
    <w:name w:val="annotation text"/>
    <w:basedOn w:val="1"/>
    <w:link w:val="53"/>
    <w:autoRedefine/>
    <w:semiHidden/>
    <w:qFormat/>
    <w:uiPriority w:val="0"/>
    <w:pPr>
      <w:jc w:val="left"/>
    </w:pPr>
    <w:rPr>
      <w:kern w:val="0"/>
      <w:sz w:val="24"/>
      <w:szCs w:val="20"/>
    </w:rPr>
  </w:style>
  <w:style w:type="paragraph" w:styleId="8">
    <w:name w:val="Salutation"/>
    <w:basedOn w:val="1"/>
    <w:next w:val="1"/>
    <w:autoRedefine/>
    <w:unhideWhenUsed/>
    <w:qFormat/>
    <w:locked/>
    <w:uiPriority w:val="99"/>
  </w:style>
  <w:style w:type="paragraph" w:styleId="9">
    <w:name w:val="Body Text"/>
    <w:basedOn w:val="1"/>
    <w:next w:val="1"/>
    <w:link w:val="51"/>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9"/>
    <w:link w:val="41"/>
    <w:autoRedefine/>
    <w:qFormat/>
    <w:uiPriority w:val="0"/>
    <w:pPr>
      <w:spacing w:after="120"/>
      <w:ind w:left="420" w:leftChars="200"/>
    </w:pPr>
    <w:rPr>
      <w:kern w:val="0"/>
      <w:sz w:val="24"/>
      <w:szCs w:val="20"/>
    </w:rPr>
  </w:style>
  <w:style w:type="paragraph" w:styleId="11">
    <w:name w:val="Block Text"/>
    <w:basedOn w:val="1"/>
    <w:next w:val="1"/>
    <w:autoRedefine/>
    <w:qFormat/>
    <w:locked/>
    <w:uiPriority w:val="0"/>
    <w:pPr>
      <w:snapToGrid w:val="0"/>
      <w:spacing w:line="408" w:lineRule="auto"/>
      <w:ind w:left="-113" w:right="-510" w:firstLine="510"/>
    </w:pPr>
    <w:rPr>
      <w:sz w:val="24"/>
      <w:szCs w:val="20"/>
    </w:rPr>
  </w:style>
  <w:style w:type="paragraph" w:styleId="12">
    <w:name w:val="Plain Text"/>
    <w:basedOn w:val="1"/>
    <w:next w:val="1"/>
    <w:autoRedefine/>
    <w:qFormat/>
    <w:locked/>
    <w:uiPriority w:val="0"/>
    <w:rPr>
      <w:rFonts w:ascii="宋体" w:hAnsi="Courier New"/>
    </w:rPr>
  </w:style>
  <w:style w:type="paragraph" w:styleId="13">
    <w:name w:val="Date"/>
    <w:basedOn w:val="1"/>
    <w:next w:val="1"/>
    <w:link w:val="48"/>
    <w:autoRedefine/>
    <w:qFormat/>
    <w:uiPriority w:val="0"/>
    <w:pPr>
      <w:ind w:left="100" w:leftChars="2500"/>
    </w:pPr>
    <w:rPr>
      <w:kern w:val="0"/>
      <w:sz w:val="24"/>
      <w:szCs w:val="20"/>
    </w:rPr>
  </w:style>
  <w:style w:type="paragraph" w:styleId="14">
    <w:name w:val="Balloon Text"/>
    <w:basedOn w:val="1"/>
    <w:link w:val="39"/>
    <w:autoRedefine/>
    <w:semiHidden/>
    <w:qFormat/>
    <w:uiPriority w:val="0"/>
    <w:rPr>
      <w:kern w:val="0"/>
      <w:sz w:val="18"/>
      <w:szCs w:val="20"/>
    </w:rPr>
  </w:style>
  <w:style w:type="paragraph" w:styleId="15">
    <w:name w:val="footer"/>
    <w:basedOn w:val="1"/>
    <w:next w:val="1"/>
    <w:link w:val="42"/>
    <w:autoRedefine/>
    <w:qFormat/>
    <w:uiPriority w:val="99"/>
    <w:pPr>
      <w:tabs>
        <w:tab w:val="center" w:pos="4153"/>
        <w:tab w:val="right" w:pos="8306"/>
      </w:tabs>
      <w:snapToGrid w:val="0"/>
      <w:jc w:val="left"/>
    </w:pPr>
    <w:rPr>
      <w:kern w:val="0"/>
      <w:sz w:val="18"/>
      <w:szCs w:val="20"/>
    </w:rPr>
  </w:style>
  <w:style w:type="paragraph" w:styleId="16">
    <w:name w:val="header"/>
    <w:basedOn w:val="1"/>
    <w:link w:val="45"/>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Normal (Web)"/>
    <w:basedOn w:val="1"/>
    <w:link w:val="47"/>
    <w:autoRedefine/>
    <w:qFormat/>
    <w:uiPriority w:val="0"/>
    <w:pPr>
      <w:widowControl/>
      <w:spacing w:before="100" w:beforeAutospacing="1" w:after="100" w:afterAutospacing="1"/>
      <w:jc w:val="left"/>
    </w:pPr>
    <w:rPr>
      <w:rFonts w:ascii="宋体" w:hAnsi="宋体"/>
      <w:kern w:val="0"/>
      <w:sz w:val="24"/>
      <w:szCs w:val="20"/>
    </w:rPr>
  </w:style>
  <w:style w:type="paragraph" w:styleId="18">
    <w:name w:val="Title"/>
    <w:basedOn w:val="1"/>
    <w:next w:val="1"/>
    <w:autoRedefine/>
    <w:qFormat/>
    <w:locked/>
    <w:uiPriority w:val="0"/>
    <w:pPr>
      <w:spacing w:line="240" w:lineRule="auto"/>
      <w:ind w:firstLine="0" w:firstLineChars="0"/>
      <w:jc w:val="center"/>
    </w:pPr>
    <w:rPr>
      <w:rFonts w:eastAsia="黑体" w:cs="Times New Roman"/>
      <w:bCs/>
      <w:sz w:val="21"/>
      <w:szCs w:val="32"/>
    </w:rPr>
  </w:style>
  <w:style w:type="paragraph" w:styleId="19">
    <w:name w:val="annotation subject"/>
    <w:basedOn w:val="7"/>
    <w:next w:val="7"/>
    <w:link w:val="55"/>
    <w:autoRedefine/>
    <w:semiHidden/>
    <w:qFormat/>
    <w:uiPriority w:val="0"/>
    <w:rPr>
      <w:b/>
      <w:sz w:val="24"/>
      <w:szCs w:val="20"/>
    </w:rPr>
  </w:style>
  <w:style w:type="paragraph" w:styleId="20">
    <w:name w:val="Body Text First Indent"/>
    <w:basedOn w:val="9"/>
    <w:next w:val="21"/>
    <w:autoRedefine/>
    <w:qFormat/>
    <w:locked/>
    <w:uiPriority w:val="99"/>
    <w:pPr>
      <w:spacing w:after="120"/>
      <w:ind w:firstLine="420" w:firstLineChars="100"/>
      <w:jc w:val="both"/>
    </w:pPr>
    <w:rPr>
      <w:szCs w:val="21"/>
    </w:rPr>
  </w:style>
  <w:style w:type="paragraph" w:styleId="21">
    <w:name w:val="Body Text First Indent 2"/>
    <w:basedOn w:val="10"/>
    <w:next w:val="1"/>
    <w:autoRedefine/>
    <w:qFormat/>
    <w:locked/>
    <w:uiPriority w:val="0"/>
    <w:pPr>
      <w:ind w:firstLine="420" w:firstLineChars="200"/>
    </w:pPr>
  </w:style>
  <w:style w:type="table" w:styleId="23">
    <w:name w:val="Table Grid"/>
    <w:basedOn w:val="22"/>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autoRedefine/>
    <w:qFormat/>
    <w:locked/>
    <w:uiPriority w:val="0"/>
  </w:style>
  <w:style w:type="character" w:styleId="26">
    <w:name w:val="annotation reference"/>
    <w:autoRedefine/>
    <w:semiHidden/>
    <w:qFormat/>
    <w:uiPriority w:val="0"/>
    <w:rPr>
      <w:sz w:val="21"/>
    </w:rPr>
  </w:style>
  <w:style w:type="character" w:customStyle="1" w:styleId="27">
    <w:name w:val="标题 3 Char"/>
    <w:link w:val="4"/>
    <w:autoRedefine/>
    <w:semiHidden/>
    <w:qFormat/>
    <w:uiPriority w:val="0"/>
    <w:rPr>
      <w:b/>
      <w:bCs/>
      <w:kern w:val="2"/>
      <w:sz w:val="32"/>
      <w:szCs w:val="32"/>
    </w:rPr>
  </w:style>
  <w:style w:type="paragraph" w:customStyle="1" w:styleId="28">
    <w:name w:val="Default"/>
    <w:basedOn w:val="29"/>
    <w:next w:val="12"/>
    <w:autoRedefine/>
    <w:qFormat/>
    <w:uiPriority w:val="0"/>
    <w:pPr>
      <w:widowControl w:val="0"/>
      <w:autoSpaceDE w:val="0"/>
      <w:autoSpaceDN w:val="0"/>
      <w:adjustRightInd w:val="0"/>
      <w:spacing w:line="460" w:lineRule="exact"/>
      <w:jc w:val="center"/>
    </w:pPr>
    <w:rPr>
      <w:rFonts w:ascii="黑体" w:hAnsi="Times New Roman" w:eastAsia="黑体" w:cs="黑体"/>
      <w:color w:val="000000"/>
      <w:sz w:val="24"/>
      <w:szCs w:val="24"/>
      <w:lang w:val="en-US" w:eastAsia="zh-CN" w:bidi="ar-SA"/>
    </w:rPr>
  </w:style>
  <w:style w:type="paragraph" w:customStyle="1" w:styleId="29">
    <w:name w:val="标题2"/>
    <w:basedOn w:val="1"/>
    <w:next w:val="3"/>
    <w:autoRedefine/>
    <w:qFormat/>
    <w:uiPriority w:val="0"/>
    <w:rPr>
      <w:rFonts w:ascii="宋体" w:hAnsi="宋体"/>
      <w:b/>
      <w:kern w:val="0"/>
      <w:sz w:val="24"/>
      <w:szCs w:val="24"/>
    </w:rPr>
  </w:style>
  <w:style w:type="paragraph" w:customStyle="1" w:styleId="30">
    <w:name w:val="样式35"/>
    <w:basedOn w:val="1"/>
    <w:next w:val="1"/>
    <w:autoRedefine/>
    <w:qFormat/>
    <w:uiPriority w:val="0"/>
    <w:pPr>
      <w:spacing w:line="312" w:lineRule="auto"/>
      <w:ind w:firstLine="567"/>
    </w:pPr>
    <w:rPr>
      <w:rFonts w:ascii="宋体"/>
      <w:sz w:val="28"/>
    </w:rPr>
  </w:style>
  <w:style w:type="paragraph" w:customStyle="1" w:styleId="31">
    <w:name w:val="Body Text 2_050de59c-084d-4175-9105-ef8c1c28e700"/>
    <w:basedOn w:val="1"/>
    <w:autoRedefine/>
    <w:qFormat/>
    <w:uiPriority w:val="0"/>
    <w:pPr>
      <w:spacing w:after="120" w:line="480" w:lineRule="auto"/>
    </w:pPr>
  </w:style>
  <w:style w:type="paragraph" w:customStyle="1" w:styleId="32">
    <w:name w:val="Char Char Char Char Char Char1 Char Char Char Char"/>
    <w:basedOn w:val="1"/>
    <w:next w:val="1"/>
    <w:autoRedefine/>
    <w:qFormat/>
    <w:uiPriority w:val="0"/>
    <w:pPr>
      <w:widowControl w:val="0"/>
      <w:autoSpaceDE/>
      <w:autoSpaceDN/>
      <w:spacing w:before="0" w:after="0" w:line="360" w:lineRule="auto"/>
      <w:ind w:left="0" w:firstLine="200"/>
      <w:jc w:val="both"/>
    </w:pPr>
    <w:rPr>
      <w:rFonts w:ascii="Times New Roman" w:eastAsia="宋体"/>
      <w:sz w:val="21"/>
    </w:rPr>
  </w:style>
  <w:style w:type="paragraph" w:customStyle="1" w:styleId="33">
    <w:name w:val="Default1"/>
    <w:next w:val="34"/>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正文样式1"/>
    <w:basedOn w:val="1"/>
    <w:next w:val="1"/>
    <w:autoRedefine/>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3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37">
    <w:name w:val="表格"/>
    <w:basedOn w:val="1"/>
    <w:next w:val="1"/>
    <w:link w:val="54"/>
    <w:autoRedefine/>
    <w:qFormat/>
    <w:uiPriority w:val="0"/>
    <w:pPr>
      <w:adjustRightInd w:val="0"/>
      <w:snapToGrid w:val="0"/>
      <w:spacing w:beforeLines="10" w:afterLines="10" w:line="259" w:lineRule="auto"/>
      <w:jc w:val="center"/>
    </w:pPr>
    <w:rPr>
      <w:rFonts w:ascii="宋体"/>
      <w:kern w:val="0"/>
      <w:szCs w:val="20"/>
    </w:rPr>
  </w:style>
  <w:style w:type="paragraph" w:customStyle="1" w:styleId="38">
    <w:name w:val="表格中文字"/>
    <w:basedOn w:val="1"/>
    <w:link w:val="43"/>
    <w:autoRedefine/>
    <w:qFormat/>
    <w:uiPriority w:val="0"/>
    <w:pPr>
      <w:jc w:val="center"/>
    </w:pPr>
    <w:rPr>
      <w:kern w:val="0"/>
      <w:sz w:val="20"/>
      <w:lang w:val="zh-CN"/>
    </w:rPr>
  </w:style>
  <w:style w:type="character" w:customStyle="1" w:styleId="39">
    <w:name w:val="批注框文本 Char"/>
    <w:link w:val="14"/>
    <w:autoRedefine/>
    <w:semiHidden/>
    <w:qFormat/>
    <w:locked/>
    <w:uiPriority w:val="0"/>
    <w:rPr>
      <w:rFonts w:ascii="Times New Roman" w:hAnsi="Times New Roman" w:eastAsia="宋体"/>
      <w:sz w:val="18"/>
    </w:rPr>
  </w:style>
  <w:style w:type="character" w:customStyle="1" w:styleId="40">
    <w:name w:val="页脚 字符"/>
    <w:basedOn w:val="24"/>
    <w:autoRedefine/>
    <w:qFormat/>
    <w:uiPriority w:val="99"/>
  </w:style>
  <w:style w:type="character" w:customStyle="1" w:styleId="41">
    <w:name w:val="正文文本缩进 Char"/>
    <w:link w:val="10"/>
    <w:autoRedefine/>
    <w:semiHidden/>
    <w:qFormat/>
    <w:locked/>
    <w:uiPriority w:val="0"/>
    <w:rPr>
      <w:rFonts w:ascii="Times New Roman" w:hAnsi="Times New Roman" w:eastAsia="宋体"/>
      <w:sz w:val="24"/>
    </w:rPr>
  </w:style>
  <w:style w:type="character" w:customStyle="1" w:styleId="42">
    <w:name w:val="页脚 Char"/>
    <w:link w:val="15"/>
    <w:autoRedefine/>
    <w:qFormat/>
    <w:locked/>
    <w:uiPriority w:val="99"/>
    <w:rPr>
      <w:sz w:val="18"/>
    </w:rPr>
  </w:style>
  <w:style w:type="character" w:customStyle="1" w:styleId="43">
    <w:name w:val="表格中文字 字符"/>
    <w:link w:val="38"/>
    <w:autoRedefine/>
    <w:qFormat/>
    <w:uiPriority w:val="0"/>
    <w:rPr>
      <w:szCs w:val="24"/>
      <w:lang w:val="zh-CN"/>
    </w:rPr>
  </w:style>
  <w:style w:type="character" w:customStyle="1" w:styleId="44">
    <w:name w:val="批注文字 字符1"/>
    <w:autoRedefine/>
    <w:semiHidden/>
    <w:qFormat/>
    <w:uiPriority w:val="0"/>
    <w:rPr>
      <w:rFonts w:ascii="Times New Roman" w:hAnsi="Times New Roman" w:eastAsia="宋体"/>
      <w:sz w:val="24"/>
    </w:rPr>
  </w:style>
  <w:style w:type="character" w:customStyle="1" w:styleId="45">
    <w:name w:val="页眉 Char"/>
    <w:link w:val="16"/>
    <w:autoRedefine/>
    <w:qFormat/>
    <w:locked/>
    <w:uiPriority w:val="0"/>
    <w:rPr>
      <w:sz w:val="18"/>
    </w:rPr>
  </w:style>
  <w:style w:type="character" w:customStyle="1" w:styleId="46">
    <w:name w:val="题注 Char"/>
    <w:link w:val="6"/>
    <w:autoRedefine/>
    <w:qFormat/>
    <w:uiPriority w:val="35"/>
    <w:rPr>
      <w:rFonts w:eastAsia="黑体"/>
      <w:sz w:val="24"/>
    </w:rPr>
  </w:style>
  <w:style w:type="character" w:customStyle="1" w:styleId="47">
    <w:name w:val="普通(网站) Char"/>
    <w:link w:val="17"/>
    <w:autoRedefine/>
    <w:qFormat/>
    <w:locked/>
    <w:uiPriority w:val="0"/>
    <w:rPr>
      <w:rFonts w:ascii="宋体" w:hAnsi="宋体" w:eastAsia="宋体"/>
      <w:sz w:val="24"/>
    </w:rPr>
  </w:style>
  <w:style w:type="character" w:customStyle="1" w:styleId="48">
    <w:name w:val="日期 Char"/>
    <w:link w:val="13"/>
    <w:autoRedefine/>
    <w:qFormat/>
    <w:locked/>
    <w:uiPriority w:val="0"/>
    <w:rPr>
      <w:rFonts w:ascii="Times New Roman" w:hAnsi="Times New Roman" w:eastAsia="宋体"/>
      <w:sz w:val="24"/>
    </w:rPr>
  </w:style>
  <w:style w:type="character" w:customStyle="1" w:styleId="49">
    <w:name w:val="标题 4 Char"/>
    <w:link w:val="5"/>
    <w:autoRedefine/>
    <w:semiHidden/>
    <w:qFormat/>
    <w:uiPriority w:val="0"/>
    <w:rPr>
      <w:rFonts w:ascii="Calibri Light" w:hAnsi="Calibri Light" w:eastAsia="宋体" w:cs="Times New Roman"/>
      <w:b/>
      <w:bCs/>
      <w:kern w:val="2"/>
      <w:sz w:val="28"/>
      <w:szCs w:val="28"/>
    </w:rPr>
  </w:style>
  <w:style w:type="character" w:customStyle="1" w:styleId="50">
    <w:name w:val="日期 字符"/>
    <w:autoRedefine/>
    <w:semiHidden/>
    <w:qFormat/>
    <w:uiPriority w:val="0"/>
    <w:rPr>
      <w:rFonts w:ascii="Times New Roman" w:hAnsi="Times New Roman" w:eastAsia="宋体"/>
      <w:sz w:val="24"/>
    </w:rPr>
  </w:style>
  <w:style w:type="character" w:customStyle="1" w:styleId="51">
    <w:name w:val="正文文本 Char"/>
    <w:link w:val="9"/>
    <w:autoRedefine/>
    <w:qFormat/>
    <w:locked/>
    <w:uiPriority w:val="0"/>
    <w:rPr>
      <w:sz w:val="18"/>
    </w:rPr>
  </w:style>
  <w:style w:type="character" w:customStyle="1" w:styleId="52">
    <w:name w:val="正文文本 字符1"/>
    <w:autoRedefine/>
    <w:semiHidden/>
    <w:qFormat/>
    <w:uiPriority w:val="0"/>
    <w:rPr>
      <w:rFonts w:ascii="Times New Roman" w:hAnsi="Times New Roman" w:eastAsia="宋体"/>
      <w:sz w:val="24"/>
    </w:rPr>
  </w:style>
  <w:style w:type="character" w:customStyle="1" w:styleId="53">
    <w:name w:val="批注文字 Char"/>
    <w:link w:val="7"/>
    <w:autoRedefine/>
    <w:qFormat/>
    <w:locked/>
    <w:uiPriority w:val="0"/>
    <w:rPr>
      <w:rFonts w:ascii="Times New Roman" w:hAnsi="Times New Roman" w:eastAsia="宋体"/>
      <w:sz w:val="24"/>
    </w:rPr>
  </w:style>
  <w:style w:type="character" w:customStyle="1" w:styleId="54">
    <w:name w:val="表格 Char"/>
    <w:link w:val="37"/>
    <w:autoRedefine/>
    <w:qFormat/>
    <w:locked/>
    <w:uiPriority w:val="0"/>
    <w:rPr>
      <w:rFonts w:ascii="宋体"/>
      <w:sz w:val="21"/>
    </w:rPr>
  </w:style>
  <w:style w:type="character" w:customStyle="1" w:styleId="55">
    <w:name w:val="批注主题 Char"/>
    <w:link w:val="19"/>
    <w:autoRedefine/>
    <w:semiHidden/>
    <w:qFormat/>
    <w:locked/>
    <w:uiPriority w:val="0"/>
    <w:rPr>
      <w:rFonts w:ascii="Times New Roman" w:hAnsi="Times New Roman" w:eastAsia="宋体"/>
      <w:b/>
      <w:kern w:val="2"/>
      <w:sz w:val="24"/>
    </w:rPr>
  </w:style>
  <w:style w:type="paragraph" w:customStyle="1" w:styleId="56">
    <w:name w:val="List Paragraph"/>
    <w:basedOn w:val="1"/>
    <w:autoRedefine/>
    <w:qFormat/>
    <w:uiPriority w:val="0"/>
    <w:pPr>
      <w:widowControl w:val="0"/>
      <w:autoSpaceDE w:val="0"/>
      <w:autoSpaceDN w:val="0"/>
      <w:ind w:left="231" w:right="266" w:firstLine="600"/>
      <w:jc w:val="both"/>
    </w:pPr>
    <w:rPr>
      <w:rFonts w:ascii="仿宋" w:hAnsi="仿宋" w:eastAsia="仿宋"/>
      <w:sz w:val="22"/>
      <w:szCs w:val="22"/>
    </w:rPr>
  </w:style>
  <w:style w:type="paragraph" w:customStyle="1" w:styleId="57">
    <w:name w:val="表内 定"/>
    <w:basedOn w:val="1"/>
    <w:autoRedefine/>
    <w:qFormat/>
    <w:uiPriority w:val="0"/>
    <w:rPr>
      <w:rFonts w:cs="Times New Roman"/>
      <w:color w:val="000000" w:themeColor="text1"/>
      <w14:textFill>
        <w14:solidFill>
          <w14:schemeClr w14:val="tx1"/>
        </w14:solidFill>
      </w14:textFill>
    </w:rPr>
  </w:style>
  <w:style w:type="paragraph" w:customStyle="1" w:styleId="58">
    <w:name w:val="样式1"/>
    <w:basedOn w:val="1"/>
    <w:autoRedefine/>
    <w:qFormat/>
    <w:uiPriority w:val="0"/>
    <w:rPr>
      <w:szCs w:val="20"/>
      <w:shd w:val="clear" w:color="auto" w:fill="FFFFFF"/>
    </w:rPr>
  </w:style>
  <w:style w:type="paragraph" w:customStyle="1" w:styleId="59">
    <w:name w:val="表内"/>
    <w:basedOn w:val="1"/>
    <w:autoRedefine/>
    <w:qFormat/>
    <w:uiPriority w:val="99"/>
    <w:pPr>
      <w:framePr w:hSpace="180" w:wrap="around" w:vAnchor="page" w:hAnchor="margin" w:y="1411"/>
      <w:widowControl/>
      <w:spacing w:line="320" w:lineRule="exact"/>
      <w:ind w:firstLine="0" w:firstLineChars="0"/>
      <w:jc w:val="center"/>
    </w:pPr>
    <w:rPr>
      <w:rFonts w:asciiTheme="minorAscii" w:hAnsiTheme="minorAscii"/>
      <w:sz w:val="18"/>
      <w:szCs w:val="20"/>
    </w:rPr>
  </w:style>
  <w:style w:type="paragraph" w:customStyle="1" w:styleId="60">
    <w:name w:val="报告表表格文字"/>
    <w:basedOn w:val="1"/>
    <w:autoRedefine/>
    <w:qFormat/>
    <w:uiPriority w:val="0"/>
    <w:pPr>
      <w:autoSpaceDE w:val="0"/>
      <w:autoSpaceDN w:val="0"/>
      <w:adjustRightInd w:val="0"/>
      <w:snapToGrid w:val="0"/>
      <w:spacing w:line="360" w:lineRule="exact"/>
      <w:ind w:firstLine="0" w:firstLineChars="0"/>
      <w:jc w:val="center"/>
      <w:textAlignment w:val="baseline"/>
    </w:pPr>
    <w:rPr>
      <w:color w:val="000000"/>
      <w:kern w:val="0"/>
      <w:sz w:val="21"/>
      <w:szCs w:val="21"/>
    </w:rPr>
  </w:style>
  <w:style w:type="paragraph" w:customStyle="1" w:styleId="61">
    <w:name w:val="22磅行间距"/>
    <w:basedOn w:val="1"/>
    <w:autoRedefine/>
    <w:qFormat/>
    <w:uiPriority w:val="0"/>
    <w:pPr>
      <w:adjustRightInd w:val="0"/>
      <w:snapToGrid w:val="0"/>
      <w:spacing w:line="440" w:lineRule="exact"/>
      <w:ind w:firstLine="200" w:firstLineChars="200"/>
    </w:pPr>
    <w:rPr>
      <w:sz w:val="24"/>
    </w:rPr>
  </w:style>
  <w:style w:type="paragraph" w:customStyle="1" w:styleId="62">
    <w:name w:val="样式 居中"/>
    <w:basedOn w:val="1"/>
    <w:autoRedefine/>
    <w:qFormat/>
    <w:uiPriority w:val="0"/>
    <w:pPr>
      <w:jc w:val="center"/>
    </w:pPr>
    <w:rPr>
      <w:rFonts w:cs="宋体"/>
    </w:rPr>
  </w:style>
  <w:style w:type="paragraph" w:customStyle="1" w:styleId="63">
    <w:name w:val="列出段落1"/>
    <w:basedOn w:val="1"/>
    <w:autoRedefine/>
    <w:qFormat/>
    <w:uiPriority w:val="99"/>
    <w:pPr>
      <w:autoSpaceDE w:val="0"/>
      <w:autoSpaceDN w:val="0"/>
      <w:ind w:left="231" w:right="266" w:firstLine="600"/>
    </w:pPr>
    <w:rPr>
      <w:rFonts w:ascii="仿宋" w:hAnsi="仿宋" w:eastAsia="仿宋"/>
      <w:kern w:val="0"/>
      <w:sz w:val="22"/>
      <w:szCs w:val="22"/>
    </w:rPr>
  </w:style>
  <w:style w:type="paragraph" w:customStyle="1" w:styleId="64">
    <w:name w:val="鸿达表格文字"/>
    <w:basedOn w:val="1"/>
    <w:autoRedefine/>
    <w:qFormat/>
    <w:uiPriority w:val="0"/>
    <w:pPr>
      <w:adjustRightInd/>
      <w:snapToGrid/>
      <w:spacing w:line="240" w:lineRule="auto"/>
      <w:ind w:firstLine="0" w:firstLineChars="0"/>
      <w:contextualSpacing/>
      <w:jc w:val="center"/>
    </w:pPr>
    <w:rPr>
      <w:sz w:val="21"/>
      <w:szCs w:val="21"/>
    </w:rPr>
  </w:style>
  <w:style w:type="paragraph" w:customStyle="1" w:styleId="65">
    <w:name w:val="av"/>
    <w:basedOn w:val="1"/>
    <w:autoRedefine/>
    <w:qFormat/>
    <w:uiPriority w:val="0"/>
    <w:pPr>
      <w:jc w:val="center"/>
    </w:pPr>
    <w:rPr>
      <w:sz w:val="21"/>
      <w:szCs w:val="21"/>
    </w:rPr>
  </w:style>
  <w:style w:type="paragraph" w:customStyle="1" w:styleId="66">
    <w:name w:val="xry表格文字"/>
    <w:basedOn w:val="1"/>
    <w:autoRedefine/>
    <w:qFormat/>
    <w:uiPriority w:val="0"/>
    <w:pPr>
      <w:spacing w:line="240" w:lineRule="auto"/>
      <w:ind w:firstLine="0" w:firstLineChars="0"/>
      <w:jc w:val="center"/>
    </w:pPr>
    <w:rPr>
      <w:kern w:val="0"/>
      <w:sz w:val="20"/>
      <w:szCs w:val="24"/>
      <w:lang w:val="zh-CN"/>
    </w:rPr>
  </w:style>
  <w:style w:type="paragraph" w:customStyle="1" w:styleId="67">
    <w:name w:val="正文文本 (2)2"/>
    <w:basedOn w:val="1"/>
    <w:autoRedefine/>
    <w:qFormat/>
    <w:uiPriority w:val="0"/>
    <w:pPr>
      <w:widowControl w:val="0"/>
      <w:shd w:val="clear" w:color="auto" w:fill="FFFFFF"/>
      <w:spacing w:after="6360" w:line="0" w:lineRule="atLeast"/>
      <w:jc w:val="center"/>
    </w:pPr>
    <w:rPr>
      <w:rFonts w:ascii="MingLiU" w:hAnsi="MingLiU" w:eastAsia="MingLiU"/>
      <w:kern w:val="0"/>
      <w:sz w:val="22"/>
    </w:rPr>
  </w:style>
  <w:style w:type="character" w:customStyle="1" w:styleId="68">
    <w:name w:val="正文文本 (2) + 9.5 pt"/>
    <w:autoRedefine/>
    <w:qFormat/>
    <w:uiPriority w:val="0"/>
    <w:rPr>
      <w:rFonts w:ascii="MingLiU" w:hAnsi="MingLiU" w:eastAsia="MingLiU" w:cs="MingLiU"/>
      <w:color w:val="000000"/>
      <w:spacing w:val="-20"/>
      <w:w w:val="100"/>
      <w:position w:val="0"/>
      <w:sz w:val="19"/>
      <w:szCs w:val="19"/>
      <w:u w:val="none"/>
      <w:lang w:val="zh-TW" w:eastAsia="zh-TW" w:bidi="zh-TW"/>
    </w:rPr>
  </w:style>
  <w:style w:type="paragraph" w:customStyle="1" w:styleId="69">
    <w:name w:val="Table Paragraph"/>
    <w:basedOn w:val="1"/>
    <w:autoRedefine/>
    <w:qFormat/>
    <w:uiPriority w:val="1"/>
  </w:style>
  <w:style w:type="paragraph" w:customStyle="1" w:styleId="70">
    <w:name w:val="表格文"/>
    <w:basedOn w:val="1"/>
    <w:autoRedefine/>
    <w:qFormat/>
    <w:uiPriority w:val="0"/>
    <w:pPr>
      <w:textAlignment w:val="baseline"/>
    </w:pPr>
  </w:style>
  <w:style w:type="paragraph" w:customStyle="1" w:styleId="71">
    <w:name w:val="鸿达表加粗"/>
    <w:basedOn w:val="1"/>
    <w:autoRedefine/>
    <w:qFormat/>
    <w:uiPriority w:val="0"/>
    <w:pPr>
      <w:jc w:val="center"/>
    </w:pPr>
    <w:rPr>
      <w:rFonts w:cs="宋体"/>
      <w:b/>
      <w:color w:val="000000"/>
      <w:szCs w:val="20"/>
    </w:rPr>
  </w:style>
  <w:style w:type="paragraph" w:customStyle="1" w:styleId="72">
    <w:name w:val="鸿达表格段落"/>
    <w:basedOn w:val="1"/>
    <w:autoRedefine/>
    <w:qFormat/>
    <w:uiPriority w:val="0"/>
    <w:pPr>
      <w:adjustRightInd w:val="0"/>
      <w:snapToGrid w:val="0"/>
      <w:ind w:firstLine="200" w:firstLineChars="200"/>
      <w:jc w:val="left"/>
    </w:pPr>
    <w:rPr>
      <w:snapToGrid w:val="0"/>
      <w:kern w:val="0"/>
    </w:rPr>
  </w:style>
  <w:style w:type="character" w:customStyle="1" w:styleId="73">
    <w:name w:val="font101"/>
    <w:basedOn w:val="24"/>
    <w:autoRedefine/>
    <w:qFormat/>
    <w:uiPriority w:val="0"/>
    <w:rPr>
      <w:rFonts w:hint="eastAsia" w:ascii="仿宋" w:hAnsi="仿宋" w:eastAsia="仿宋" w:cs="仿宋"/>
      <w:color w:val="000000"/>
      <w:sz w:val="21"/>
      <w:szCs w:val="21"/>
      <w:u w:val="none"/>
    </w:rPr>
  </w:style>
  <w:style w:type="character" w:customStyle="1" w:styleId="74">
    <w:name w:val="font11"/>
    <w:basedOn w:val="24"/>
    <w:autoRedefine/>
    <w:qFormat/>
    <w:uiPriority w:val="0"/>
    <w:rPr>
      <w:rFonts w:ascii="font-weight : 400" w:hAnsi="font-weight : 400" w:eastAsia="Times New Roman" w:cs="font-weight : 400"/>
      <w:color w:val="000000"/>
      <w:sz w:val="22"/>
      <w:szCs w:val="22"/>
      <w:u w:val="none"/>
      <w:vertAlign w:val="superscript"/>
    </w:rPr>
  </w:style>
  <w:style w:type="paragraph" w:customStyle="1" w:styleId="75">
    <w:name w:val="表格样式"/>
    <w:basedOn w:val="1"/>
    <w:autoRedefine/>
    <w:qFormat/>
    <w:uiPriority w:val="0"/>
    <w:pPr>
      <w:widowControl/>
      <w:spacing w:line="320" w:lineRule="exact"/>
      <w:jc w:val="center"/>
    </w:pPr>
    <w:rPr>
      <w:rFonts w:ascii="Times New Roman" w:hAnsi="Times New Roman" w:eastAsia="宋体" w:cs="Times New Roman"/>
      <w:sz w:val="18"/>
      <w:szCs w:val="18"/>
    </w:rPr>
  </w:style>
  <w:style w:type="paragraph" w:customStyle="1" w:styleId="76">
    <w:name w:val="K 正文"/>
    <w:basedOn w:val="1"/>
    <w:autoRedefine/>
    <w:qFormat/>
    <w:uiPriority w:val="0"/>
    <w:pPr>
      <w:adjustRightInd w:val="0"/>
      <w:snapToGrid w:val="0"/>
      <w:spacing w:line="360" w:lineRule="auto"/>
      <w:ind w:firstLine="200" w:firstLineChars="200"/>
    </w:pPr>
    <w:rPr>
      <w:bCs/>
      <w:sz w:val="24"/>
      <w:szCs w:val="22"/>
    </w:rPr>
  </w:style>
  <w:style w:type="paragraph" w:customStyle="1" w:styleId="77">
    <w:name w:val="K表格中文字"/>
    <w:basedOn w:val="1"/>
    <w:next w:val="12"/>
    <w:autoRedefine/>
    <w:qFormat/>
    <w:uiPriority w:val="0"/>
    <w:pPr>
      <w:spacing w:line="360" w:lineRule="exact"/>
      <w:ind w:firstLine="0" w:firstLineChars="0"/>
      <w:jc w:val="center"/>
    </w:pPr>
    <w:rPr>
      <w:szCs w:val="22"/>
      <w:lang w:val="zh-CN"/>
    </w:rPr>
  </w:style>
  <w:style w:type="paragraph" w:customStyle="1" w:styleId="78">
    <w:name w:val="Char"/>
    <w:basedOn w:val="1"/>
    <w:autoRedefine/>
    <w:qFormat/>
    <w:uiPriority w:val="0"/>
    <w:pPr>
      <w:spacing w:line="360" w:lineRule="auto"/>
      <w:ind w:firstLine="200" w:firstLineChars="200"/>
    </w:pPr>
    <w:rPr>
      <w:rFonts w:ascii="宋体" w:hAnsi="宋体" w:cs="宋体"/>
      <w:sz w:val="24"/>
    </w:rPr>
  </w:style>
  <w:style w:type="character" w:customStyle="1" w:styleId="79">
    <w:name w:val="font31"/>
    <w:basedOn w:val="24"/>
    <w:autoRedefine/>
    <w:qFormat/>
    <w:uiPriority w:val="0"/>
    <w:rPr>
      <w:rFonts w:hint="eastAsia" w:ascii="宋体" w:hAnsi="宋体" w:eastAsia="宋体" w:cs="宋体"/>
      <w:color w:val="000000"/>
      <w:sz w:val="24"/>
      <w:szCs w:val="24"/>
      <w:u w:val="none"/>
    </w:rPr>
  </w:style>
  <w:style w:type="paragraph" w:customStyle="1" w:styleId="80">
    <w:name w:val=" Char Char Char"/>
    <w:basedOn w:val="1"/>
    <w:autoRedefine/>
    <w:qFormat/>
    <w:uiPriority w:val="0"/>
  </w:style>
  <w:style w:type="paragraph" w:customStyle="1" w:styleId="81">
    <w:name w:val="1.正文"/>
    <w:basedOn w:val="1"/>
    <w:autoRedefine/>
    <w:qFormat/>
    <w:uiPriority w:val="0"/>
    <w:pPr>
      <w:spacing w:line="460" w:lineRule="exact"/>
      <w:ind w:firstLine="200" w:firstLineChars="200"/>
    </w:pPr>
    <w:rPr>
      <w:rFonts w:cs="宋体"/>
      <w:szCs w:val="20"/>
    </w:rPr>
  </w:style>
  <w:style w:type="character" w:customStyle="1" w:styleId="82">
    <w:name w:val="font01"/>
    <w:basedOn w:val="24"/>
    <w:autoRedefine/>
    <w:qFormat/>
    <w:uiPriority w:val="0"/>
    <w:rPr>
      <w:rFonts w:hint="eastAsia" w:ascii="宋体" w:hAnsi="宋体" w:eastAsia="宋体"/>
      <w:color w:val="000000"/>
      <w:sz w:val="21"/>
      <w:szCs w:val="21"/>
      <w:u w:val="none"/>
    </w:rPr>
  </w:style>
  <w:style w:type="paragraph" w:customStyle="1" w:styleId="83">
    <w:name w:val="表格居中"/>
    <w:basedOn w:val="1"/>
    <w:autoRedefine/>
    <w:qFormat/>
    <w:uiPriority w:val="0"/>
    <w:pPr>
      <w:adjustRightInd w:val="0"/>
      <w:snapToGrid w:val="0"/>
    </w:pPr>
    <w:rPr>
      <w:bCs/>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microsoft.com/office/2006/relationships/keyMapCustomizations" Target="customizations.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oleObject" Target="embeddings/oleObject4.bin"/><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2.bin"/><Relationship Id="rId17" Type="http://schemas.openxmlformats.org/officeDocument/2006/relationships/image" Target="media/image7.png"/><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63</Pages>
  <Words>41505</Words>
  <Characters>46392</Characters>
  <Lines>367</Lines>
  <Paragraphs>103</Paragraphs>
  <TotalTime>25</TotalTime>
  <ScaleCrop>false</ScaleCrop>
  <LinksUpToDate>false</LinksUpToDate>
  <CharactersWithSpaces>46473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2021-02-20T02:08:00Z</dcterms:created>
  <dc:creator>lhj</dc:creator>
  <cp:lastModifiedBy>Zz血小板zZ</cp:lastModifiedBy>
  <cp:lastPrinted>2023-07-04T01:30:00Z</cp:lastPrinted>
  <dcterms:modified xsi:type="dcterms:W3CDTF">2024-02-18T07:38:39Z</dcterms:modified>
  <dc:title>附件2</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DDD3EA59178C49B181473E04D32E74B1</vt:lpwstr>
  </property>
</Properties>
</file>