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92FA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2024年一季度凤泉区经济运行情况</w:t>
      </w:r>
    </w:p>
    <w:p w14:paraId="6FE0B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区委区政府认真落实市委市政府工作要求，持续深化“四个年”活动，全面打响“四新”大会战，推动经济实现质的有效提升、量的合理增长、势的蓄积壮大，为再造一个新凤泉蓄势聚能，厚植经济基础。</w:t>
      </w:r>
    </w:p>
    <w:p w14:paraId="4999F2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一、全区经济运行稳中向好</w:t>
      </w:r>
    </w:p>
    <w:p w14:paraId="3DABFC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一季度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生产总值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22.43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亿元，同比增长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与全市平均水平持平，居全市第9位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。其中，第一产业增加值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0.26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亿元，同比增长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.3%；第二产业增加值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亿元，增长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4.9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%；第三产业增加值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12.07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亿元，增长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%。2024年第一季度经济运行稳中向好，投资和生产持续复苏，对经济基本面形成良好支撑。</w:t>
      </w:r>
    </w:p>
    <w:p w14:paraId="3E50D0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（一）工业经济稳定增长，“新质生产力”拉升明显</w:t>
      </w:r>
    </w:p>
    <w:p w14:paraId="6279CA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3月，全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规模以上工业增加值同比增长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高于全市平均水平（4.7%）1.4个百分点，居全市第9位。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其中，和“新质生产力”相关的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高新技术制造业、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高技术制造业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累计增速分别为18.9%、7.7%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，领先于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全区6.8%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制造业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整体水平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12.8、1.6个百分点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，显著高于其他分项。</w:t>
      </w:r>
    </w:p>
    <w:p w14:paraId="10EF3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（二）政策加持推动，投资增速继续上涨</w:t>
      </w:r>
    </w:p>
    <w:p w14:paraId="6D4D54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-3月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，全区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固定资产投资同比增长18.1%，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较1-2月提升6.2个百分点，投资增速继续上涨，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高于全市平均水平4个百分点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居全市第3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位。受政策效应影响，《推动大规模设备更新和消费品以旧换新行动方案》，指出“坚持市场为主、政府引导，坚持鼓励先进、淘汰落后”“推动先进产能比重持续提升”。1-3月工业制造业投资同比增长34.4%，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高于全市平均水平10个百分点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居全市第6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位；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房地产投资同比增长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182.6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，高于全市平均水平188.6个百分点，居全市第2位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F18DF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（三）消费品市场延续回升向好态势</w:t>
      </w:r>
    </w:p>
    <w:p w14:paraId="539621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1-3月，全区社会消费品零售总额33729.6万元，同比增长5.7%，居全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第11位。其中，限额以上消费品零售额5445.8万元，同比增长5.3%。3月，全区实现社会消费品零售总额11235.4万元，同比增长5.3%，居全市第7位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678CF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lef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一季度，全省各项扩内需促消费政策力度不断加大，消费活力得到有效激发，文旅商贸深度融合，全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消费市场延续回升向好态势，权重商品发展稳定。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lNjdkMWFjYTg2Y2E2MTg0NzAzYzlmMTk3NzRhZTgifQ=="/>
  </w:docVars>
  <w:rsids>
    <w:rsidRoot w:val="16940F20"/>
    <w:rsid w:val="05096B07"/>
    <w:rsid w:val="076411DC"/>
    <w:rsid w:val="0C0F70F9"/>
    <w:rsid w:val="12B40A5C"/>
    <w:rsid w:val="15DE05DB"/>
    <w:rsid w:val="16940F20"/>
    <w:rsid w:val="1D8356D8"/>
    <w:rsid w:val="27736336"/>
    <w:rsid w:val="2F5672A5"/>
    <w:rsid w:val="33332E1D"/>
    <w:rsid w:val="36D861B6"/>
    <w:rsid w:val="399F2FBB"/>
    <w:rsid w:val="3C2C7A7C"/>
    <w:rsid w:val="456F5F37"/>
    <w:rsid w:val="4A6A1E68"/>
    <w:rsid w:val="51363DAD"/>
    <w:rsid w:val="587A5D27"/>
    <w:rsid w:val="5BC56459"/>
    <w:rsid w:val="60305ACE"/>
    <w:rsid w:val="7202419A"/>
    <w:rsid w:val="79581154"/>
    <w:rsid w:val="7E9E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3471</Words>
  <Characters>4270</Characters>
  <Lines>0</Lines>
  <Paragraphs>0</Paragraphs>
  <TotalTime>50</TotalTime>
  <ScaleCrop>false</ScaleCrop>
  <LinksUpToDate>false</LinksUpToDate>
  <CharactersWithSpaces>4372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2024-04-26T01:32:00Z</dcterms:created>
  <dc:creator>崔蔚</dc:creator>
  <cp:lastModifiedBy>崔蔚</cp:lastModifiedBy>
  <dcterms:modified xsi:type="dcterms:W3CDTF">2024-09-19T01:55:29Z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85315204EFFB43298ECFAF3EF1636494_11</vt:lpwstr>
  </property>
</Properties>
</file>