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2A6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
          <w:bCs/>
          <w:szCs w:val="32"/>
        </w:rPr>
      </w:pPr>
    </w:p>
    <w:p w14:paraId="1ADBB2E7">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
          <w:bCs/>
          <w:szCs w:val="32"/>
        </w:rPr>
      </w:pPr>
    </w:p>
    <w:p w14:paraId="64D6918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
          <w:bCs/>
          <w:szCs w:val="32"/>
        </w:rPr>
      </w:pPr>
    </w:p>
    <w:p w14:paraId="6C3376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华文仿宋" w:cs="华文仿宋"/>
          <w:szCs w:val="32"/>
        </w:rPr>
      </w:pPr>
    </w:p>
    <w:p w14:paraId="02247AE5">
      <w:pPr>
        <w:pStyle w:val="5"/>
        <w:keepNext w:val="0"/>
        <w:keepLines w:val="0"/>
        <w:pageBreakBefore w:val="0"/>
        <w:widowControl w:val="0"/>
        <w:numPr>
          <w:ilvl w:val="0"/>
          <w:numId w:val="0"/>
        </w:numPr>
        <w:tabs>
          <w:tab w:val="left" w:pos="8647"/>
        </w:tabs>
        <w:kinsoku/>
        <w:wordWrap/>
        <w:overflowPunct/>
        <w:topLinePunct w:val="0"/>
        <w:autoSpaceDE/>
        <w:autoSpaceDN/>
        <w:bidi w:val="0"/>
        <w:adjustRightInd/>
        <w:snapToGrid/>
        <w:spacing w:after="0" w:line="600" w:lineRule="exact"/>
        <w:jc w:val="both"/>
        <w:textAlignment w:val="auto"/>
        <w:rPr>
          <w:rFonts w:hint="eastAsia" w:ascii="Times New Roman" w:hAnsi="Times New Roman" w:eastAsia="仿宋_GB2312" w:cs="Times New Roman"/>
          <w:color w:val="000000"/>
          <w:sz w:val="32"/>
          <w:szCs w:val="32"/>
          <w:lang w:eastAsia="zh-CN"/>
        </w:rPr>
      </w:pPr>
    </w:p>
    <w:p w14:paraId="79257C6D">
      <w:pPr>
        <w:pStyle w:val="6"/>
        <w:rPr>
          <w:rFonts w:hint="eastAsia"/>
          <w:lang w:eastAsia="zh-CN"/>
        </w:rPr>
      </w:pPr>
    </w:p>
    <w:p w14:paraId="511007BF">
      <w:pPr>
        <w:pStyle w:val="6"/>
        <w:rPr>
          <w:rFonts w:hint="eastAsia"/>
          <w:lang w:eastAsia="zh-CN"/>
        </w:rPr>
      </w:pPr>
    </w:p>
    <w:p w14:paraId="72EDEE5C">
      <w:pPr>
        <w:pStyle w:val="5"/>
        <w:keepNext w:val="0"/>
        <w:keepLines w:val="0"/>
        <w:pageBreakBefore w:val="0"/>
        <w:widowControl w:val="0"/>
        <w:numPr>
          <w:ilvl w:val="0"/>
          <w:numId w:val="0"/>
        </w:numPr>
        <w:tabs>
          <w:tab w:val="left" w:pos="8647"/>
        </w:tabs>
        <w:kinsoku/>
        <w:wordWrap/>
        <w:overflowPunct/>
        <w:topLinePunct w:val="0"/>
        <w:autoSpaceDE/>
        <w:autoSpaceDN/>
        <w:bidi w:val="0"/>
        <w:adjustRightInd/>
        <w:snapToGrid/>
        <w:spacing w:after="0" w:line="600" w:lineRule="exact"/>
        <w:jc w:val="center"/>
        <w:textAlignment w:val="auto"/>
        <w:rPr>
          <w:rFonts w:hint="eastAsia" w:ascii="Times New Roman" w:hAnsi="Times New Roman"/>
          <w:lang w:val="en" w:eastAsia="zh-CN"/>
        </w:rPr>
      </w:pPr>
      <w:r>
        <w:rPr>
          <w:rFonts w:hint="eastAsia" w:ascii="Times New Roman" w:hAnsi="Times New Roman" w:eastAsia="仿宋_GB2312" w:cs="Times New Roman"/>
          <w:color w:val="000000"/>
          <w:sz w:val="32"/>
          <w:szCs w:val="32"/>
          <w:lang w:eastAsia="zh-CN"/>
        </w:rPr>
        <w:t>凤农</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18</w:t>
      </w:r>
      <w:r>
        <w:rPr>
          <w:rFonts w:hint="eastAsia" w:ascii="Times New Roman" w:hAnsi="Times New Roman" w:eastAsia="仿宋_GB2312" w:cs="Times New Roman"/>
          <w:color w:val="000000"/>
          <w:sz w:val="32"/>
          <w:szCs w:val="32"/>
        </w:rPr>
        <w:t>号</w:t>
      </w:r>
    </w:p>
    <w:p w14:paraId="5298AF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pPr>
    </w:p>
    <w:p w14:paraId="0E400ECB">
      <w:pPr>
        <w:pStyle w:val="2"/>
        <w:rPr>
          <w:rFonts w:hint="eastAsia"/>
        </w:rPr>
      </w:pPr>
    </w:p>
    <w:p w14:paraId="3CE1CA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14:ligatures w14:val="none"/>
        </w:rPr>
      </w:pP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14:ligatures w14:val="none"/>
        </w:rPr>
        <w:t>凤泉区农业农村局</w:t>
      </w:r>
    </w:p>
    <w:p w14:paraId="26EEFB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14:ligatures w14:val="none"/>
        </w:rPr>
      </w:pP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14:ligatures w14:val="none"/>
        </w:rPr>
        <w:t>关于印发凤泉区2024年高素质农民培育工作实施方案的通知</w:t>
      </w:r>
    </w:p>
    <w:p w14:paraId="2B15F7C0">
      <w:pPr>
        <w:spacing w:line="600" w:lineRule="exact"/>
        <w:ind w:firstLine="640" w:firstLineChars="200"/>
        <w:jc w:val="left"/>
        <w:rPr>
          <w:rFonts w:hint="eastAsia" w:ascii="Times New Roman" w:hAnsi="Times New Roman" w:eastAsia="仿宋_GB2312"/>
          <w:sz w:val="32"/>
          <w:szCs w:val="32"/>
        </w:rPr>
      </w:pPr>
    </w:p>
    <w:p w14:paraId="1B882A53">
      <w:pPr>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农办</w:t>
      </w:r>
      <w:r>
        <w:rPr>
          <w:rFonts w:hint="eastAsia" w:ascii="仿宋_GB2312" w:hAnsi="仿宋_GB2312" w:eastAsia="仿宋_GB2312" w:cs="仿宋_GB2312"/>
          <w:sz w:val="32"/>
          <w:szCs w:val="32"/>
        </w:rPr>
        <w:t>：</w:t>
      </w:r>
    </w:p>
    <w:p w14:paraId="477CC33D">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zh-TW" w:bidi="zh-TW"/>
        </w:rPr>
      </w:pPr>
      <w:r>
        <w:rPr>
          <w:rFonts w:hint="eastAsia" w:ascii="Times New Roman" w:hAnsi="Times New Roman" w:eastAsia="仿宋_GB2312" w:cs="Times New Roman"/>
          <w:color w:val="auto"/>
          <w:sz w:val="32"/>
          <w:szCs w:val="32"/>
          <w:lang w:val="zh-TW" w:eastAsia="zh-TW"/>
        </w:rPr>
        <w:t>根据</w:t>
      </w:r>
      <w:r>
        <w:rPr>
          <w:rFonts w:hint="eastAsia" w:ascii="Times New Roman" w:hAnsi="Times New Roman" w:eastAsia="仿宋_GB2312" w:cs="Times New Roman"/>
          <w:color w:val="auto"/>
          <w:sz w:val="32"/>
          <w:szCs w:val="32"/>
          <w:lang w:val="zh-TW" w:eastAsia="zh-CN"/>
        </w:rPr>
        <w:t>省农业农村厅安排部署</w:t>
      </w:r>
      <w:r>
        <w:rPr>
          <w:rFonts w:hint="eastAsia" w:ascii="Times New Roman" w:hAnsi="Times New Roman" w:eastAsia="仿宋_GB2312" w:cs="Times New Roman"/>
          <w:color w:val="auto"/>
          <w:sz w:val="32"/>
          <w:szCs w:val="32"/>
          <w:lang w:val="zh-TW" w:eastAsia="zh-TW"/>
        </w:rPr>
        <w:t>，</w:t>
      </w:r>
      <w:r>
        <w:rPr>
          <w:rFonts w:hint="eastAsia" w:ascii="Times New Roman" w:hAnsi="Times New Roman" w:eastAsia="仿宋_GB2312" w:cs="Times New Roman"/>
          <w:color w:val="auto"/>
          <w:sz w:val="32"/>
          <w:szCs w:val="32"/>
          <w:lang w:val="zh-TW" w:eastAsia="zh-CN"/>
        </w:rPr>
        <w:t>以及</w:t>
      </w:r>
      <w:r>
        <w:rPr>
          <w:rFonts w:hint="eastAsia" w:ascii="Times New Roman" w:hAnsi="Times New Roman" w:eastAsia="仿宋_GB2312" w:cs="Times New Roman"/>
          <w:color w:val="auto"/>
          <w:sz w:val="32"/>
          <w:szCs w:val="32"/>
          <w:lang w:val="zh-TW" w:eastAsia="zh-TW"/>
        </w:rPr>
        <w:t>《</w:t>
      </w:r>
      <w:r>
        <w:rPr>
          <w:rFonts w:hint="eastAsia" w:ascii="Times New Roman" w:hAnsi="Times New Roman" w:eastAsia="仿宋_GB2312" w:cs="Times New Roman"/>
          <w:color w:val="auto"/>
          <w:sz w:val="32"/>
          <w:szCs w:val="32"/>
          <w:lang w:val="zh-TW" w:eastAsia="zh-CN"/>
        </w:rPr>
        <w:t>新乡市</w:t>
      </w:r>
      <w:r>
        <w:rPr>
          <w:rFonts w:hint="eastAsia" w:ascii="Times New Roman" w:hAnsi="Times New Roman" w:eastAsia="仿宋_GB2312" w:cs="Times New Roman"/>
          <w:color w:val="auto"/>
          <w:sz w:val="32"/>
          <w:szCs w:val="32"/>
          <w:lang w:val="zh-TW" w:eastAsia="zh-TW"/>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zh-TW" w:eastAsia="zh-TW"/>
        </w:rPr>
        <w:t>年高素质农民培育工作实施方案》</w:t>
      </w:r>
      <w:r>
        <w:rPr>
          <w:rFonts w:hint="eastAsia" w:ascii="Times New Roman" w:hAnsi="Times New Roman" w:eastAsia="仿宋_GB2312" w:cs="Times New Roman"/>
          <w:color w:val="auto"/>
          <w:sz w:val="32"/>
          <w:szCs w:val="32"/>
          <w:lang w:val="zh-TW" w:eastAsia="zh-CN"/>
        </w:rPr>
        <w:t>要求，结合我区实际，</w:t>
      </w:r>
      <w:r>
        <w:rPr>
          <w:rFonts w:hint="eastAsia" w:ascii="Times New Roman" w:hAnsi="Times New Roman" w:eastAsia="仿宋_GB2312" w:cs="Times New Roman"/>
          <w:color w:val="auto"/>
          <w:sz w:val="32"/>
          <w:szCs w:val="32"/>
          <w:lang w:val="zh-TW" w:eastAsia="zh-TW"/>
        </w:rPr>
        <w:t>研究制定了</w:t>
      </w:r>
      <w:r>
        <w:rPr>
          <w:rFonts w:hint="eastAsia" w:ascii="Times New Roman" w:hAnsi="Times New Roman" w:eastAsia="仿宋_GB2312" w:cs="Times New Roman"/>
          <w:color w:val="auto"/>
          <w:sz w:val="32"/>
          <w:szCs w:val="32"/>
          <w:lang w:val="zh-TW" w:eastAsia="zh-CN"/>
        </w:rPr>
        <w:t>《凤泉区</w:t>
      </w:r>
      <w:r>
        <w:rPr>
          <w:rFonts w:hint="eastAsia" w:ascii="Times New Roman" w:hAnsi="Times New Roman" w:eastAsia="仿宋_GB2312" w:cs="Times New Roman"/>
          <w:color w:val="auto"/>
          <w:sz w:val="32"/>
          <w:szCs w:val="32"/>
          <w:lang w:val="zh-TW" w:eastAsia="zh-TW"/>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zh-TW" w:eastAsia="zh-TW"/>
        </w:rPr>
        <w:t>年高素质农民培育工作实施方案</w:t>
      </w:r>
      <w:r>
        <w:rPr>
          <w:rFonts w:hint="eastAsia" w:ascii="Times New Roman" w:hAnsi="Times New Roman" w:eastAsia="仿宋_GB2312" w:cs="Times New Roman"/>
          <w:color w:val="auto"/>
          <w:sz w:val="32"/>
          <w:szCs w:val="32"/>
          <w:lang w:val="zh-TW" w:eastAsia="zh-CN"/>
        </w:rPr>
        <w:t>》，</w:t>
      </w:r>
      <w:r>
        <w:rPr>
          <w:rFonts w:hint="eastAsia" w:ascii="Times New Roman" w:hAnsi="Times New Roman" w:eastAsia="仿宋_GB2312" w:cs="Times New Roman"/>
          <w:color w:val="auto"/>
          <w:sz w:val="32"/>
          <w:szCs w:val="32"/>
          <w:lang w:val="zh-TW" w:eastAsia="zh-TW"/>
        </w:rPr>
        <w:t>现印发给你们，请遵照执行</w:t>
      </w:r>
      <w:r>
        <w:rPr>
          <w:rFonts w:hint="eastAsia" w:ascii="Times New Roman" w:hAnsi="Times New Roman" w:eastAsia="仿宋_GB2312" w:cs="Times New Roman"/>
          <w:color w:val="auto"/>
          <w:sz w:val="32"/>
          <w:szCs w:val="32"/>
          <w:lang w:val="zh-TW" w:eastAsia="zh-CN"/>
        </w:rPr>
        <w:t>。</w:t>
      </w:r>
    </w:p>
    <w:p w14:paraId="2A91AEA6">
      <w:pPr>
        <w:pStyle w:val="2"/>
        <w:keepNext w:val="0"/>
        <w:keepLines w:val="0"/>
        <w:pageBreakBefore w:val="0"/>
        <w:kinsoku/>
        <w:wordWrap/>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kern w:val="0"/>
          <w:sz w:val="32"/>
          <w:szCs w:val="32"/>
          <w:lang w:val="zh-TW" w:eastAsia="zh-TW" w:bidi="zh-TW"/>
        </w:rPr>
      </w:pPr>
    </w:p>
    <w:p w14:paraId="1D558BE3">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日</w:t>
      </w:r>
    </w:p>
    <w:p w14:paraId="4F211E9E">
      <w:pPr>
        <w:keepNext w:val="0"/>
        <w:keepLines w:val="0"/>
        <w:pageBreakBefore w:val="0"/>
        <w:kinsoku/>
        <w:overflow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14:paraId="49E552D3">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14:paraId="3408C93D">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Times New Roman"/>
          <w:color w:val="000000" w:themeColor="text1"/>
          <w:kern w:val="0"/>
          <w:sz w:val="44"/>
          <w:szCs w:val="44"/>
          <w:shd w:val="clear" w:color="auto" w:fill="FFFFFF"/>
          <w14:textFill>
            <w14:solidFill>
              <w14:schemeClr w14:val="tx1"/>
            </w14:solidFill>
          </w14:textFill>
          <w14:ligatures w14:val="none"/>
        </w:rPr>
      </w:pPr>
      <w:r>
        <w:rPr>
          <w:rFonts w:hint="eastAsia" w:ascii="Times New Roman" w:hAnsi="Times New Roman" w:eastAsia="方正小标宋简体" w:cs="Times New Roman"/>
          <w:color w:val="000000" w:themeColor="text1"/>
          <w:kern w:val="0"/>
          <w:sz w:val="44"/>
          <w:szCs w:val="44"/>
          <w:shd w:val="clear" w:color="auto" w:fill="FFFFFF"/>
          <w:lang w:eastAsia="zh-CN"/>
          <w14:textFill>
            <w14:solidFill>
              <w14:schemeClr w14:val="tx1"/>
            </w14:solidFill>
          </w14:textFill>
          <w14:ligatures w14:val="none"/>
        </w:rPr>
        <w:t>凤泉区</w:t>
      </w:r>
      <w:r>
        <w:rPr>
          <w:rFonts w:hint="eastAsia" w:ascii="Times New Roman" w:hAnsi="Times New Roman" w:eastAsia="方正小标宋简体" w:cs="Times New Roman"/>
          <w:color w:val="000000" w:themeColor="text1"/>
          <w:kern w:val="0"/>
          <w:sz w:val="44"/>
          <w:szCs w:val="44"/>
          <w:shd w:val="clear" w:color="auto" w:fill="FFFFFF"/>
          <w14:textFill>
            <w14:solidFill>
              <w14:schemeClr w14:val="tx1"/>
            </w14:solidFill>
          </w14:textFill>
          <w14:ligatures w14:val="none"/>
        </w:rPr>
        <w:t>2024年高素质农民培育工作实施方案</w:t>
      </w:r>
    </w:p>
    <w:p w14:paraId="366C905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p>
    <w:p w14:paraId="1C0B67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w:t>
      </w:r>
      <w:r>
        <w:rPr>
          <w:rFonts w:hint="eastAsia" w:ascii="Times New Roman" w:hAnsi="Times New Roman" w:eastAsia="仿宋_GB2312"/>
          <w:sz w:val="32"/>
          <w:szCs w:val="32"/>
          <w:lang w:eastAsia="zh-CN"/>
        </w:rPr>
        <w:t>河南省农业农村厅</w:t>
      </w:r>
      <w:r>
        <w:rPr>
          <w:rFonts w:hint="eastAsia" w:ascii="Times New Roman" w:hAnsi="Times New Roman" w:eastAsia="仿宋_GB2312"/>
          <w:sz w:val="32"/>
          <w:szCs w:val="32"/>
        </w:rPr>
        <w:t>关于印发河南省2024年高素质农民培育工作实施方案的通知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豫农文〔2024〕245号)和《河南省财政厅</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河南省农业农村厅关于下达2024年中央财政农业产业发展等农业相关转移支付资金的通知》（豫财农水〔2024〕30号）要求，为做好2024年全</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高素质农民培育工作，</w:t>
      </w:r>
      <w:r>
        <w:rPr>
          <w:rFonts w:hint="eastAsia" w:ascii="Times New Roman" w:hAnsi="Times New Roman" w:eastAsia="仿宋_GB2312"/>
          <w:sz w:val="32"/>
          <w:szCs w:val="32"/>
          <w:lang w:eastAsia="zh-CN"/>
        </w:rPr>
        <w:t>结合我区实际</w:t>
      </w:r>
      <w:r>
        <w:rPr>
          <w:rFonts w:hint="eastAsia" w:ascii="Times New Roman" w:hAnsi="Times New Roman" w:eastAsia="仿宋_GB2312"/>
          <w:sz w:val="32"/>
          <w:szCs w:val="32"/>
        </w:rPr>
        <w:t>，制定本实施方案。</w:t>
      </w:r>
    </w:p>
    <w:p w14:paraId="68EC067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一、工作思路</w:t>
      </w:r>
    </w:p>
    <w:p w14:paraId="3989945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以习近平新时代中国特色社会主义思想为指导，全面贯彻党的二十大、二十届二中全会和中央农村工作会议精神，落实</w:t>
      </w:r>
      <w:r>
        <w:rPr>
          <w:rFonts w:hint="eastAsia" w:ascii="Times New Roman" w:hAnsi="Times New Roman" w:eastAsia="仿宋_GB2312"/>
          <w:sz w:val="32"/>
          <w:szCs w:val="32"/>
          <w:lang w:eastAsia="zh-CN"/>
        </w:rPr>
        <w:t>省农业农村厅关于高素质农民培育工作安排</w:t>
      </w:r>
      <w:r>
        <w:rPr>
          <w:rFonts w:hint="eastAsia" w:ascii="Times New Roman" w:hAnsi="Times New Roman" w:eastAsia="仿宋_GB2312"/>
          <w:sz w:val="32"/>
          <w:szCs w:val="32"/>
        </w:rPr>
        <w:t>部署，按照</w:t>
      </w:r>
      <w:r>
        <w:rPr>
          <w:rFonts w:hint="eastAsia" w:ascii="Times New Roman" w:hAnsi="Times New Roman" w:eastAsia="仿宋_GB2312"/>
          <w:sz w:val="32"/>
          <w:szCs w:val="32"/>
          <w:lang w:eastAsia="zh-CN"/>
        </w:rPr>
        <w:t>《新乡市202</w:t>
      </w:r>
      <w:r>
        <w:rPr>
          <w:rFonts w:hint="eastAsia" w:ascii="Times New Roman" w:hAnsi="Times New Roman" w:eastAsia="仿宋_GB2312"/>
          <w:sz w:val="32"/>
          <w:szCs w:val="32"/>
          <w:lang w:val="en-US" w:eastAsia="zh-CN"/>
        </w:rPr>
        <w:t>4年</w:t>
      </w:r>
      <w:r>
        <w:rPr>
          <w:rFonts w:hint="eastAsia" w:ascii="Times New Roman" w:hAnsi="Times New Roman" w:eastAsia="仿宋_GB2312"/>
          <w:sz w:val="32"/>
          <w:szCs w:val="32"/>
          <w:lang w:eastAsia="zh-CN"/>
        </w:rPr>
        <w:t>农业农村科技教育工作要点》</w:t>
      </w:r>
      <w:r>
        <w:rPr>
          <w:rFonts w:hint="eastAsia" w:ascii="Times New Roman" w:hAnsi="Times New Roman" w:eastAsia="仿宋_GB2312"/>
          <w:sz w:val="32"/>
          <w:szCs w:val="32"/>
        </w:rPr>
        <w:t>要求，坚持需求导向、产业主线、分层实施、全程培育，聚焦提升技术技能水平、提升产业发展能力、提升综合素质素养，高质量培育粮食安全守护者、产业发展带头人和乡村振兴主力军，为推进乡村全面振兴提供坚实人才保障。</w:t>
      </w:r>
    </w:p>
    <w:p w14:paraId="01F6E4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二、重点任务</w:t>
      </w:r>
    </w:p>
    <w:p w14:paraId="5ED7AF2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落实有力有效推进乡村全面振兴的工作部署，以守护国家粮食安全为核心，全面推进高素质农民队伍建设。</w:t>
      </w:r>
    </w:p>
    <w:p w14:paraId="6C7BD57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（一）目标任务</w:t>
      </w:r>
    </w:p>
    <w:p w14:paraId="11E5EBF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围绕新型农业经营和服务主体带头人能力提升以及种养加销能手，全年完成</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人（2024年</w:t>
      </w:r>
      <w:r>
        <w:rPr>
          <w:rFonts w:hint="eastAsia" w:ascii="Times New Roman" w:hAnsi="Times New Roman" w:eastAsia="仿宋_GB2312"/>
          <w:sz w:val="32"/>
          <w:szCs w:val="32"/>
          <w:lang w:eastAsia="zh-CN"/>
        </w:rPr>
        <w:t>全市</w:t>
      </w:r>
      <w:r>
        <w:rPr>
          <w:rFonts w:hint="eastAsia" w:ascii="Times New Roman" w:hAnsi="Times New Roman" w:eastAsia="仿宋_GB2312"/>
          <w:sz w:val="32"/>
          <w:szCs w:val="32"/>
        </w:rPr>
        <w:t>高素质农民培育计划任务安排见附件）。高素质农民培育及人均补助资金测算标准如下，培训费用根据实际需求支出。</w:t>
      </w:r>
    </w:p>
    <w:p w14:paraId="0EF6B48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新型农业经营和服务主体带头人能力提升及种养加销能手技能培训，年度线下累计培训时间7-12天，全年跟踪服务，资金补助标准为人均4000元左右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新型农业经营和服务主体带头人能力提升线上学习时数不高于总学习时数的30%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种养加销能手技能培训中线上学习时数不做具体要求。</w:t>
      </w:r>
    </w:p>
    <w:p w14:paraId="4793BE3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（二）重点方向</w:t>
      </w:r>
    </w:p>
    <w:p w14:paraId="46DAEDD8">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1</w:t>
      </w:r>
      <w:r>
        <w:rPr>
          <w:rFonts w:hint="eastAsia" w:ascii="Times New Roman" w:hAnsi="Times New Roman" w:eastAsia="仿宋_GB2312"/>
          <w:b/>
          <w:bCs/>
          <w:sz w:val="32"/>
          <w:szCs w:val="32"/>
          <w:lang w:val="en-US" w:eastAsia="zh-CN"/>
        </w:rPr>
        <w:t>.</w:t>
      </w:r>
      <w:r>
        <w:rPr>
          <w:rFonts w:hint="eastAsia" w:ascii="Times New Roman" w:hAnsi="Times New Roman" w:eastAsia="仿宋_GB2312"/>
          <w:b/>
          <w:bCs/>
          <w:sz w:val="32"/>
          <w:szCs w:val="32"/>
        </w:rPr>
        <w:t>培优提升产业发展能力。</w:t>
      </w:r>
      <w:r>
        <w:rPr>
          <w:rFonts w:hint="eastAsia" w:ascii="Times New Roman" w:hAnsi="Times New Roman" w:eastAsia="仿宋_GB2312"/>
          <w:sz w:val="32"/>
          <w:szCs w:val="32"/>
        </w:rPr>
        <w:t>服务构建现代农业经营体系，围绕经营管理、绿色发展、品牌创建、市场营销、风险防控等内容开展系统化培训，提升产业发展水平和带动能力。</w:t>
      </w:r>
    </w:p>
    <w:p w14:paraId="757340E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全面提升综合素质素养。</w:t>
      </w:r>
      <w:r>
        <w:rPr>
          <w:rFonts w:hint="eastAsia" w:ascii="Times New Roman" w:hAnsi="Times New Roman" w:eastAsia="仿宋_GB2312"/>
          <w:sz w:val="32"/>
          <w:szCs w:val="32"/>
        </w:rPr>
        <w:t>全面开设综合素养课程，持续推进习近平新时代中国特色社会主义思想相关课程覆盖所有培育对象，弘扬社会主义核心价值观，普及三农相关政策、涉农法律法规、农业绿色发展、农业标准化、农产品质量安全、耕地保护建设、农业金融保险、乡村治理、农耕文化、农村移风易俗等领域知识、理念和倡导性要求，全面提升农民综合素质。</w:t>
      </w:r>
    </w:p>
    <w:p w14:paraId="73A5A2E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三、专项行动</w:t>
      </w:r>
    </w:p>
    <w:p w14:paraId="6BD7691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新型农业经营主体产业发展能力提升培育行动。</w:t>
      </w:r>
      <w:r>
        <w:rPr>
          <w:rFonts w:hint="eastAsia" w:ascii="Times New Roman" w:hAnsi="Times New Roman" w:eastAsia="仿宋_GB2312"/>
          <w:sz w:val="32"/>
          <w:szCs w:val="32"/>
        </w:rPr>
        <w:t>以家庭农场、农民合作社、农业企业、专业型社会化服务企业和农村集体经济组织等主体带头人为对象，开展主体发展能力提升培训，支持组织跨区域学习，帮助拓宽发展思路、优化发展路径，促进产业提档升级。面向上述主体从业就业人员，以相关涉农岗位所需的技术技能为主要内容，通过订单式组班、定制式培训、师傅带徒弟等方式，提升农民就业能力，促进新型农业经营主体发展壮大。</w:t>
      </w:r>
    </w:p>
    <w:p w14:paraId="33C6722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443B039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2024年全年着力提升高素质农民培育质量，按照《高素质农民培育规范》相关要求组织开展培育工作，不断提高培育的针对性、规范性和有效性，确保全年工作高质高效、农民满意度达到90%以上。</w:t>
      </w:r>
    </w:p>
    <w:p w14:paraId="429BB44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（一）分层分类组织实施。</w:t>
      </w:r>
      <w:r>
        <w:rPr>
          <w:rFonts w:hint="eastAsia" w:ascii="Times New Roman" w:hAnsi="Times New Roman" w:eastAsia="仿宋_GB2312"/>
          <w:sz w:val="32"/>
          <w:szCs w:val="32"/>
        </w:rPr>
        <w:t>根据需要，分产业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分类别组建种养加销能手技能提升、新型农业经营服务主体能力提升专题班。以生产技术培训为主的，实操实训学时数不应低于总学时数的2/3，可根据实际需要和农时特点一次性或分段完成培育任务。以发展能力提升培育为主的，强调选育用一体化培养，将培育对象纳入发展监测范围。以从业就业技能培训为主的，鼓励在农业企业、农业园区进行岗位实践或顶岗实习。鼓励举办青年高素质农民、女性高素质农民培育专题班。</w:t>
      </w:r>
    </w:p>
    <w:p w14:paraId="32EB7B5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（二）</w:t>
      </w:r>
      <w:r>
        <w:rPr>
          <w:rFonts w:hint="eastAsia" w:ascii="楷体" w:hAnsi="楷体" w:eastAsia="楷体" w:cs="楷体"/>
          <w:b w:val="0"/>
          <w:bCs w:val="0"/>
          <w:sz w:val="32"/>
          <w:szCs w:val="32"/>
        </w:rPr>
        <w:t>科学制定方案。</w:t>
      </w:r>
      <w:r>
        <w:rPr>
          <w:rFonts w:hint="eastAsia" w:ascii="Times New Roman" w:hAnsi="Times New Roman" w:eastAsia="仿宋_GB2312"/>
          <w:sz w:val="32"/>
          <w:szCs w:val="32"/>
        </w:rPr>
        <w:t>要在做好高素质农民培育需求摸底的基础上，加强工作统筹谋划，结合实际科学制定实施方案，细化培育目标任务、工作措施和资金使用等安排，按要求经过审核报送</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级农业农村主管部门、同级财政部门备案。承担任务的培育机构要按需制定培育计划，量身定制培训课程，优选师资教材，综合运用课堂教学、现场教学、实践实训、线上学习、观摩交流等多种形式，优化培训方法，提高培训实效。要按照《高素质农民培育规范》，模块化设计综合素养课、技术技能课和能力拓展课。</w:t>
      </w:r>
    </w:p>
    <w:p w14:paraId="6CA5158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（三）</w:t>
      </w:r>
      <w:r>
        <w:rPr>
          <w:rFonts w:hint="eastAsia" w:ascii="楷体" w:hAnsi="楷体" w:eastAsia="楷体" w:cs="楷体"/>
          <w:sz w:val="32"/>
          <w:szCs w:val="32"/>
        </w:rPr>
        <w:t>强化培育课程建设</w:t>
      </w:r>
      <w:r>
        <w:rPr>
          <w:rFonts w:hint="eastAsia" w:ascii="楷体" w:hAnsi="楷体" w:eastAsia="楷体" w:cs="楷体"/>
          <w:sz w:val="32"/>
          <w:szCs w:val="32"/>
          <w:lang w:eastAsia="zh-CN"/>
        </w:rPr>
        <w:t>。</w:t>
      </w:r>
      <w:r>
        <w:rPr>
          <w:rFonts w:hint="eastAsia" w:ascii="Times New Roman" w:hAnsi="Times New Roman" w:eastAsia="仿宋_GB2312"/>
          <w:sz w:val="32"/>
          <w:szCs w:val="32"/>
        </w:rPr>
        <w:t>落实“行政主管部门第一课”，组织开发综合素养课，因地制宜开设专业技能课，按需设置能力拓展课。</w:t>
      </w:r>
      <w:r>
        <w:rPr>
          <w:rFonts w:hint="eastAsia" w:ascii="Times New Roman" w:hAnsi="Times New Roman" w:eastAsia="仿宋_GB2312"/>
          <w:sz w:val="32"/>
          <w:szCs w:val="32"/>
          <w:lang w:eastAsia="zh-CN"/>
        </w:rPr>
        <w:t>尽量选用</w:t>
      </w:r>
      <w:r>
        <w:rPr>
          <w:rFonts w:hint="eastAsia" w:ascii="Times New Roman" w:hAnsi="Times New Roman" w:eastAsia="仿宋_GB2312"/>
          <w:sz w:val="32"/>
          <w:szCs w:val="32"/>
        </w:rPr>
        <w:t>通俗易懂的培训教材，审核把关综合素养课教材。加强师资队伍建设，鼓励将法律、金融、文化等领域专家纳入师资队伍，综合素养课程师资原则上应来自行政事业单位、涉农院校、农广校、科研院所等公益性机构。指导培育机构、实训基地优先选用部省规划教材，订购优质专业报刊，供参训学员学习参考。</w:t>
      </w:r>
    </w:p>
    <w:p w14:paraId="1D43996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（四）强化全过程管理。</w:t>
      </w:r>
      <w:r>
        <w:rPr>
          <w:rFonts w:hint="eastAsia" w:ascii="Times New Roman" w:hAnsi="Times New Roman" w:eastAsia="仿宋_GB2312"/>
          <w:sz w:val="32"/>
          <w:szCs w:val="32"/>
        </w:rPr>
        <w:t>用好</w:t>
      </w:r>
      <w:r>
        <w:rPr>
          <w:rFonts w:hint="eastAsia" w:ascii="Times New Roman" w:hAnsi="Times New Roman" w:eastAsia="仿宋_GB2312"/>
          <w:sz w:val="32"/>
          <w:szCs w:val="32"/>
          <w:lang w:eastAsia="zh-CN"/>
        </w:rPr>
        <w:t>河南省农民教育培训持证信息管理系统（https://hen.yszn.net.cn/）</w:t>
      </w:r>
      <w:r>
        <w:rPr>
          <w:rFonts w:hint="eastAsia" w:ascii="Times New Roman" w:hAnsi="Times New Roman" w:eastAsia="仿宋_GB2312"/>
          <w:sz w:val="32"/>
          <w:szCs w:val="32"/>
        </w:rPr>
        <w:t>，开展培育全过程管理。用好农业农村部转移支付管理平台</w:t>
      </w:r>
      <w:r>
        <w:rPr>
          <w:rFonts w:hint="eastAsia" w:ascii="Times New Roman" w:hAnsi="Times New Roman" w:eastAsia="仿宋_GB2312"/>
          <w:sz w:val="32"/>
          <w:szCs w:val="32"/>
          <w:lang w:eastAsia="zh-CN"/>
        </w:rPr>
        <w:t>（https://zyzf.xnzb.org.cn/）</w:t>
      </w:r>
      <w:r>
        <w:rPr>
          <w:rFonts w:hint="eastAsia" w:ascii="Times New Roman" w:hAnsi="Times New Roman" w:eastAsia="仿宋_GB2312"/>
          <w:sz w:val="32"/>
          <w:szCs w:val="32"/>
        </w:rPr>
        <w:t>，加强对培育资金支出使用等的监督管理。</w:t>
      </w: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规范资金使用。</w:t>
      </w:r>
      <w:r>
        <w:rPr>
          <w:rFonts w:hint="eastAsia" w:ascii="Times New Roman" w:hAnsi="Times New Roman" w:eastAsia="仿宋_GB2312"/>
          <w:sz w:val="32"/>
          <w:szCs w:val="32"/>
        </w:rPr>
        <w:t>高素质农民培育资金主要用于项目摸底调研、项目宣传、学员遴选、课堂培训、线上培训、基地实训、基地孵化、模拟演练、培训教材、实验材料、场地租赁、学员食宿、教师聘用、考试考核、队伍管理、跟踪服务等培育全过程费用支出，不得列支招投标费用。项目资金按照“谁使用、谁负责”的原则，严防挤占挪用、骗取套取补助资金等违法违规行为发生。培育机构须与承担其任务的实训基地明确合作关系，并向实训基地支付场地耗材、实训师资等切实发生的相关费用。</w:t>
      </w:r>
      <w:r>
        <w:rPr>
          <w:rFonts w:hint="eastAsia" w:ascii="Times New Roman" w:hAnsi="Times New Roman" w:eastAsia="仿宋_GB2312"/>
          <w:b/>
          <w:bCs/>
          <w:sz w:val="32"/>
          <w:szCs w:val="32"/>
        </w:rPr>
        <w:t>2</w:t>
      </w:r>
      <w:r>
        <w:rPr>
          <w:rFonts w:hint="eastAsia" w:ascii="Times New Roman" w:hAnsi="Times New Roman" w:eastAsia="仿宋_GB2312"/>
          <w:b/>
          <w:bCs/>
          <w:sz w:val="32"/>
          <w:szCs w:val="32"/>
          <w:lang w:val="en-US" w:eastAsia="zh-CN"/>
        </w:rPr>
        <w:t>.</w:t>
      </w:r>
      <w:r>
        <w:rPr>
          <w:rFonts w:hint="eastAsia" w:ascii="Times New Roman" w:hAnsi="Times New Roman" w:eastAsia="仿宋_GB2312"/>
          <w:b/>
          <w:bCs/>
          <w:sz w:val="32"/>
          <w:szCs w:val="32"/>
        </w:rPr>
        <w:t>加强绩效管理和评价。</w:t>
      </w:r>
      <w:r>
        <w:rPr>
          <w:rFonts w:hint="eastAsia" w:ascii="Times New Roman" w:hAnsi="Times New Roman" w:eastAsia="仿宋_GB2312"/>
          <w:sz w:val="32"/>
          <w:szCs w:val="32"/>
        </w:rPr>
        <w:t>全面落实耕地保护和粮食安全责任制、“五星”支部创建等专项考核中对高素质农民培育工作的指标考核。</w:t>
      </w:r>
    </w:p>
    <w:p w14:paraId="7AF5D0B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五</w:t>
      </w:r>
      <w:r>
        <w:rPr>
          <w:rFonts w:hint="eastAsia" w:ascii="Times New Roman" w:hAnsi="Times New Roman" w:eastAsia="楷体_GB2312" w:cs="楷体_GB2312"/>
          <w:sz w:val="32"/>
          <w:szCs w:val="32"/>
        </w:rPr>
        <w:t>）做好指导跟踪服务。</w:t>
      </w:r>
      <w:r>
        <w:rPr>
          <w:rFonts w:hint="eastAsia" w:ascii="Times New Roman" w:hAnsi="Times New Roman" w:eastAsia="仿宋_GB2312"/>
          <w:sz w:val="32"/>
          <w:szCs w:val="32"/>
        </w:rPr>
        <w:t>组织协调农业农村系统相关管理和技术力量，依托现代农业产业技术体系、农技推广体系等专业队伍，为技术技能提升类培育对象提供长期技术指导服务，帮助产业发展带头人获取基础设施建设、产业项目、信贷保险等方面支持。继续贯彻《河南省人民政府办公厅关于加快推进新型职业农民培育工作的意见》（豫政办〔2016〕178号）精神，协同农业农村、人社、教育、工会、共青团、妇联等部门，持续完善产业发展扶持、创业创新支持、金融保险服务、荣誉表彰奖励“四项并行”培育政策，积极创设优化支持政策和资助项目。支持高素质农民创办领办家庭农场、农民合作社、产业联合体等新型农业经营主体。指导农民专业技术协会、产业联盟等发挥作用，帮助高素质农民抱团发展。及时总结高素质农民培育的好经验好做法，多渠道开展宣传推广，展示新时代新农民新风采，强化示范引领，充分发挥辐射带动作用。</w:t>
      </w:r>
    </w:p>
    <w:p w14:paraId="36B0EF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szCs w:val="32"/>
          <w:lang w:eastAsia="zh-CN"/>
        </w:rPr>
      </w:pPr>
    </w:p>
    <w:p w14:paraId="64B17C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lang w:eastAsia="zh-CN"/>
        </w:rPr>
      </w:pPr>
      <w:r>
        <w:rPr>
          <w:rFonts w:hint="eastAsia" w:ascii="Times New Roman" w:hAnsi="Times New Roman" w:eastAsia="仿宋_GB2312"/>
          <w:sz w:val="32"/>
          <w:szCs w:val="32"/>
          <w:lang w:eastAsia="zh-CN"/>
        </w:rPr>
        <w:t>附件：凤泉区202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年高素质农民培育工作任务计划一览表</w:t>
      </w:r>
    </w:p>
    <w:p w14:paraId="79BFA696">
      <w:pPr>
        <w:pStyle w:val="16"/>
        <w:rPr>
          <w:rFonts w:hint="eastAsia" w:ascii="仿宋_GB2312" w:eastAsia="仿宋_GB2312"/>
          <w:sz w:val="32"/>
          <w:szCs w:val="32"/>
          <w:lang w:eastAsia="zh-CN"/>
        </w:rPr>
      </w:pPr>
    </w:p>
    <w:p w14:paraId="2887124A">
      <w:pPr>
        <w:pStyle w:val="16"/>
        <w:rPr>
          <w:rFonts w:hint="eastAsia" w:ascii="仿宋_GB2312" w:eastAsia="仿宋_GB2312"/>
          <w:sz w:val="32"/>
          <w:szCs w:val="32"/>
          <w:lang w:eastAsia="zh-CN"/>
        </w:rPr>
      </w:pPr>
    </w:p>
    <w:p w14:paraId="13838303">
      <w:pPr>
        <w:keepNext w:val="0"/>
        <w:keepLines w:val="0"/>
        <w:pageBreakBefore w:val="0"/>
        <w:widowControl/>
        <w:shd w:val="clear" w:color="auto" w:fill="FFFFFF"/>
        <w:kinsoku/>
        <w:autoSpaceDE/>
        <w:autoSpaceDN/>
        <w:bidi w:val="0"/>
        <w:spacing w:line="600" w:lineRule="exact"/>
        <w:rPr>
          <w:rFonts w:hint="eastAsia" w:ascii="CESI黑体-GB2312" w:hAnsi="CESI黑体-GB2312" w:eastAsia="CESI黑体-GB2312" w:cs="CESI黑体-GB2312"/>
          <w:color w:val="000000"/>
          <w:kern w:val="0"/>
          <w:sz w:val="32"/>
          <w:szCs w:val="32"/>
          <w:shd w:val="clear" w:color="auto" w:fill="FFFFFF"/>
          <w:lang w:eastAsia="zh-CN" w:bidi="ar"/>
        </w:rPr>
      </w:pPr>
      <w:r>
        <w:rPr>
          <w:rFonts w:hint="eastAsia" w:ascii="CESI黑体-GB2312" w:hAnsi="CESI黑体-GB2312" w:eastAsia="CESI黑体-GB2312" w:cs="CESI黑体-GB2312"/>
          <w:color w:val="000000"/>
          <w:kern w:val="0"/>
          <w:sz w:val="32"/>
          <w:szCs w:val="32"/>
          <w:shd w:val="clear" w:color="auto" w:fill="FFFFFF"/>
          <w:lang w:eastAsia="zh-CN" w:bidi="ar"/>
        </w:rPr>
        <w:t>附</w:t>
      </w:r>
      <w:r>
        <w:rPr>
          <w:rFonts w:hint="eastAsia" w:ascii="CESI黑体-GB2312" w:hAnsi="CESI黑体-GB2312" w:eastAsia="CESI黑体-GB2312" w:cs="CESI黑体-GB2312"/>
          <w:color w:val="000000"/>
          <w:kern w:val="0"/>
          <w:sz w:val="32"/>
          <w:szCs w:val="32"/>
          <w:shd w:val="clear" w:color="auto" w:fill="FFFFFF"/>
          <w:lang w:val="en-US" w:eastAsia="zh-CN" w:bidi="ar"/>
        </w:rPr>
        <w:t xml:space="preserve">  </w:t>
      </w:r>
      <w:r>
        <w:rPr>
          <w:rFonts w:hint="eastAsia" w:ascii="CESI黑体-GB2312" w:hAnsi="CESI黑体-GB2312" w:eastAsia="CESI黑体-GB2312" w:cs="CESI黑体-GB2312"/>
          <w:color w:val="000000"/>
          <w:kern w:val="0"/>
          <w:sz w:val="32"/>
          <w:szCs w:val="32"/>
          <w:shd w:val="clear" w:color="auto" w:fill="FFFFFF"/>
          <w:lang w:eastAsia="zh-CN" w:bidi="ar"/>
        </w:rPr>
        <w:t>件</w:t>
      </w:r>
    </w:p>
    <w:p w14:paraId="3F8426AA">
      <w:pPr>
        <w:pStyle w:val="2"/>
        <w:rPr>
          <w:rFonts w:hint="eastAsia"/>
          <w:lang w:eastAsia="zh-CN"/>
        </w:rPr>
      </w:pPr>
    </w:p>
    <w:p w14:paraId="0569D5A3">
      <w:pPr>
        <w:pStyle w:val="16"/>
        <w:ind w:left="0" w:leftChars="0" w:firstLine="0" w:firstLineChars="0"/>
        <w:jc w:val="center"/>
        <w:rPr>
          <w:rFonts w:hint="eastAsia" w:ascii="Times New Roman" w:hAnsi="Times New Roman" w:eastAsia="方正小标宋简体" w:cs="Times New Roman"/>
          <w:color w:val="auto"/>
          <w:sz w:val="36"/>
          <w:szCs w:val="36"/>
        </w:rPr>
      </w:pPr>
      <w:r>
        <w:rPr>
          <w:rFonts w:hint="eastAsia" w:ascii="Times New Roman" w:eastAsia="方正小标宋简体" w:cs="Times New Roman"/>
          <w:color w:val="auto"/>
          <w:sz w:val="36"/>
          <w:szCs w:val="36"/>
          <w:lang w:eastAsia="zh-CN"/>
        </w:rPr>
        <w:t>凤泉区</w:t>
      </w:r>
      <w:r>
        <w:rPr>
          <w:rFonts w:hint="eastAsia" w:ascii="Times New Roman" w:hAnsi="Times New Roman" w:eastAsia="方正小标宋简体" w:cs="Times New Roman"/>
          <w:color w:val="auto"/>
          <w:sz w:val="36"/>
          <w:szCs w:val="36"/>
        </w:rPr>
        <w:t>202</w:t>
      </w:r>
      <w:r>
        <w:rPr>
          <w:rFonts w:hint="eastAsia" w:ascii="Times New Roman" w:hAnsi="Times New Roman" w:eastAsia="方正小标宋简体" w:cs="Times New Roman"/>
          <w:color w:val="auto"/>
          <w:sz w:val="36"/>
          <w:szCs w:val="36"/>
          <w:lang w:val="en-US" w:eastAsia="zh-CN"/>
        </w:rPr>
        <w:t>4</w:t>
      </w:r>
      <w:r>
        <w:rPr>
          <w:rFonts w:hint="eastAsia" w:ascii="Times New Roman" w:hAnsi="Times New Roman" w:eastAsia="方正小标宋简体" w:cs="Times New Roman"/>
          <w:color w:val="auto"/>
          <w:sz w:val="36"/>
          <w:szCs w:val="36"/>
        </w:rPr>
        <w:t>年高素质农民培育工作任务计划一览表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4488"/>
        <w:gridCol w:w="1804"/>
      </w:tblGrid>
      <w:tr w14:paraId="7CFC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222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BE7AAC">
            <w:pPr>
              <w:pStyle w:val="16"/>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p>
          <w:p w14:paraId="4B61D2D0">
            <w:pPr>
              <w:pStyle w:val="16"/>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p>
          <w:p w14:paraId="0A65698A">
            <w:pPr>
              <w:pStyle w:val="16"/>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p>
          <w:p w14:paraId="034054AA">
            <w:pPr>
              <w:pStyle w:val="16"/>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baseline"/>
              <mc:AlternateContent>
                <mc:Choice Requires="wpsCustomData">
                  <wpsCustomData:diagonalParaType/>
                </mc:Choice>
              </mc:AlternateContent>
              <w:rPr>
                <w:rFonts w:hint="eastAsia" w:ascii="方正黑体_GBK" w:hAnsi="方正黑体_GBK" w:eastAsia="方正黑体_GBK" w:cs="方正黑体_GBK"/>
                <w:color w:val="auto"/>
                <w:sz w:val="24"/>
                <w:szCs w:val="24"/>
                <w:vertAlign w:val="baseline"/>
                <w:lang w:eastAsia="zh-CN"/>
              </w:rPr>
            </w:pPr>
            <w:r>
              <w:rPr>
                <w:rFonts w:hint="eastAsia" w:ascii="方正黑体_GBK" w:hAnsi="方正黑体_GBK" w:eastAsia="方正黑体_GBK" w:cs="方正黑体_GBK"/>
                <w:color w:val="auto"/>
                <w:sz w:val="24"/>
                <w:szCs w:val="24"/>
                <w:vertAlign w:val="baseline"/>
                <w:lang w:eastAsia="zh-CN"/>
              </w:rPr>
              <w:t>乡</w:t>
            </w:r>
            <w:r>
              <w:rPr>
                <w:rFonts w:hint="eastAsia" w:ascii="方正黑体_GBK" w:hAnsi="方正黑体_GBK" w:eastAsia="方正黑体_GBK" w:cs="方正黑体_GBK"/>
                <w:color w:val="auto"/>
                <w:sz w:val="24"/>
                <w:szCs w:val="24"/>
                <w:vertAlign w:val="baseline"/>
                <w:lang w:val="en-US" w:eastAsia="zh-CN"/>
              </w:rPr>
              <w:t xml:space="preserve"> </w:t>
            </w:r>
            <w:r>
              <w:rPr>
                <w:rFonts w:hint="eastAsia" w:ascii="方正黑体_GBK" w:hAnsi="方正黑体_GBK" w:eastAsia="方正黑体_GBK" w:cs="方正黑体_GBK"/>
                <w:color w:val="auto"/>
                <w:sz w:val="24"/>
                <w:szCs w:val="24"/>
                <w:vertAlign w:val="baseline"/>
                <w:lang w:eastAsia="zh-CN"/>
              </w:rPr>
              <w:t>镇</w:t>
            </w:r>
          </w:p>
          <w:p w14:paraId="3D593E90">
            <w:pPr>
              <w:pStyle w:val="16"/>
              <w:keepNext w:val="0"/>
              <w:keepLines w:val="0"/>
              <w:pageBreakBefore w:val="0"/>
              <w:widowControl w:val="0"/>
              <w:kinsoku/>
              <w:wordWrap/>
              <w:overflowPunct/>
              <w:topLinePunct w:val="0"/>
              <w:autoSpaceDE/>
              <w:autoSpaceDN/>
              <w:bidi w:val="0"/>
              <w:adjustRightInd/>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p>
          <w:p w14:paraId="5CA891BB">
            <w:pPr>
              <w:pStyle w:val="16"/>
              <w:keepNext w:val="0"/>
              <w:keepLines w:val="0"/>
              <w:pageBreakBefore w:val="0"/>
              <w:widowControl w:val="0"/>
              <w:kinsoku/>
              <w:wordWrap/>
              <w:overflowPunct/>
              <w:topLinePunct w:val="0"/>
              <w:autoSpaceDE/>
              <w:autoSpaceDN/>
              <w:bidi w:val="0"/>
              <w:adjustRightInd/>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r>
              <w:rPr>
                <w:rFonts w:hint="eastAsia" w:ascii="方正黑体_GBK" w:hAnsi="方正黑体_GBK" w:eastAsia="方正黑体_GBK" w:cs="方正黑体_GBK"/>
                <w:color w:val="auto"/>
                <w:sz w:val="24"/>
                <w:szCs w:val="24"/>
                <w:vertAlign w:val="baseline"/>
                <w:lang w:eastAsia="zh-CN"/>
              </w:rPr>
              <w:t>培育类型</w:t>
            </w:r>
          </w:p>
        </w:tc>
        <w:tc>
          <w:tcPr>
            <w:tcW w:w="4488" w:type="dxa"/>
            <w:vAlign w:val="center"/>
          </w:tcPr>
          <w:p w14:paraId="4EBB0DCA">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新型农业经营和服务主体带头人</w:t>
            </w:r>
          </w:p>
          <w:p w14:paraId="4981E8C6">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eastAsia" w:ascii="方正黑体_GBK" w:hAnsi="方正黑体_GBK" w:eastAsia="方正黑体_GBK" w:cs="方正黑体_GBK"/>
                <w:color w:val="auto"/>
                <w:sz w:val="24"/>
                <w:szCs w:val="24"/>
                <w:vertAlign w:val="baseline"/>
                <w:lang w:eastAsia="zh-CN"/>
              </w:rPr>
            </w:pPr>
          </w:p>
        </w:tc>
        <w:tc>
          <w:tcPr>
            <w:tcW w:w="1804" w:type="dxa"/>
            <w:vAlign w:val="center"/>
          </w:tcPr>
          <w:p w14:paraId="5A2F1709">
            <w:pPr>
              <w:pStyle w:val="16"/>
              <w:ind w:left="0" w:leftChars="0" w:firstLine="0" w:firstLineChars="0"/>
              <w:jc w:val="center"/>
              <w:rPr>
                <w:rFonts w:hint="eastAsia" w:ascii="方正黑体_GBK" w:hAnsi="方正黑体_GBK" w:eastAsia="方正黑体_GBK" w:cs="方正黑体_GBK"/>
                <w:color w:val="auto"/>
                <w:sz w:val="24"/>
                <w:szCs w:val="24"/>
                <w:vertAlign w:val="baseline"/>
                <w:lang w:eastAsia="zh-CN"/>
              </w:rPr>
            </w:pPr>
            <w:r>
              <w:rPr>
                <w:rFonts w:hint="eastAsia" w:ascii="方正黑体_GBK" w:hAnsi="方正黑体_GBK" w:eastAsia="方正黑体_GBK" w:cs="方正黑体_GBK"/>
                <w:color w:val="auto"/>
                <w:sz w:val="24"/>
                <w:szCs w:val="24"/>
                <w:vertAlign w:val="baseline"/>
                <w:lang w:eastAsia="zh-CN"/>
              </w:rPr>
              <w:t>备注</w:t>
            </w:r>
          </w:p>
        </w:tc>
      </w:tr>
      <w:tr w14:paraId="1520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3665CD44">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华文宋体" w:hAnsi="华文宋体" w:eastAsia="华文宋体" w:cs="华文宋体"/>
                <w:color w:val="auto"/>
                <w:sz w:val="24"/>
                <w:szCs w:val="24"/>
                <w:vertAlign w:val="baseline"/>
                <w:lang w:val="en-US" w:eastAsia="zh-CN"/>
              </w:rPr>
            </w:pPr>
            <w:r>
              <w:rPr>
                <w:rFonts w:hint="eastAsia" w:ascii="华文宋体" w:hAnsi="华文宋体" w:eastAsia="华文宋体" w:cs="华文宋体"/>
                <w:b/>
                <w:bCs/>
                <w:color w:val="auto"/>
                <w:sz w:val="24"/>
                <w:szCs w:val="24"/>
                <w:vertAlign w:val="baseline"/>
                <w:lang w:val="en-US" w:eastAsia="zh-CN"/>
              </w:rPr>
              <w:t>区本级</w:t>
            </w:r>
          </w:p>
        </w:tc>
        <w:tc>
          <w:tcPr>
            <w:tcW w:w="4488" w:type="dxa"/>
            <w:vAlign w:val="center"/>
          </w:tcPr>
          <w:p w14:paraId="42E63218">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eastAsia="仿宋_GB2312" w:cs="Times New Roman"/>
                <w:color w:val="auto"/>
                <w:sz w:val="24"/>
                <w:szCs w:val="24"/>
                <w:vertAlign w:val="baseline"/>
                <w:lang w:val="en-US" w:eastAsia="zh-CN"/>
              </w:rPr>
            </w:pPr>
            <w:r>
              <w:rPr>
                <w:rFonts w:hint="eastAsia" w:ascii="Times New Roman" w:cs="Times New Roman"/>
                <w:b/>
                <w:bCs/>
                <w:color w:val="auto"/>
                <w:sz w:val="24"/>
                <w:szCs w:val="24"/>
                <w:vertAlign w:val="baseline"/>
                <w:lang w:val="en-US" w:eastAsia="zh-CN"/>
              </w:rPr>
              <w:t>45</w:t>
            </w:r>
          </w:p>
        </w:tc>
        <w:tc>
          <w:tcPr>
            <w:tcW w:w="1804" w:type="dxa"/>
            <w:vAlign w:val="center"/>
          </w:tcPr>
          <w:p w14:paraId="5582D234">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r w14:paraId="7308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06D7CF71">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华文宋体" w:hAnsi="华文宋体" w:eastAsia="华文宋体" w:cs="华文宋体"/>
                <w:color w:val="auto"/>
                <w:sz w:val="24"/>
                <w:szCs w:val="24"/>
                <w:vertAlign w:val="baseline"/>
                <w:lang w:eastAsia="zh-CN"/>
              </w:rPr>
            </w:pPr>
            <w:r>
              <w:rPr>
                <w:rFonts w:hint="eastAsia" w:ascii="华文宋体" w:hAnsi="华文宋体" w:eastAsia="华文宋体" w:cs="华文宋体"/>
                <w:color w:val="auto"/>
                <w:sz w:val="24"/>
                <w:szCs w:val="24"/>
                <w:vertAlign w:val="baseline"/>
                <w:lang w:eastAsia="zh-CN"/>
              </w:rPr>
              <w:t>其中：大块镇</w:t>
            </w:r>
          </w:p>
        </w:tc>
        <w:tc>
          <w:tcPr>
            <w:tcW w:w="4488" w:type="dxa"/>
            <w:vAlign w:val="center"/>
          </w:tcPr>
          <w:p w14:paraId="7ECD121E">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eastAsia="仿宋_GB2312" w:cs="Times New Roman"/>
                <w:color w:val="auto"/>
                <w:sz w:val="24"/>
                <w:szCs w:val="24"/>
                <w:vertAlign w:val="baseline"/>
                <w:lang w:val="en-US" w:eastAsia="zh-CN"/>
              </w:rPr>
            </w:pPr>
            <w:r>
              <w:rPr>
                <w:rFonts w:hint="eastAsia" w:ascii="Times New Roman" w:cs="Times New Roman"/>
                <w:color w:val="auto"/>
                <w:sz w:val="24"/>
                <w:szCs w:val="24"/>
                <w:vertAlign w:val="baseline"/>
                <w:lang w:val="en-US" w:eastAsia="zh-CN"/>
              </w:rPr>
              <w:t>15</w:t>
            </w:r>
          </w:p>
        </w:tc>
        <w:tc>
          <w:tcPr>
            <w:tcW w:w="1804" w:type="dxa"/>
            <w:vAlign w:val="center"/>
          </w:tcPr>
          <w:p w14:paraId="0DCC7EF9">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r w14:paraId="317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44256C79">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720" w:firstLineChars="300"/>
              <w:textAlignment w:val="baseline"/>
              <w:rPr>
                <w:rFonts w:hint="eastAsia" w:ascii="华文宋体" w:hAnsi="华文宋体" w:eastAsia="华文宋体" w:cs="华文宋体"/>
                <w:color w:val="auto"/>
                <w:sz w:val="24"/>
                <w:szCs w:val="24"/>
                <w:vertAlign w:val="baseline"/>
                <w:lang w:eastAsia="zh-CN"/>
              </w:rPr>
            </w:pPr>
            <w:r>
              <w:rPr>
                <w:rFonts w:hint="eastAsia" w:ascii="华文宋体" w:hAnsi="华文宋体" w:eastAsia="华文宋体" w:cs="华文宋体"/>
                <w:color w:val="auto"/>
                <w:sz w:val="24"/>
                <w:szCs w:val="24"/>
                <w:vertAlign w:val="baseline"/>
                <w:lang w:eastAsia="zh-CN"/>
              </w:rPr>
              <w:t>耿黄镇</w:t>
            </w:r>
          </w:p>
        </w:tc>
        <w:tc>
          <w:tcPr>
            <w:tcW w:w="4488" w:type="dxa"/>
            <w:vAlign w:val="center"/>
          </w:tcPr>
          <w:p w14:paraId="682FF209">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eastAsia="仿宋_GB2312" w:cs="Times New Roman"/>
                <w:color w:val="auto"/>
                <w:sz w:val="24"/>
                <w:szCs w:val="24"/>
                <w:vertAlign w:val="baseline"/>
                <w:lang w:val="en-US" w:eastAsia="zh-CN"/>
              </w:rPr>
            </w:pPr>
            <w:r>
              <w:rPr>
                <w:rFonts w:hint="eastAsia" w:ascii="Times New Roman" w:cs="Times New Roman"/>
                <w:color w:val="auto"/>
                <w:sz w:val="24"/>
                <w:szCs w:val="24"/>
                <w:vertAlign w:val="baseline"/>
                <w:lang w:val="en-US" w:eastAsia="zh-CN"/>
              </w:rPr>
              <w:t>15</w:t>
            </w:r>
          </w:p>
        </w:tc>
        <w:tc>
          <w:tcPr>
            <w:tcW w:w="1804" w:type="dxa"/>
            <w:vAlign w:val="center"/>
          </w:tcPr>
          <w:p w14:paraId="66F229E8">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r w14:paraId="200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6A736275">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720" w:firstLineChars="300"/>
              <w:textAlignment w:val="baseline"/>
              <w:rPr>
                <w:rFonts w:hint="eastAsia" w:ascii="华文宋体" w:hAnsi="华文宋体" w:eastAsia="华文宋体" w:cs="华文宋体"/>
                <w:color w:val="auto"/>
                <w:sz w:val="24"/>
                <w:szCs w:val="24"/>
                <w:vertAlign w:val="baseline"/>
                <w:lang w:eastAsia="zh-CN"/>
              </w:rPr>
            </w:pPr>
            <w:r>
              <w:rPr>
                <w:rFonts w:hint="eastAsia" w:ascii="华文宋体" w:hAnsi="华文宋体" w:eastAsia="华文宋体" w:cs="华文宋体"/>
                <w:color w:val="auto"/>
                <w:sz w:val="24"/>
                <w:szCs w:val="24"/>
                <w:vertAlign w:val="baseline"/>
                <w:lang w:eastAsia="zh-CN"/>
              </w:rPr>
              <w:t>潞王坟乡</w:t>
            </w:r>
          </w:p>
        </w:tc>
        <w:tc>
          <w:tcPr>
            <w:tcW w:w="4488" w:type="dxa"/>
            <w:vAlign w:val="center"/>
          </w:tcPr>
          <w:p w14:paraId="7D7E3894">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eastAsia="仿宋_GB2312" w:cs="Times New Roman"/>
                <w:color w:val="auto"/>
                <w:sz w:val="24"/>
                <w:szCs w:val="24"/>
                <w:vertAlign w:val="baseline"/>
                <w:lang w:val="en-US" w:eastAsia="zh-CN"/>
              </w:rPr>
            </w:pPr>
            <w:r>
              <w:rPr>
                <w:rFonts w:hint="eastAsia" w:ascii="Times New Roman" w:cs="Times New Roman"/>
                <w:color w:val="auto"/>
                <w:sz w:val="24"/>
                <w:szCs w:val="24"/>
                <w:vertAlign w:val="baseline"/>
                <w:lang w:val="en-US" w:eastAsia="zh-CN"/>
              </w:rPr>
              <w:t>15</w:t>
            </w:r>
          </w:p>
        </w:tc>
        <w:tc>
          <w:tcPr>
            <w:tcW w:w="1804" w:type="dxa"/>
            <w:vAlign w:val="center"/>
          </w:tcPr>
          <w:p w14:paraId="5557B281">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r w14:paraId="26E3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615FC7F1">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华文宋体" w:hAnsi="华文宋体" w:eastAsia="华文宋体" w:cs="华文宋体"/>
                <w:color w:val="auto"/>
                <w:sz w:val="24"/>
                <w:szCs w:val="24"/>
                <w:vertAlign w:val="baseline"/>
                <w:lang w:eastAsia="zh-CN"/>
              </w:rPr>
            </w:pPr>
          </w:p>
        </w:tc>
        <w:tc>
          <w:tcPr>
            <w:tcW w:w="4488" w:type="dxa"/>
            <w:vAlign w:val="center"/>
          </w:tcPr>
          <w:p w14:paraId="5760B5CD">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eastAsia="仿宋_GB2312" w:cs="Times New Roman"/>
                <w:color w:val="auto"/>
                <w:sz w:val="24"/>
                <w:szCs w:val="24"/>
                <w:vertAlign w:val="baseline"/>
                <w:lang w:val="en-US" w:eastAsia="zh-CN"/>
              </w:rPr>
            </w:pPr>
          </w:p>
        </w:tc>
        <w:tc>
          <w:tcPr>
            <w:tcW w:w="1804" w:type="dxa"/>
            <w:vAlign w:val="center"/>
          </w:tcPr>
          <w:p w14:paraId="2B4AE3E5">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r w14:paraId="5D18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9" w:type="dxa"/>
            <w:vAlign w:val="center"/>
          </w:tcPr>
          <w:p w14:paraId="58D153AC">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eastAsia" w:ascii="华文宋体" w:hAnsi="华文宋体" w:eastAsia="华文宋体" w:cs="华文宋体"/>
                <w:b/>
                <w:bCs/>
                <w:color w:val="auto"/>
                <w:sz w:val="24"/>
                <w:szCs w:val="24"/>
                <w:vertAlign w:val="baseline"/>
                <w:lang w:eastAsia="zh-CN"/>
              </w:rPr>
            </w:pPr>
            <w:r>
              <w:rPr>
                <w:rFonts w:hint="eastAsia" w:ascii="华文宋体" w:hAnsi="华文宋体" w:eastAsia="华文宋体" w:cs="华文宋体"/>
                <w:b/>
                <w:bCs/>
                <w:color w:val="auto"/>
                <w:sz w:val="24"/>
                <w:szCs w:val="24"/>
                <w:vertAlign w:val="baseline"/>
                <w:lang w:eastAsia="zh-CN"/>
              </w:rPr>
              <w:t>合计：</w:t>
            </w:r>
          </w:p>
        </w:tc>
        <w:tc>
          <w:tcPr>
            <w:tcW w:w="4488" w:type="dxa"/>
            <w:vAlign w:val="center"/>
          </w:tcPr>
          <w:p w14:paraId="3F1A2925">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baseline"/>
              <w:rPr>
                <w:rFonts w:hint="default" w:ascii="Times New Roman" w:hAnsi="Times New Roman" w:cs="Times New Roman"/>
                <w:b/>
                <w:bCs/>
                <w:color w:val="auto"/>
                <w:sz w:val="24"/>
                <w:szCs w:val="24"/>
                <w:vertAlign w:val="baseline"/>
                <w:lang w:val="en-US" w:eastAsia="zh-CN"/>
              </w:rPr>
            </w:pPr>
            <w:r>
              <w:rPr>
                <w:rFonts w:hint="eastAsia" w:ascii="Times New Roman" w:cs="Times New Roman"/>
                <w:b/>
                <w:bCs/>
                <w:color w:val="auto"/>
                <w:sz w:val="24"/>
                <w:szCs w:val="24"/>
                <w:vertAlign w:val="baseline"/>
                <w:lang w:val="en-US" w:eastAsia="zh-CN"/>
              </w:rPr>
              <w:t>45</w:t>
            </w:r>
          </w:p>
        </w:tc>
        <w:tc>
          <w:tcPr>
            <w:tcW w:w="1804" w:type="dxa"/>
            <w:vAlign w:val="center"/>
          </w:tcPr>
          <w:p w14:paraId="059D7BAF">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baseline"/>
              <w:rPr>
                <w:rFonts w:hint="eastAsia" w:ascii="仿宋_GB2312" w:hAnsi="仿宋_GB2312" w:eastAsia="仿宋_GB2312" w:cs="仿宋_GB2312"/>
                <w:color w:val="auto"/>
                <w:sz w:val="24"/>
                <w:szCs w:val="24"/>
                <w:vertAlign w:val="baseline"/>
                <w:lang w:eastAsia="zh-CN"/>
              </w:rPr>
            </w:pPr>
          </w:p>
        </w:tc>
      </w:tr>
    </w:tbl>
    <w:p w14:paraId="12AA2EDE">
      <w:pPr>
        <w:pStyle w:val="16"/>
        <w:rPr>
          <w:rFonts w:hint="eastAsia" w:ascii="Times New Roman" w:hAnsi="Times New Roman" w:eastAsia="方正小标宋简体" w:cs="Times New Roman"/>
          <w:color w:val="auto"/>
          <w:sz w:val="36"/>
          <w:szCs w:val="36"/>
          <w:lang w:eastAsia="zh-CN"/>
        </w:rPr>
      </w:pPr>
    </w:p>
    <w:p w14:paraId="6DB625B4">
      <w:pPr>
        <w:pStyle w:val="16"/>
        <w:rPr>
          <w:rFonts w:hint="eastAsia" w:ascii="Times New Roman" w:hAnsi="Times New Roman" w:eastAsia="方正小标宋简体" w:cs="Times New Roman"/>
          <w:color w:val="auto"/>
          <w:sz w:val="36"/>
          <w:szCs w:val="36"/>
          <w:lang w:eastAsia="zh-CN"/>
        </w:rPr>
      </w:pPr>
    </w:p>
    <w:p w14:paraId="7439659B">
      <w:pPr>
        <w:pStyle w:val="16"/>
        <w:rPr>
          <w:rFonts w:hint="eastAsia" w:ascii="Times New Roman" w:hAnsi="Times New Roman" w:eastAsia="方正小标宋简体" w:cs="Times New Roman"/>
          <w:color w:val="auto"/>
          <w:sz w:val="36"/>
          <w:szCs w:val="36"/>
          <w:lang w:eastAsia="zh-CN"/>
        </w:rPr>
      </w:pPr>
    </w:p>
    <w:p w14:paraId="1ED7E52D">
      <w:pPr>
        <w:pStyle w:val="16"/>
        <w:rPr>
          <w:rFonts w:hint="eastAsia" w:ascii="Times New Roman" w:hAnsi="Times New Roman" w:eastAsia="方正小标宋简体" w:cs="Times New Roman"/>
          <w:color w:val="auto"/>
          <w:sz w:val="36"/>
          <w:szCs w:val="36"/>
          <w:lang w:eastAsia="zh-CN"/>
        </w:rPr>
      </w:pPr>
    </w:p>
    <w:p w14:paraId="0206AD4B">
      <w:pPr>
        <w:pStyle w:val="16"/>
        <w:rPr>
          <w:rFonts w:hint="eastAsia" w:ascii="Times New Roman" w:hAnsi="Times New Roman" w:eastAsia="方正小标宋简体" w:cs="Times New Roman"/>
          <w:color w:val="auto"/>
          <w:sz w:val="36"/>
          <w:szCs w:val="36"/>
          <w:lang w:eastAsia="zh-CN"/>
        </w:rPr>
      </w:pPr>
    </w:p>
    <w:p w14:paraId="0A3D7B8B">
      <w:pPr>
        <w:pStyle w:val="16"/>
        <w:rPr>
          <w:rFonts w:hint="eastAsia" w:ascii="Times New Roman" w:hAnsi="Times New Roman" w:eastAsia="方正小标宋简体" w:cs="Times New Roman"/>
          <w:color w:val="auto"/>
          <w:sz w:val="36"/>
          <w:szCs w:val="36"/>
          <w:lang w:eastAsia="zh-CN"/>
        </w:rPr>
      </w:pPr>
    </w:p>
    <w:p w14:paraId="47728853">
      <w:pPr>
        <w:pStyle w:val="16"/>
        <w:rPr>
          <w:rFonts w:hint="eastAsia" w:ascii="Times New Roman" w:hAnsi="Times New Roman" w:eastAsia="方正小标宋简体" w:cs="Times New Roman"/>
          <w:color w:val="auto"/>
          <w:sz w:val="36"/>
          <w:szCs w:val="36"/>
          <w:lang w:eastAsia="zh-CN"/>
        </w:rPr>
      </w:pPr>
    </w:p>
    <w:p w14:paraId="6908D342">
      <w:pPr>
        <w:pStyle w:val="16"/>
        <w:rPr>
          <w:rFonts w:hint="eastAsia" w:ascii="Times New Roman" w:hAnsi="Times New Roman" w:eastAsia="方正小标宋简体" w:cs="Times New Roman"/>
          <w:color w:val="auto"/>
          <w:sz w:val="36"/>
          <w:szCs w:val="36"/>
          <w:lang w:eastAsia="zh-CN"/>
        </w:rPr>
      </w:pPr>
    </w:p>
    <w:p w14:paraId="52904C73">
      <w:pPr>
        <w:pStyle w:val="16"/>
        <w:rPr>
          <w:rFonts w:hint="eastAsia" w:ascii="Times New Roman" w:hAnsi="Times New Roman" w:eastAsia="方正小标宋简体" w:cs="Times New Roman"/>
          <w:color w:val="auto"/>
          <w:sz w:val="36"/>
          <w:szCs w:val="36"/>
          <w:lang w:eastAsia="zh-CN"/>
        </w:rPr>
      </w:pPr>
    </w:p>
    <w:p w14:paraId="7A7FDBF9">
      <w:pPr>
        <w:pStyle w:val="16"/>
        <w:rPr>
          <w:rFonts w:hint="eastAsia" w:ascii="Times New Roman" w:hAnsi="Times New Roman" w:eastAsia="方正小标宋简体" w:cs="Times New Roman"/>
          <w:color w:val="auto"/>
          <w:sz w:val="36"/>
          <w:szCs w:val="36"/>
          <w:lang w:eastAsia="zh-CN"/>
        </w:rPr>
      </w:pPr>
    </w:p>
    <w:p w14:paraId="31FEF370">
      <w:pPr>
        <w:pStyle w:val="16"/>
        <w:rPr>
          <w:rFonts w:hint="eastAsia" w:ascii="Times New Roman" w:hAnsi="Times New Roman" w:eastAsia="方正小标宋简体" w:cs="Times New Roman"/>
          <w:color w:val="auto"/>
          <w:sz w:val="36"/>
          <w:szCs w:val="36"/>
          <w:lang w:eastAsia="zh-CN"/>
        </w:rPr>
      </w:pPr>
    </w:p>
    <w:p w14:paraId="54EE4C5E">
      <w:pPr>
        <w:pStyle w:val="16"/>
        <w:rPr>
          <w:rFonts w:hint="eastAsia" w:ascii="Times New Roman" w:hAnsi="Times New Roman" w:eastAsia="方正小标宋简体" w:cs="Times New Roman"/>
          <w:color w:val="auto"/>
          <w:sz w:val="36"/>
          <w:szCs w:val="36"/>
          <w:lang w:eastAsia="zh-CN"/>
        </w:rPr>
      </w:pPr>
    </w:p>
    <w:p w14:paraId="0F16FE12">
      <w:pPr>
        <w:pStyle w:val="16"/>
        <w:rPr>
          <w:rFonts w:hint="eastAsia" w:ascii="Times New Roman" w:hAnsi="Times New Roman" w:eastAsia="方正小标宋简体" w:cs="Times New Roman"/>
          <w:color w:val="auto"/>
          <w:sz w:val="36"/>
          <w:szCs w:val="36"/>
          <w:lang w:eastAsia="zh-CN"/>
        </w:rPr>
      </w:pPr>
    </w:p>
    <w:p w14:paraId="5CA98CEB">
      <w:pPr>
        <w:pStyle w:val="16"/>
        <w:rPr>
          <w:rFonts w:hint="eastAsia" w:ascii="Times New Roman" w:hAnsi="Times New Roman" w:eastAsia="方正小标宋简体" w:cs="Times New Roman"/>
          <w:color w:val="auto"/>
          <w:sz w:val="36"/>
          <w:szCs w:val="36"/>
          <w:lang w:eastAsia="zh-CN"/>
        </w:rPr>
      </w:pPr>
    </w:p>
    <w:p w14:paraId="0F2E1666">
      <w:pPr>
        <w:pStyle w:val="16"/>
        <w:rPr>
          <w:rFonts w:hint="eastAsia" w:ascii="Times New Roman" w:hAnsi="Times New Roman" w:eastAsia="方正小标宋简体" w:cs="Times New Roman"/>
          <w:color w:val="auto"/>
          <w:sz w:val="36"/>
          <w:szCs w:val="36"/>
          <w:lang w:eastAsia="zh-CN"/>
        </w:rPr>
      </w:pPr>
    </w:p>
    <w:p w14:paraId="0E1F7C95">
      <w:pPr>
        <w:pStyle w:val="16"/>
        <w:rPr>
          <w:rFonts w:hint="eastAsia" w:ascii="Times New Roman" w:hAnsi="Times New Roman" w:eastAsia="方正小标宋简体" w:cs="Times New Roman"/>
          <w:color w:val="auto"/>
          <w:sz w:val="36"/>
          <w:szCs w:val="36"/>
          <w:lang w:eastAsia="zh-CN"/>
        </w:rPr>
      </w:pPr>
    </w:p>
    <w:p w14:paraId="5AF36E5E">
      <w:pPr>
        <w:pStyle w:val="16"/>
        <w:rPr>
          <w:rFonts w:hint="eastAsia" w:ascii="Times New Roman" w:hAnsi="Times New Roman" w:eastAsia="方正小标宋简体" w:cs="Times New Roman"/>
          <w:color w:val="auto"/>
          <w:sz w:val="36"/>
          <w:szCs w:val="36"/>
          <w:lang w:eastAsia="zh-CN"/>
        </w:rPr>
      </w:pPr>
    </w:p>
    <w:p w14:paraId="2A908D5F">
      <w:pPr>
        <w:pStyle w:val="16"/>
        <w:rPr>
          <w:rFonts w:hint="eastAsia" w:ascii="Times New Roman" w:hAnsi="Times New Roman" w:eastAsia="方正小标宋简体" w:cs="Times New Roman"/>
          <w:color w:val="auto"/>
          <w:sz w:val="36"/>
          <w:szCs w:val="36"/>
          <w:lang w:eastAsia="zh-CN"/>
        </w:rPr>
      </w:pPr>
    </w:p>
    <w:p w14:paraId="66ABB53D">
      <w:pPr>
        <w:pStyle w:val="16"/>
        <w:rPr>
          <w:rFonts w:hint="eastAsia" w:ascii="Times New Roman" w:hAnsi="Times New Roman" w:eastAsia="方正小标宋简体" w:cs="Times New Roman"/>
          <w:color w:val="auto"/>
          <w:sz w:val="36"/>
          <w:szCs w:val="36"/>
          <w:lang w:eastAsia="zh-CN"/>
        </w:rPr>
      </w:pPr>
      <w:bookmarkStart w:id="0" w:name="_GoBack"/>
      <w:bookmarkEnd w:id="0"/>
    </w:p>
    <w:p w14:paraId="6A4A7CBF">
      <w:pPr>
        <w:pStyle w:val="16"/>
        <w:rPr>
          <w:rFonts w:hint="eastAsia" w:ascii="Times New Roman" w:hAnsi="Times New Roman" w:eastAsia="方正小标宋简体" w:cs="Times New Roman"/>
          <w:color w:val="auto"/>
          <w:sz w:val="36"/>
          <w:szCs w:val="36"/>
          <w:lang w:eastAsia="zh-CN"/>
        </w:rPr>
      </w:pPr>
    </w:p>
    <w:p w14:paraId="036C5CEA">
      <w:pPr>
        <w:pStyle w:val="16"/>
        <w:rPr>
          <w:rFonts w:hint="eastAsia" w:ascii="Times New Roman" w:hAnsi="Times New Roman" w:eastAsia="方正小标宋简体" w:cs="Times New Roman"/>
          <w:color w:val="auto"/>
          <w:sz w:val="36"/>
          <w:szCs w:val="36"/>
          <w:lang w:eastAsia="zh-CN"/>
        </w:rPr>
      </w:pPr>
    </w:p>
    <w:p w14:paraId="18BA5432">
      <w:pPr>
        <w:pStyle w:val="16"/>
        <w:rPr>
          <w:rFonts w:hint="eastAsia" w:ascii="Times New Roman" w:hAnsi="Times New Roman" w:eastAsia="方正小标宋简体" w:cs="Times New Roman"/>
          <w:color w:val="auto"/>
          <w:sz w:val="36"/>
          <w:szCs w:val="36"/>
          <w:lang w:eastAsia="zh-CN"/>
        </w:rPr>
      </w:pPr>
    </w:p>
    <w:p w14:paraId="758C7E92">
      <w:pPr>
        <w:pStyle w:val="16"/>
        <w:rPr>
          <w:rFonts w:hint="eastAsia" w:ascii="Times New Roman" w:hAnsi="Times New Roman" w:eastAsia="方正小标宋简体" w:cs="Times New Roman"/>
          <w:color w:val="auto"/>
          <w:sz w:val="36"/>
          <w:szCs w:val="36"/>
          <w:lang w:eastAsia="zh-CN"/>
        </w:rPr>
      </w:pPr>
    </w:p>
    <w:p w14:paraId="765EC8A1">
      <w:pPr>
        <w:jc w:val="center"/>
        <w:rPr>
          <w:rFonts w:hint="eastAsia" w:ascii="Times New Roman" w:hAnsi="Times New Roman" w:eastAsia="方正小标宋简体" w:cs="Times New Roman"/>
          <w:color w:val="auto"/>
          <w:sz w:val="36"/>
          <w:szCs w:val="36"/>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358140</wp:posOffset>
                </wp:positionV>
                <wp:extent cx="56959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95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5pt;margin-top:28.2pt;height:0.05pt;width:448.5pt;z-index:251660288;mso-width-relative:page;mso-height-relative:page;" filled="f" stroked="t" coordsize="21600,21600" o:gfxdata="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IhATNgAAAAIAQAADwAAAAAAAAABACAAAAAiAAAAZHJzL2Rvd25yZXYueG1sUEsB&#10;AhQAFAAAAAgAh07iQOczAcP1AQAA5gMAAA4AAAAAAAAAAQAgAAAAJ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15240</wp:posOffset>
                </wp:positionV>
                <wp:extent cx="56959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95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pt;margin-top:1.2pt;height:0.05pt;width:448.5pt;z-index:251661312;mso-width-relative:page;mso-height-relative:page;" filled="f" stroked="t" coordsize="21600,21600" o:gfxdata="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8F6lF1AAAAAYBAAAPAAAAAAAAAAEAIAAAACIAAABkcnMvZG93bnJldi54bWxQSwEC&#10;FAAUAAAACACHTuJAvQh3QPgBAADmAwAADgAAAAAAAAABACAAAAAj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28"/>
          <w:szCs w:val="28"/>
          <w:lang w:eastAsia="zh-CN"/>
        </w:rPr>
        <w:t>凤泉区</w:t>
      </w:r>
      <w:r>
        <w:rPr>
          <w:rFonts w:hint="default" w:ascii="Times New Roman" w:hAnsi="Times New Roman" w:eastAsia="仿宋_GB2312" w:cs="Times New Roman"/>
          <w:sz w:val="28"/>
          <w:szCs w:val="28"/>
        </w:rPr>
        <w:t xml:space="preserve">农业农村局办公室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F0B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6A2BB">
                          <w:pPr>
                            <w:pStyle w:val="8"/>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6A2BB">
                    <w:pPr>
                      <w:pStyle w:val="8"/>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792E5"/>
    <w:multiLevelType w:val="multilevel"/>
    <w:tmpl w:val="DF3792E5"/>
    <w:lvl w:ilvl="0" w:tentative="0">
      <w:start w:val="1"/>
      <w:numFmt w:val="decimal"/>
      <w:suff w:val="space"/>
      <w:lvlText w:val="%1."/>
      <w:lvlJc w:val="left"/>
      <w:pPr>
        <w:tabs>
          <w:tab w:val="left" w:pos="420"/>
        </w:tabs>
        <w:ind w:left="432" w:hanging="432"/>
      </w:pPr>
      <w:rPr>
        <w:rFonts w:hint="default" w:ascii="宋体" w:hAnsi="宋体" w:eastAsia="宋体" w:cs="宋体"/>
      </w:rPr>
    </w:lvl>
    <w:lvl w:ilvl="1" w:tentative="0">
      <w:start w:val="1"/>
      <w:numFmt w:val="decimal"/>
      <w:suff w:val="space"/>
      <w:lvlText w:val="%1.%2."/>
      <w:lvlJc w:val="left"/>
      <w:pPr>
        <w:tabs>
          <w:tab w:val="left" w:pos="420"/>
        </w:tabs>
        <w:ind w:left="575" w:firstLine="2305"/>
      </w:pPr>
      <w:rPr>
        <w:rFonts w:hint="default" w:ascii="宋体" w:hAnsi="宋体" w:eastAsia="宋体" w:cs="宋体"/>
      </w:rPr>
    </w:lvl>
    <w:lvl w:ilvl="2" w:tentative="0">
      <w:start w:val="1"/>
      <w:numFmt w:val="decimal"/>
      <w:pStyle w:val="5"/>
      <w:suff w:val="space"/>
      <w:lvlText w:val="%1.%2.%3."/>
      <w:lvlJc w:val="left"/>
      <w:pPr>
        <w:tabs>
          <w:tab w:val="left" w:pos="420"/>
        </w:tabs>
        <w:ind w:left="720" w:hanging="68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N2I3Y2VjMDIxODEzNTY1YzQ3YjIxOTlkNDhiMGEifQ=="/>
  </w:docVars>
  <w:rsids>
    <w:rsidRoot w:val="008E50D2"/>
    <w:rsid w:val="008E50D2"/>
    <w:rsid w:val="00EF15FB"/>
    <w:rsid w:val="1FFB632C"/>
    <w:rsid w:val="27923006"/>
    <w:rsid w:val="3FBF2255"/>
    <w:rsid w:val="456F5803"/>
    <w:rsid w:val="490D344D"/>
    <w:rsid w:val="4B046818"/>
    <w:rsid w:val="56B45E9F"/>
    <w:rsid w:val="61B72CE8"/>
    <w:rsid w:val="64F1206D"/>
    <w:rsid w:val="6BEF61A4"/>
    <w:rsid w:val="76F9A4B6"/>
    <w:rsid w:val="79DFBB3D"/>
    <w:rsid w:val="7B7B4991"/>
    <w:rsid w:val="7D9F78A5"/>
    <w:rsid w:val="B7FFC0BB"/>
    <w:rsid w:val="B91E18FA"/>
    <w:rsid w:val="BABB59D9"/>
    <w:rsid w:val="BFDEE7CD"/>
    <w:rsid w:val="D7CC6271"/>
    <w:rsid w:val="E7D09390"/>
    <w:rsid w:val="EDE72AEC"/>
    <w:rsid w:val="EEF738F2"/>
    <w:rsid w:val="EFDC06E1"/>
    <w:rsid w:val="F3CD93E9"/>
    <w:rsid w:val="FBD544B3"/>
    <w:rsid w:val="FBF55177"/>
    <w:rsid w:val="FDDF7F13"/>
    <w:rsid w:val="FF6B220F"/>
    <w:rsid w:val="FFB88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0"/>
      <w:ind w:firstLine="420"/>
    </w:pPr>
    <w:rPr>
      <w:rFonts w:ascii="Times New Roman" w:hAnsi="Times New Roman" w:eastAsia="宋体" w:cs="Times New Roman"/>
      <w:sz w:val="32"/>
      <w:szCs w:val="24"/>
    </w:rPr>
  </w:style>
  <w:style w:type="paragraph" w:styleId="3">
    <w:name w:val="Body Text"/>
    <w:basedOn w:val="1"/>
    <w:next w:val="1"/>
    <w:qFormat/>
    <w:uiPriority w:val="0"/>
    <w:pPr>
      <w:widowControl w:val="0"/>
      <w:spacing w:after="120"/>
      <w:jc w:val="both"/>
    </w:pPr>
    <w:rPr>
      <w:rFonts w:ascii="Times New Roman" w:hAnsi="Times New Roman"/>
      <w:szCs w:val="24"/>
    </w:rPr>
  </w:style>
  <w:style w:type="paragraph" w:styleId="4">
    <w:name w:val="Body Text First Indent 2"/>
    <w:basedOn w:val="5"/>
    <w:next w:val="1"/>
    <w:qFormat/>
    <w:uiPriority w:val="99"/>
    <w:pPr>
      <w:tabs>
        <w:tab w:val="left" w:pos="420"/>
      </w:tabs>
      <w:ind w:firstLine="420" w:firstLineChars="200"/>
    </w:pPr>
    <w:rPr>
      <w:rFonts w:ascii="Calibri" w:hAnsi="Calibri" w:eastAsia="宋体" w:cs="Times New Roman"/>
      <w:szCs w:val="24"/>
    </w:rPr>
  </w:style>
  <w:style w:type="paragraph" w:styleId="5">
    <w:name w:val="Body Text Indent"/>
    <w:basedOn w:val="1"/>
    <w:next w:val="6"/>
    <w:qFormat/>
    <w:uiPriority w:val="0"/>
    <w:pPr>
      <w:numPr>
        <w:ilvl w:val="2"/>
        <w:numId w:val="1"/>
      </w:numPr>
      <w:spacing w:after="120"/>
      <w:ind w:left="420" w:leftChars="200"/>
    </w:pPr>
    <w:rPr>
      <w:szCs w:val="24"/>
    </w:rPr>
  </w:style>
  <w:style w:type="paragraph" w:styleId="6">
    <w:name w:val="envelope return"/>
    <w:basedOn w:val="1"/>
    <w:qFormat/>
    <w:uiPriority w:val="0"/>
    <w:pPr>
      <w:snapToGrid w:val="0"/>
    </w:pPr>
    <w:rPr>
      <w:rFonts w:ascii="Arial" w:hAnsi="Arial"/>
    </w:rPr>
  </w:style>
  <w:style w:type="paragraph" w:styleId="7">
    <w:name w:val="Block Text"/>
    <w:basedOn w:val="1"/>
    <w:qFormat/>
    <w:uiPriority w:val="99"/>
    <w:pPr>
      <w:spacing w:after="120"/>
      <w:ind w:left="1440" w:leftChars="700" w:right="1440" w:rightChars="700"/>
    </w:p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next w:val="3"/>
    <w:qFormat/>
    <w:uiPriority w:val="0"/>
    <w:pPr>
      <w:spacing w:after="120" w:line="480" w:lineRule="auto"/>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customStyle="1" w:styleId="16">
    <w:name w:val="BodyText1I2"/>
    <w:basedOn w:val="17"/>
    <w:qFormat/>
    <w:uiPriority w:val="99"/>
    <w:pPr>
      <w:tabs>
        <w:tab w:val="left" w:pos="3600"/>
      </w:tabs>
      <w:spacing w:after="120"/>
      <w:ind w:left="-359" w:leftChars="-171" w:firstLine="420" w:firstLineChars="200"/>
      <w:textAlignment w:val="baseline"/>
    </w:pPr>
    <w:rPr>
      <w:rFonts w:ascii="仿宋_GB2312" w:hAnsi="Times New Roman" w:eastAsia="仿宋_GB2312"/>
      <w:sz w:val="32"/>
      <w:szCs w:val="22"/>
    </w:rPr>
  </w:style>
  <w:style w:type="paragraph" w:customStyle="1" w:styleId="17">
    <w:name w:val="BodyTextIndent"/>
    <w:basedOn w:val="1"/>
    <w:qFormat/>
    <w:uiPriority w:val="0"/>
    <w:pPr>
      <w:spacing w:after="120" w:line="360" w:lineRule="auto"/>
      <w:ind w:left="420" w:leftChars="200" w:firstLine="378" w:firstLineChars="200"/>
      <w:jc w:val="left"/>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3026</Words>
  <Characters>3156</Characters>
  <Lines>50</Lines>
  <Paragraphs>14</Paragraphs>
  <TotalTime>86</TotalTime>
  <ScaleCrop>false</ScaleCrop>
  <LinksUpToDate>false</LinksUpToDate>
  <CharactersWithSpaces>3179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2024-06-21T07:47:00Z</dcterms:created>
  <dc:creator>嘉毅 刘</dc:creator>
  <cp:lastModifiedBy>雪原</cp:lastModifiedBy>
  <cp:lastPrinted>2024-07-09T09:51:18Z</cp:lastPrinted>
  <dcterms:modified xsi:type="dcterms:W3CDTF">2024-07-09T09:51:22Z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B1913DE7D9E3428FB118C6F93B342A4E_13</vt:lpwstr>
  </property>
</Properties>
</file>