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63B77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3E89E0C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3C470E3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A785ADC">
      <w:pPr>
        <w:spacing w:before="120" w:after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24862"/>
      <w:bookmarkStart w:id="1" w:name="_Toc56443217"/>
      <w:bookmarkStart w:id="2" w:name="_Toc56442937"/>
      <w:r>
        <w:rPr>
          <w:rFonts w:hint="eastAsia" w:ascii="仿宋_GB2312" w:hAnsi="Arial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0C6CFA13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010EE9B0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5AF3459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520553A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10F7790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88BF7D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7701070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14:paraId="4953255A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项目名称：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新乡市凤泉区应急物资储备及冷链物流保障基地项目</w:t>
      </w:r>
    </w:p>
    <w:p w14:paraId="5D98CDB4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项目单位：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新乡市凤泉区应急管理局</w:t>
      </w:r>
    </w:p>
    <w:p w14:paraId="193A5075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主管部门：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新乡市凤泉区应急管理局</w:t>
      </w:r>
    </w:p>
    <w:p w14:paraId="05EB72DA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2AA73256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087589EC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宋体" w:hAnsi="宋体" w:eastAsia="宋体" w:cs="宋体"/>
          <w:sz w:val="20"/>
          <w:u w:val="none"/>
        </w:rPr>
        <w:t>202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>4</w:t>
      </w:r>
      <w:r>
        <w:rPr>
          <w:rFonts w:ascii="宋体" w:hAnsi="宋体" w:eastAsia="宋体" w:cs="宋体"/>
          <w:sz w:val="20"/>
          <w:u w:val="none"/>
        </w:rPr>
        <w:t>年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>12</w:t>
      </w:r>
      <w:r>
        <w:rPr>
          <w:rFonts w:ascii="宋体" w:hAnsi="宋体" w:eastAsia="宋体" w:cs="宋体"/>
          <w:sz w:val="20"/>
          <w:u w:val="none"/>
        </w:rPr>
        <w:t>月</w:t>
      </w:r>
    </w:p>
    <w:p w14:paraId="271B8F16">
      <w:pPr>
        <w:pStyle w:val="24"/>
        <w:jc w:val="both"/>
      </w:pPr>
    </w:p>
    <w:p w14:paraId="665F0616">
      <w:pPr>
        <w:ind w:firstLine="0" w:firstLineChars="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8EE04FA">
      <w:pPr>
        <w:pStyle w:val="18"/>
      </w:pPr>
      <w:bookmarkStart w:id="3" w:name="_Toc20727"/>
      <w:bookmarkStart w:id="4" w:name="_Toc56442880"/>
      <w:bookmarkStart w:id="5" w:name="_Toc56442938"/>
      <w:r>
        <w:rPr>
          <w:rFonts w:hint="eastAsia"/>
        </w:rPr>
        <w:t>一、项目基本情况</w:t>
      </w:r>
      <w:bookmarkEnd w:id="3"/>
      <w:bookmarkEnd w:id="4"/>
      <w:bookmarkEnd w:id="5"/>
    </w:p>
    <w:p w14:paraId="7F082E10">
      <w:pPr>
        <w:pStyle w:val="22"/>
        <w:ind w:left="199" w:leftChars="71"/>
      </w:pPr>
      <w:bookmarkStart w:id="6" w:name="_Toc56442939"/>
      <w:bookmarkStart w:id="7" w:name="_Toc11153"/>
      <w:bookmarkStart w:id="8" w:name="_Toc56442881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4B71CD55">
      <w:pPr>
        <w:pStyle w:val="22"/>
        <w:spacing w:line="360" w:lineRule="auto"/>
        <w:ind w:left="199" w:leftChars="71" w:firstLine="560" w:firstLineChars="200"/>
        <w:rPr>
          <w:rFonts w:hint="eastAsia" w:ascii="仿宋" w:hAnsi="仿宋" w:eastAsia="仿宋" w:cs="仿宋"/>
          <w:b w:val="0"/>
          <w:bCs w:val="0"/>
        </w:rPr>
      </w:pPr>
      <w:bookmarkStart w:id="9" w:name="_Toc5633"/>
      <w:bookmarkStart w:id="10" w:name="_Toc56442882"/>
      <w:bookmarkStart w:id="11" w:name="_Toc56442940"/>
      <w:r>
        <w:rPr>
          <w:rFonts w:hint="eastAsia" w:ascii="仿宋" w:hAnsi="仿宋" w:eastAsia="仿宋" w:cs="仿宋"/>
          <w:b w:val="0"/>
          <w:bCs w:val="0"/>
        </w:rPr>
        <w:t>本项目规划建设用地面积约 35,000.00 ㎡（合 52.50 亩），总建筑面积约为 55,720.00 ㎡，地上建筑面积约为 54,420.00 ㎡。其中：1#综合楼5,600.00㎡，2#常温库21,500.00㎡（含应急物资储备库9,000.00㎡），3#冷库 13,800.00 ㎡，4#冷库 13,500.00 ㎡；地下一层人防地下室及设备用房 1,300.00 ㎡，门卫 20.00 ㎡。</w:t>
      </w:r>
    </w:p>
    <w:p w14:paraId="416D7207">
      <w:pPr>
        <w:pStyle w:val="22"/>
        <w:spacing w:line="360" w:lineRule="auto"/>
        <w:ind w:left="199" w:leftChars="71" w:firstLine="560" w:firstLineChars="200"/>
        <w:rPr>
          <w:rFonts w:hint="eastAsia" w:ascii="仿宋" w:hAnsi="仿宋" w:eastAsia="仿宋" w:cs="仿宋"/>
          <w:b w:val="0"/>
          <w:bCs w:val="0"/>
          <w:lang w:eastAsia="zh-CN"/>
        </w:rPr>
      </w:pPr>
      <w:r>
        <w:rPr>
          <w:rFonts w:hint="eastAsia" w:ascii="仿宋" w:hAnsi="仿宋" w:eastAsia="仿宋" w:cs="仿宋"/>
          <w:b w:val="0"/>
          <w:bCs w:val="0"/>
        </w:rPr>
        <w:t>本项目建设内容主要包括：（1）1 栋 4 层框架结构综合楼，1 栋</w:t>
      </w:r>
      <w:r>
        <w:rPr>
          <w:rFonts w:hint="eastAsia" w:ascii="仿宋" w:hAnsi="仿宋" w:eastAsia="仿宋" w:cs="仿宋"/>
          <w:b w:val="0"/>
          <w:bCs w:val="0"/>
          <w:lang w:eastAsia="zh-CN"/>
        </w:rPr>
        <w:t>4 层框架结构常温库，2 栋 3 层框架结构冷库，地下一层人防地下室及设备用房，以及门卫房。（2）变配电、给排水、消防、弱电、制冷机组等主要设备的购置；（3）项目区内室外道路、绿化、给水、排水、电力等配套基础设施的建设。</w:t>
      </w:r>
    </w:p>
    <w:p w14:paraId="0A7E9426">
      <w:pPr>
        <w:pStyle w:val="2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05E678C3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表1-2-1 年度预算安排及使用情况统计表</w:t>
      </w:r>
    </w:p>
    <w:p w14:paraId="057AB4B3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eastAsia="宋体" w:cs="宋体"/>
          <w:sz w:val="20"/>
          <w:u w:val="none"/>
        </w:rPr>
        <w:t xml:space="preserve">                                           单位：万元 </w:t>
      </w:r>
    </w:p>
    <w:tbl>
      <w:tblPr>
        <w:tblStyle w:val="8"/>
        <w:tblW w:w="46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640"/>
        <w:gridCol w:w="1639"/>
        <w:gridCol w:w="1821"/>
        <w:gridCol w:w="1602"/>
      </w:tblGrid>
      <w:tr w14:paraId="6F747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0BBAF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0276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4C6B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8CD0C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5C12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28D09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5B2D6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27F0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4100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1F7C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4100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</w:t>
            </w:r>
            <w:r>
              <w:rPr>
                <w:rFonts w:ascii="宋体" w:hAnsi="宋体" w:eastAsia="宋体" w:cs="宋体"/>
                <w:color w:val="FF0000"/>
                <w:sz w:val="20"/>
                <w:u w:val="none"/>
              </w:rPr>
              <w:t>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8DB1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2797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0　</w:t>
            </w:r>
          </w:p>
        </w:tc>
        <w:tc>
          <w:tcPr>
            <w:tcW w:w="10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A50B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68.22</w:t>
            </w:r>
            <w:r>
              <w:rPr>
                <w:rFonts w:ascii="宋体" w:hAnsi="宋体" w:eastAsia="宋体" w:cs="宋体"/>
                <w:sz w:val="20"/>
                <w:u w:val="none"/>
              </w:rPr>
              <w:t>%</w:t>
            </w:r>
          </w:p>
        </w:tc>
      </w:tr>
      <w:tr w14:paraId="525DB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A1A3B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11D6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4100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C059C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4100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</w:t>
            </w:r>
            <w:r>
              <w:rPr>
                <w:rFonts w:ascii="宋体" w:hAnsi="宋体" w:eastAsia="宋体" w:cs="宋体"/>
                <w:color w:val="FF0000"/>
                <w:sz w:val="20"/>
                <w:u w:val="none"/>
              </w:rPr>
              <w:t>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33EE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2797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0</w:t>
            </w:r>
          </w:p>
        </w:tc>
        <w:tc>
          <w:tcPr>
            <w:tcW w:w="10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5F1E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68.22</w:t>
            </w:r>
            <w:r>
              <w:rPr>
                <w:rFonts w:ascii="宋体" w:hAnsi="宋体" w:eastAsia="宋体" w:cs="宋体"/>
                <w:sz w:val="20"/>
                <w:u w:val="none"/>
              </w:rPr>
              <w:t>%</w:t>
            </w:r>
          </w:p>
        </w:tc>
      </w:tr>
      <w:tr w14:paraId="114EC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5F000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A6438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B4428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FB2C1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EDA7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0.00%</w:t>
            </w:r>
          </w:p>
        </w:tc>
      </w:tr>
      <w:tr w14:paraId="27BFD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66541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5CF4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A7A966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7BE8B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1CD60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0.00%</w:t>
            </w:r>
          </w:p>
        </w:tc>
      </w:tr>
    </w:tbl>
    <w:p w14:paraId="4B6AA0F8">
      <w:pPr>
        <w:pStyle w:val="2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>
        <w:rPr>
          <w:rFonts w:hint="eastAsia"/>
        </w:rPr>
        <w:t>资金管理情况表</w:t>
      </w:r>
    </w:p>
    <w:p w14:paraId="764233C2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表1-2-2 资金管理情况表</w:t>
      </w:r>
    </w:p>
    <w:tbl>
      <w:tblPr>
        <w:tblStyle w:val="8"/>
        <w:tblW w:w="8166" w:type="dxa"/>
        <w:tblInd w:w="-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3561"/>
        <w:gridCol w:w="3106"/>
      </w:tblGrid>
      <w:tr w14:paraId="01435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43B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64D5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34BB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842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DDE46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C601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科学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7CC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50F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B02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拨付合规性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77C0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合规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995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CC4C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97B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8015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规范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14E30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2E8B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4EA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894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良好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968F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66ECC32">
      <w:pPr>
        <w:pStyle w:val="22"/>
        <w:ind w:left="199" w:leftChars="71"/>
      </w:pPr>
      <w:r>
        <w:rPr>
          <w:rFonts w:hint="eastAsia"/>
        </w:rPr>
        <w:t>（四）项目绩效目标</w:t>
      </w:r>
    </w:p>
    <w:p w14:paraId="63E63D27">
      <w:pPr>
        <w:pStyle w:val="15"/>
        <w:ind w:leftChars="0"/>
      </w:pPr>
      <w:r>
        <w:rPr>
          <w:rFonts w:hint="eastAsia"/>
        </w:rPr>
        <w:t>1. 项目年度绩效目标</w:t>
      </w:r>
    </w:p>
    <w:p w14:paraId="55B060A3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（1）冷藏库施工进度达到30%-40%；</w:t>
      </w:r>
    </w:p>
    <w:p w14:paraId="575EC267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（2）办公大楼装修进度达到90%。</w:t>
      </w:r>
    </w:p>
    <w:p w14:paraId="2C28ACDA">
      <w:pPr>
        <w:pStyle w:val="15"/>
        <w:ind w:left="199" w:leftChars="71"/>
      </w:pPr>
      <w:bookmarkStart w:id="15" w:name="_Toc56442884"/>
      <w:bookmarkStart w:id="16" w:name="_Toc56442942"/>
      <w:r>
        <w:rPr>
          <w:rFonts w:hint="eastAsia"/>
        </w:rPr>
        <w:t>2.项目年度绩效目标完成情况</w:t>
      </w:r>
      <w:bookmarkEnd w:id="15"/>
      <w:bookmarkEnd w:id="16"/>
    </w:p>
    <w:p w14:paraId="7984195C">
      <w:pPr>
        <w:pStyle w:val="22"/>
        <w:ind w:left="199" w:leftChars="71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截至2024年12月，已完成：</w:t>
      </w:r>
    </w:p>
    <w:p w14:paraId="2076560C">
      <w:pPr>
        <w:pStyle w:val="22"/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（1）冷藏库施工进度达到30%；</w:t>
      </w:r>
    </w:p>
    <w:p w14:paraId="7A994BAC">
      <w:pPr>
        <w:pStyle w:val="22"/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（2）办公大楼装修进度达到90%。</w:t>
      </w:r>
    </w:p>
    <w:p w14:paraId="5EF67D13">
      <w:pPr>
        <w:pStyle w:val="18"/>
      </w:pPr>
      <w:bookmarkStart w:id="17" w:name="_Toc20144"/>
      <w:bookmarkStart w:id="18" w:name="_Toc56442943"/>
      <w:bookmarkStart w:id="19" w:name="_Toc56442885"/>
      <w:r>
        <w:rPr>
          <w:rFonts w:hint="eastAsia"/>
        </w:rPr>
        <w:t>二、</w:t>
      </w:r>
      <w:bookmarkEnd w:id="17"/>
      <w:bookmarkEnd w:id="18"/>
      <w:bookmarkEnd w:id="19"/>
      <w:r>
        <w:rPr>
          <w:rFonts w:hint="eastAsia"/>
        </w:rPr>
        <w:t>总体评价结论和指标分析</w:t>
      </w:r>
    </w:p>
    <w:p w14:paraId="731CF153">
      <w:pPr>
        <w:pStyle w:val="22"/>
        <w:ind w:left="560"/>
      </w:pPr>
      <w:r>
        <w:rPr>
          <w:rFonts w:hint="eastAsia"/>
        </w:rPr>
        <w:t>（一）总体评价结论</w:t>
      </w:r>
    </w:p>
    <w:p w14:paraId="34C45CCE">
      <w:pPr>
        <w:pStyle w:val="13"/>
        <w:numPr>
          <w:ilvl w:val="0"/>
          <w:numId w:val="0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综合考虑资金管理、产出、效果等各方面因素，通过数据采集及分析，最终评分结果：凤泉区人民医院综合楼项目绩效自评价结果为:总得分96.8分，属于"优"。</w:t>
      </w:r>
    </w:p>
    <w:p w14:paraId="3DAB0223">
      <w:pPr>
        <w:pStyle w:val="22"/>
        <w:ind w:left="560"/>
      </w:pPr>
      <w:bookmarkStart w:id="20" w:name="_Toc56442886"/>
      <w:bookmarkStart w:id="21" w:name="_Toc2119"/>
      <w:bookmarkStart w:id="22" w:name="_Toc56442944"/>
      <w:r>
        <w:rPr>
          <w:rFonts w:hint="eastAsia"/>
        </w:rPr>
        <w:t>（二）指标分析</w:t>
      </w:r>
    </w:p>
    <w:bookmarkEnd w:id="20"/>
    <w:bookmarkEnd w:id="21"/>
    <w:bookmarkEnd w:id="22"/>
    <w:p w14:paraId="4100FA6E">
      <w:pPr>
        <w:pStyle w:val="13"/>
        <w:numPr>
          <w:ilvl w:val="0"/>
          <w:numId w:val="1"/>
        </w:numPr>
        <w:ind w:firstLine="56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成本指标</w:t>
      </w:r>
    </w:p>
    <w:p w14:paraId="5C68C4E8">
      <w:pPr>
        <w:pStyle w:val="13"/>
        <w:numPr>
          <w:ilvl w:val="0"/>
          <w:numId w:val="0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本年项目支出控制总额为经济成本三级指标，指标值≤4100万元，完成值2797万元，分值10分，得分10分。</w:t>
      </w:r>
    </w:p>
    <w:p w14:paraId="3A1110AA">
      <w:pPr>
        <w:pStyle w:val="13"/>
        <w:numPr>
          <w:ilvl w:val="0"/>
          <w:numId w:val="1"/>
        </w:numPr>
        <w:ind w:firstLine="56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产出指标</w:t>
      </w:r>
    </w:p>
    <w:p w14:paraId="1304B1E2">
      <w:pPr>
        <w:pStyle w:val="13"/>
        <w:numPr>
          <w:ilvl w:val="0"/>
          <w:numId w:val="2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冷藏库施工进度为数量指标三级指标，指标值区间值30%-40%，完成值=30%，分值5分，得分5分；</w:t>
      </w:r>
    </w:p>
    <w:p w14:paraId="76C8590F">
      <w:pPr>
        <w:pStyle w:val="13"/>
        <w:numPr>
          <w:ilvl w:val="0"/>
          <w:numId w:val="2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办公大楼装修进度为数量指标三级指标，指标值=90%，完成值=90%，分值5分，得分5分；</w:t>
      </w:r>
    </w:p>
    <w:p w14:paraId="3D5451AF">
      <w:pPr>
        <w:pStyle w:val="13"/>
        <w:widowControl w:val="0"/>
        <w:numPr>
          <w:ilvl w:val="0"/>
          <w:numId w:val="0"/>
        </w:numPr>
        <w:spacing w:line="500" w:lineRule="exact"/>
        <w:ind w:firstLine="56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（3）竣工部分验收合格率为质量指标三级指标，指标值=100%，完成值=100%，分值10分，得分10分；</w:t>
      </w:r>
    </w:p>
    <w:p w14:paraId="487284D5">
      <w:pPr>
        <w:pStyle w:val="13"/>
        <w:widowControl w:val="0"/>
        <w:numPr>
          <w:ilvl w:val="0"/>
          <w:numId w:val="0"/>
        </w:numPr>
        <w:spacing w:line="500" w:lineRule="exact"/>
        <w:ind w:firstLine="56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（4）分阶段竣工时间为时效指标三级指标，指标值按计划进行，完成值按计划进行，分值10分，得分10分。</w:t>
      </w:r>
    </w:p>
    <w:p w14:paraId="4190DC08">
      <w:pPr>
        <w:pStyle w:val="13"/>
        <w:numPr>
          <w:ilvl w:val="0"/>
          <w:numId w:val="1"/>
        </w:numPr>
        <w:ind w:firstLine="56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效益指标</w:t>
      </w:r>
    </w:p>
    <w:p w14:paraId="6C59DD1A">
      <w:pPr>
        <w:pStyle w:val="13"/>
        <w:numPr>
          <w:ilvl w:val="0"/>
          <w:numId w:val="0"/>
        </w:numPr>
        <w:ind w:firstLine="56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安全事故发生</w:t>
      </w:r>
      <w:r>
        <w:rPr>
          <w:rFonts w:hint="eastAsia"/>
          <w:highlight w:val="none"/>
          <w:lang w:val="en-US" w:eastAsia="zh-CN"/>
        </w:rPr>
        <w:t>为社会效益指标三级指标，指标值安全事故发生，完成值未发生，分值30分，得分30分。</w:t>
      </w:r>
    </w:p>
    <w:p w14:paraId="3BDC3FB7">
      <w:pPr>
        <w:pStyle w:val="18"/>
      </w:pPr>
      <w:bookmarkStart w:id="23" w:name="_Toc56442890"/>
      <w:bookmarkStart w:id="24" w:name="_Toc56442948"/>
      <w:bookmarkStart w:id="25" w:name="_Toc20132"/>
      <w:r>
        <w:rPr>
          <w:rFonts w:hint="eastAsia"/>
        </w:rPr>
        <w:t>三、存在的问题和建议</w:t>
      </w:r>
      <w:bookmarkEnd w:id="23"/>
      <w:bookmarkEnd w:id="24"/>
      <w:bookmarkEnd w:id="25"/>
    </w:p>
    <w:p w14:paraId="5A418775">
      <w:pPr>
        <w:pStyle w:val="22"/>
        <w:ind w:left="560"/>
      </w:pPr>
      <w:bookmarkStart w:id="26" w:name="_Toc56442947"/>
      <w:bookmarkStart w:id="27" w:name="_Toc56442889"/>
      <w:bookmarkStart w:id="28" w:name="_Toc19895"/>
      <w:r>
        <w:rPr>
          <w:rFonts w:hint="eastAsia"/>
        </w:rPr>
        <w:t>（一）存在的问题</w:t>
      </w:r>
      <w:bookmarkEnd w:id="26"/>
      <w:bookmarkEnd w:id="27"/>
      <w:bookmarkEnd w:id="28"/>
    </w:p>
    <w:p w14:paraId="5725C3A4">
      <w:pPr>
        <w:pStyle w:val="22"/>
        <w:ind w:left="560"/>
        <w:rPr>
          <w:rFonts w:hint="eastAsia" w:ascii="仿宋"/>
          <w:b w:val="0"/>
          <w:bCs w:val="0"/>
          <w:lang w:val="en-US" w:eastAsia="zh-CN"/>
        </w:rPr>
      </w:pPr>
      <w:bookmarkStart w:id="29" w:name="_Toc21644"/>
      <w:bookmarkStart w:id="30" w:name="_GoBack"/>
      <w:r>
        <w:rPr>
          <w:rFonts w:hint="eastAsia" w:ascii="仿宋"/>
          <w:b w:val="0"/>
          <w:bCs w:val="0"/>
          <w:lang w:val="en-US" w:eastAsia="zh-CN"/>
        </w:rPr>
        <w:t>预算执行率偏低，系财政未拨付款项</w:t>
      </w:r>
    </w:p>
    <w:bookmarkEnd w:id="30"/>
    <w:p w14:paraId="6AAEB991">
      <w:pPr>
        <w:pStyle w:val="22"/>
        <w:ind w:left="560"/>
      </w:pPr>
      <w:r>
        <w:rPr>
          <w:rFonts w:hint="eastAsia"/>
        </w:rPr>
        <w:t>（二）改进建议</w:t>
      </w:r>
      <w:bookmarkEnd w:id="29"/>
    </w:p>
    <w:p w14:paraId="27195FF0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1.对项目决策的建议</w:t>
      </w:r>
    </w:p>
    <w:p w14:paraId="1CC6BADF">
      <w:pPr>
        <w:pStyle w:val="13"/>
        <w:ind w:firstLine="600" w:firstLineChars="300"/>
      </w:pPr>
      <w:r>
        <w:rPr>
          <w:rFonts w:ascii="宋体" w:hAnsi="宋体" w:eastAsia="宋体" w:cs="宋体"/>
          <w:sz w:val="20"/>
          <w:u w:val="none"/>
        </w:rPr>
        <w:t>无</w:t>
      </w:r>
    </w:p>
    <w:p w14:paraId="46739F03">
      <w:pPr>
        <w:pStyle w:val="15"/>
        <w:ind w:left="560"/>
      </w:pPr>
      <w:r>
        <w:rPr>
          <w:rFonts w:hint="eastAsia"/>
        </w:rPr>
        <w:t>2.对预算安排及执行情况的建议</w:t>
      </w:r>
    </w:p>
    <w:p w14:paraId="15988A8D">
      <w:pPr>
        <w:pStyle w:val="13"/>
        <w:ind w:firstLine="142" w:firstLineChars="71"/>
      </w:pPr>
      <w:r>
        <w:rPr>
          <w:rFonts w:ascii="宋体" w:hAnsi="宋体" w:eastAsia="宋体" w:cs="宋体"/>
          <w:sz w:val="20"/>
          <w:u w:val="none"/>
        </w:rPr>
        <w:t xml:space="preserve">     无</w:t>
      </w:r>
    </w:p>
    <w:p w14:paraId="5D82F374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3.对资金管理的建议</w:t>
      </w:r>
    </w:p>
    <w:p w14:paraId="48C8A7FF">
      <w:pPr>
        <w:pStyle w:val="13"/>
        <w:ind w:firstLine="560"/>
      </w:pPr>
      <w:r>
        <w:rPr>
          <w:rFonts w:ascii="宋体" w:hAnsi="宋体" w:eastAsia="宋体" w:cs="宋体"/>
          <w:sz w:val="20"/>
          <w:u w:val="none"/>
        </w:rPr>
        <w:t xml:space="preserve">   无</w:t>
      </w:r>
    </w:p>
    <w:p w14:paraId="623DB449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4.对项目管理的建议</w:t>
      </w:r>
    </w:p>
    <w:p w14:paraId="01FB133E">
      <w:pPr>
        <w:pStyle w:val="13"/>
        <w:ind w:firstLine="742" w:firstLineChars="371"/>
      </w:pPr>
      <w:r>
        <w:rPr>
          <w:rFonts w:ascii="宋体" w:hAnsi="宋体" w:eastAsia="宋体" w:cs="宋体"/>
          <w:sz w:val="20"/>
          <w:u w:val="none"/>
        </w:rPr>
        <w:t>无</w:t>
      </w:r>
    </w:p>
    <w:p w14:paraId="31ECCBF1">
      <w:pPr>
        <w:pStyle w:val="13"/>
        <w:ind w:firstLine="56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81" w:charSpace="0"/>
        </w:sectPr>
      </w:pPr>
      <w:r>
        <w:rPr>
          <w:rFonts w:hint="eastAsia"/>
          <w:b/>
          <w:bCs/>
        </w:rPr>
        <w:t>5.其他建议</w:t>
      </w:r>
      <w:r>
        <w:rPr>
          <w:rFonts w:hint="eastAsia"/>
        </w:rPr>
        <w:tab/>
      </w:r>
    </w:p>
    <w:p w14:paraId="258DEADB">
      <w:pPr>
        <w:tabs>
          <w:tab w:val="left" w:pos="3618"/>
        </w:tabs>
        <w:bidi w:val="0"/>
        <w:ind w:left="0" w:leftChars="0" w:firstLine="0" w:firstLineChars="0"/>
        <w:jc w:val="left"/>
        <w:rPr>
          <w:lang w:val="en-US" w:eastAsia="zh-CN"/>
        </w:rPr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4537F">
    <w:pPr>
      <w:pStyle w:val="5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13A53FC8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F478A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C9A95"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5F7D8">
    <w:pPr>
      <w:pStyle w:val="5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 w14:paraId="48BD86FE">
    <w:pPr>
      <w:pStyle w:val="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490E7">
    <w:pPr>
      <w:pStyle w:val="5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082A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D8640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BE78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7C293">
    <w:pPr>
      <w:pStyle w:val="6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870D5">
    <w:pPr>
      <w:pStyle w:val="6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C4932">
    <w:pPr>
      <w:pStyle w:val="6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180B9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A6AA9"/>
    <w:multiLevelType w:val="singleLevel"/>
    <w:tmpl w:val="D29A6A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B487435"/>
    <w:multiLevelType w:val="singleLevel"/>
    <w:tmpl w:val="1B48743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1MjA2YzI3YmFmZWY2YWNkYmQ4ZmRkNWExOTkxMGEifQ=="/>
  </w:docVars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  <w:rsid w:val="0A1465ED"/>
    <w:rsid w:val="202F4BD6"/>
    <w:rsid w:val="241F0E51"/>
    <w:rsid w:val="41584AD7"/>
    <w:rsid w:val="664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sz w:val="32"/>
      <w:szCs w:val="32"/>
    </w:rPr>
  </w:style>
  <w:style w:type="character" w:customStyle="1" w:styleId="10">
    <w:name w:val="页眉 Char1"/>
    <w:basedOn w:val="9"/>
    <w:link w:val="6"/>
    <w:uiPriority w:val="99"/>
    <w:rPr>
      <w:sz w:val="18"/>
      <w:szCs w:val="18"/>
    </w:rPr>
  </w:style>
  <w:style w:type="character" w:customStyle="1" w:styleId="11">
    <w:name w:val="页脚 Char1"/>
    <w:basedOn w:val="9"/>
    <w:link w:val="5"/>
    <w:qFormat/>
    <w:uiPriority w:val="99"/>
    <w:rPr>
      <w:sz w:val="18"/>
      <w:szCs w:val="18"/>
    </w:rPr>
  </w:style>
  <w:style w:type="character" w:customStyle="1" w:styleId="12">
    <w:name w:val="闻政-正文段落文字 Char"/>
    <w:link w:val="13"/>
    <w:qFormat/>
    <w:uiPriority w:val="3"/>
    <w:rPr>
      <w:rFonts w:ascii="Times New Roman" w:hAnsi="Times New Roman" w:eastAsia="仿宋_GB2312"/>
      <w:sz w:val="28"/>
      <w:szCs w:val="28"/>
    </w:rPr>
  </w:style>
  <w:style w:type="paragraph" w:customStyle="1" w:styleId="13">
    <w:name w:val="闻政-正文段落文字"/>
    <w:basedOn w:val="1"/>
    <w:link w:val="12"/>
    <w:qFormat/>
    <w:uiPriority w:val="3"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14">
    <w:name w:val="闻政-正文三级标题 Char"/>
    <w:link w:val="15"/>
    <w:uiPriority w:val="3"/>
    <w:rPr>
      <w:rFonts w:ascii="Times New Roman" w:hAnsi="Times New Roman" w:eastAsia="仿宋_GB2312"/>
      <w:b/>
      <w:snapToGrid w:val="0"/>
      <w:sz w:val="28"/>
      <w:szCs w:val="28"/>
    </w:rPr>
  </w:style>
  <w:style w:type="paragraph" w:customStyle="1" w:styleId="15">
    <w:name w:val="闻政-正文三级标题"/>
    <w:basedOn w:val="1"/>
    <w:next w:val="13"/>
    <w:link w:val="14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16">
    <w:name w:val="页脚 Char"/>
    <w:qFormat/>
    <w:uiPriority w:val="99"/>
    <w:rPr>
      <w:rFonts w:eastAsia="仿宋_GB2312" w:cs="黑体"/>
      <w:sz w:val="18"/>
      <w:szCs w:val="18"/>
    </w:rPr>
  </w:style>
  <w:style w:type="character" w:customStyle="1" w:styleId="17">
    <w:name w:val="闻政-正文一级标题 Char"/>
    <w:link w:val="18"/>
    <w:uiPriority w:val="3"/>
    <w:rPr>
      <w:rFonts w:ascii="黑体" w:hAnsi="黑体" w:eastAsia="黑体"/>
      <w:bCs/>
      <w:sz w:val="32"/>
      <w:szCs w:val="32"/>
    </w:rPr>
  </w:style>
  <w:style w:type="paragraph" w:customStyle="1" w:styleId="18">
    <w:name w:val="闻政-正文一级标题"/>
    <w:basedOn w:val="4"/>
    <w:next w:val="13"/>
    <w:link w:val="17"/>
    <w:qFormat/>
    <w:uiPriority w:val="3"/>
    <w:pPr>
      <w:spacing w:before="120" w:after="60" w:line="500" w:lineRule="exact"/>
      <w:ind w:firstLine="0" w:firstLineChars="0"/>
      <w:jc w:val="left"/>
      <w:outlineLvl w:val="0"/>
    </w:pPr>
    <w:rPr>
      <w:rFonts w:ascii="黑体" w:hAnsi="黑体" w:eastAsia="黑体" w:cstheme="minorBidi"/>
      <w:b w:val="0"/>
    </w:rPr>
  </w:style>
  <w:style w:type="character" w:customStyle="1" w:styleId="19">
    <w:name w:val="标题 Char"/>
    <w:link w:val="7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20">
    <w:name w:val="页眉 Char"/>
    <w:qFormat/>
    <w:uiPriority w:val="99"/>
    <w:rPr>
      <w:rFonts w:eastAsia="仿宋_GB2312" w:cs="黑体"/>
      <w:sz w:val="18"/>
      <w:szCs w:val="18"/>
    </w:rPr>
  </w:style>
  <w:style w:type="character" w:customStyle="1" w:styleId="21">
    <w:name w:val="闻政-正文二级标题 Char"/>
    <w:link w:val="22"/>
    <w:qFormat/>
    <w:uiPriority w:val="3"/>
    <w:rPr>
      <w:rFonts w:ascii="Times New Roman" w:hAnsi="Times New Roman" w:eastAsia="仿宋_GB2312"/>
      <w:b/>
      <w:bCs/>
      <w:sz w:val="28"/>
      <w:szCs w:val="32"/>
    </w:rPr>
  </w:style>
  <w:style w:type="paragraph" w:customStyle="1" w:styleId="22">
    <w:name w:val="闻政-正文二级标题"/>
    <w:basedOn w:val="3"/>
    <w:next w:val="13"/>
    <w:link w:val="21"/>
    <w:qFormat/>
    <w:uiPriority w:val="3"/>
    <w:pPr>
      <w:spacing w:before="120" w:after="60" w:line="500" w:lineRule="exact"/>
      <w:ind w:left="200" w:leftChars="200" w:firstLine="0" w:firstLineChars="0"/>
      <w:jc w:val="left"/>
    </w:pPr>
    <w:rPr>
      <w:rFonts w:ascii="Times New Roman" w:hAnsi="Times New Roman" w:eastAsia="仿宋_GB2312" w:cstheme="minorBidi"/>
      <w:sz w:val="28"/>
    </w:rPr>
  </w:style>
  <w:style w:type="character" w:customStyle="1" w:styleId="23">
    <w:name w:val="标题 1 Char"/>
    <w:basedOn w:val="9"/>
    <w:link w:val="2"/>
    <w:qFormat/>
    <w:uiPriority w:val="9"/>
    <w:rPr>
      <w:rFonts w:ascii="Calibri" w:hAnsi="Calibri" w:eastAsia="仿宋_GB2312" w:cs="黑体"/>
      <w:b/>
      <w:bCs/>
      <w:kern w:val="44"/>
      <w:sz w:val="44"/>
      <w:szCs w:val="44"/>
    </w:rPr>
  </w:style>
  <w:style w:type="paragraph" w:customStyle="1" w:styleId="24">
    <w:name w:val="TOC Heading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character" w:customStyle="1" w:styleId="25">
    <w:name w:val="标题 字符"/>
    <w:basedOn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标题 3 Char"/>
    <w:basedOn w:val="9"/>
    <w:link w:val="4"/>
    <w:semiHidden/>
    <w:qFormat/>
    <w:uiPriority w:val="9"/>
    <w:rPr>
      <w:rFonts w:ascii="Calibri" w:hAnsi="Calibri" w:eastAsia="仿宋_GB2312" w:cs="黑体"/>
      <w:b/>
      <w:bCs/>
      <w:sz w:val="32"/>
      <w:szCs w:val="32"/>
    </w:rPr>
  </w:style>
  <w:style w:type="character" w:customStyle="1" w:styleId="27">
    <w:name w:val="标题 2 Char"/>
    <w:basedOn w:val="9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761</Words>
  <Characters>945</Characters>
  <Lines>6</Lines>
  <Paragraphs>1</Paragraphs>
  <TotalTime>0</TotalTime>
  <ScaleCrop>false</ScaleCrop>
  <LinksUpToDate>false</LinksUpToDate>
  <CharactersWithSpaces>1021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2020-12-10T04:14:00Z</dcterms:created>
  <dc:creator>志闯 赵</dc:creator>
  <cp:lastModifiedBy>赵世彬</cp:lastModifiedBy>
  <dcterms:modified xsi:type="dcterms:W3CDTF">2025-01-15T07:58:44Z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0AF5DD30251641DEA15C5D28A89FF22C_12</vt:lpwstr>
  </property>
  <property fmtid="{D5CDD505-2E9C-101B-9397-08002B2CF9AE}" pid="4" name="KSOTemplateDocerSaveRecord">
    <vt:lpwstr>eyJoZGlkIjoiYTY0NTAyMzE2MGE2NDgyYTI5ODg2YjMxYTY5NzBmYjkiLCJ1c2VySWQiOiIyMzM2MDM3MDQifQ==</vt:lpwstr>
  </property>
</Properties>
</file>