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C1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2024年凤泉区经济运行分析</w:t>
      </w:r>
    </w:p>
    <w:p w14:paraId="4FBEC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是实现“十四五”规划目标任务的关键一年，也是再造一个新凤泉“三年打基础”的收官之年。一年来，在区委区政府的领导下，紧扣高质量发展首要任务，统筹发展，抢抓机遇，固优势、补短板、强弱项、锻长板，切实应对各类困难挑战。随着存量政策持续显效、增量政策有效落实，全区经济加快恢复，结构进一步优化，质量进一步提高，新质生产力加快形成，经济运行总体平稳、稳中有进、回升向好。</w:t>
      </w:r>
    </w:p>
    <w:p w14:paraId="0DB557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经济运行稳中有进，进中提质</w:t>
      </w:r>
    </w:p>
    <w:p w14:paraId="7BA67C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根据地区生产总值统一核算结果，全年地区生产总值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82.66亿元，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按不变价格计算，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同比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%，高于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全市平均水平（4.9%）0.2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个百分点，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增速居全市第8位，四个主城区第2位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分产业看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，第一产业增加值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1.36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亿元，增长2.9%；第二产业增加值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45.73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亿元，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增长5.6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%；第三产业增加值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35.57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亿元，增长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4.5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%。</w:t>
      </w:r>
    </w:p>
    <w:p w14:paraId="4D33A2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三次产业结构比：1.6:55.3:43.1，在全国第五次经济普查“全准实”的工作基调下，产业结构重塑，重回“二三一”格局。</w:t>
      </w:r>
    </w:p>
    <w:p w14:paraId="63AB80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（一）工业经济承压运行，制造业支撑作用明显</w:t>
      </w:r>
    </w:p>
    <w:p w14:paraId="19446E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2024年，全区规模以上工业增加值同比增长6.2%，比2023年加快4.9个百分点，高于全市平均水平（6%）0.2个百分点，增速居全市第10位。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行业增长面稳步扩大。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全区20个工业行业大类中，14个行业增加值保持增长，增长面达到70%，8个行业实现了两位数增长。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制造业支撑明显。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全区规模以上制造业增加值增速7.2%，快于全区平均增速2.1个百分点，贡献率93.2%。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主导产业引擎显著。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全区主导产业增加值同比增长8.2%，快于全区平均增速3.1个百分点，其中汽车及零部件产业及新材料产业增速分别为33.7%、19.4%，合计拉升规模以上增加值增速1.1个百分点。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传统产业回升向好。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其中冶金工业同比增长9.8%，快于全区平均水平3.9个百分点，拉升规模以上增加值增速2个百分点。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高载能行业较强拉动。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全区高载能行业实现增加值8.83亿元，同比增长7.3%，占全区比重51.6%，拉动全区规模以上工业增长3.55个百分点。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高成长性制造业产业较快发展。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全区高成长性制造业增加值同比增长8.9%，高于全区平均水平2.7个百分点，占规模以上工业增加值的比重38%，拉动全区规模以上工业增加值增长3.3个百分点。</w:t>
      </w:r>
    </w:p>
    <w:p w14:paraId="7417F8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（二）固定资产投资较快增长，装备制造贡献突出</w:t>
      </w:r>
    </w:p>
    <w:p w14:paraId="16C74D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2024年，全区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固定资产投资同比增长15.2%，高于全市平均水平（8.9%）6.3个百分点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增速居全市第5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位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四个主城区第2位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；其中第三产业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投资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同比增长17.2%；民间投资同比增长14.5%；基础设施投资同比增长14.6%。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装备制造投资贡献突出，转型升级步伐加快。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装备制造投资同比增长32.7%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，较1-11月加快3.4个百分点。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工业五大主导产业支撑作用凸显。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工业主导产业同比增长22.8%，较1-11月加快3.7个百分点，占全区投资总量的60.1%，拉升投资增速6.2个百分点。</w:t>
      </w:r>
    </w:p>
    <w:p w14:paraId="5FAC56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（三）消费市场继续向好，消费动能持续释放</w:t>
      </w:r>
    </w:p>
    <w:p w14:paraId="04BC21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2024年，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全区社会消费品零售总额13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.76亿元，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同比增长7.1%，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高于全市平均水平（6.8%）0.3个百分点，增速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居全市第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，四个主城区第1位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。其中，限额以上消费品零售额1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.9亿元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，同比增长11.1%,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与全市平均水平持平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城镇消费升温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向好。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城镇消费品零售市场保持平稳增长态势，增速高于乡村。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全年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社会消费品零售额城镇实现零售额11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.06亿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元，同比增长7.6%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其中：城区市场实现零售额8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亿元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，同比增长11.3%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乡村实现零售额2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亿元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，同比增长5.3%，低于城镇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增速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6个百分点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行业消费动能持续释放。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四季度批发业销售额47.49亿元，同比增长1.4%；零售业销售额销售额11.4亿元，同比增长8%；住宿业营业额0.1亿元，同比增长5.4%；餐饮业营业额2.1亿元，同比增长4.8%。</w:t>
      </w:r>
    </w:p>
    <w:p w14:paraId="52937A2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both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市场运行保持活跃，有力夯实发展基础</w:t>
      </w:r>
    </w:p>
    <w:p w14:paraId="4AD862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市场经营主体保持健康发展，保持活跃，是夯实经济高质量发展的基础。优化营商环境，帮助市场主体解难题、渡难关、复元气、增活力，切实把比较优势转化为高质量发展的胜势，招的来落的下。2024年，全区新增“四上企业”24家，本年新入库项目23个，在库项目69个。</w:t>
      </w:r>
    </w:p>
    <w:p w14:paraId="558BFE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有增速引领，有项目支撑，有创新赋能，2024年，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凤泉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经济“稳”的势头有效延续，“进”的步伐坚定有力，“好”的因素逐步积累，为新一年的高质量发展厚植了优势，积蓄了动能。</w:t>
      </w:r>
    </w:p>
    <w:p w14:paraId="6E82917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left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二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、下步工作措施</w:t>
      </w:r>
    </w:p>
    <w:p w14:paraId="26B2168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一是立足工业优势，加快产业转型升级。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产业是高质量发展的根基，坚持“工业立区、工业强区”不动摇，立足工业优势特色，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大对传统产业的技术改造和升级力度，推动传统产业向高端化、智能化、绿色化方向发展。培育壮大新兴产业，加大对智能制造、新能源、新材料等产业的扶持力度，打造一批具有核心竞争力的产业集群。加强产业链招商，引进一批产业链关键环节的企业，完善产业链条，提高产业配套能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凤泉高质量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发展增势赋能。</w:t>
      </w:r>
    </w:p>
    <w:p w14:paraId="3E780A0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二是提升创新能力，推动产业创新。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坚持以科技创新引领产业创新，鼓励企业加大研发投入，培育引进创新人才，加强知识产权保护。搭建创新平台，深化产学研合作，提高科技成果转化率，促进人才共享、平台共建、项目共推。</w:t>
      </w:r>
    </w:p>
    <w:p w14:paraId="59470E0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三是激发消费市场活力，培育新兴业态。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加强消费市场培育，引导居民树立正确的消费观念，提高消费意愿。支持传统商贸企业转型升级，发展线上线下融合的新型消费模式。加大对新兴消费业态的扶持力度，培育壮大文化旅游、健康养老、体育健身等消费热点。加强消费环境建设，完善消费维权机制，营造安全、放心的消费环境。</w:t>
      </w:r>
    </w:p>
    <w:p w14:paraId="4A5E664D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4593C8"/>
    <w:multiLevelType w:val="singleLevel"/>
    <w:tmpl w:val="D94593C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D90D45F"/>
    <w:multiLevelType w:val="singleLevel"/>
    <w:tmpl w:val="2D90D45F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lNjdkMWFjYTg2Y2E2MTg0NzAzYzlmMTk3NzRhZTgifQ=="/>
  </w:docVars>
  <w:rsids>
    <w:rsidRoot w:val="2BE44D7B"/>
    <w:rsid w:val="0CC35116"/>
    <w:rsid w:val="101D790A"/>
    <w:rsid w:val="23641680"/>
    <w:rsid w:val="2BE44D7B"/>
    <w:rsid w:val="369A229D"/>
    <w:rsid w:val="370E5BB3"/>
    <w:rsid w:val="4DFE1B89"/>
    <w:rsid w:val="563C00B7"/>
    <w:rsid w:val="591B7FEB"/>
    <w:rsid w:val="6299419B"/>
    <w:rsid w:val="6C5E35D9"/>
    <w:rsid w:val="7B51340D"/>
    <w:rsid w:val="7C44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4031</Words>
  <Characters>4932</Characters>
  <Lines>0</Lines>
  <Paragraphs>0</Paragraphs>
  <TotalTime>160</TotalTime>
  <ScaleCrop>false</ScaleCrop>
  <LinksUpToDate>false</LinksUpToDate>
  <CharactersWithSpaces>4993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2025-01-24T03:17:00Z</dcterms:created>
  <dc:creator>崔蔚</dc:creator>
  <cp:lastModifiedBy>崔蔚</cp:lastModifiedBy>
  <dcterms:modified xsi:type="dcterms:W3CDTF">2025-03-25T01:23:38Z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735C9B95AD2041CCAD701195CF9A4AC4_11</vt:lpwstr>
  </property>
  <property fmtid="{D5CDD505-2E9C-101B-9397-08002B2CF9AE}" pid="4" name="KSOTemplateDocerSaveRecord">
    <vt:lpwstr>eyJoZGlkIjoiZWQ1ZWUwZDczMWZiNGEyOTVlNjViMzMyNDJlMGI5MmUiLCJ1c2VySWQiOiI2NDQyMzM3NDAifQ==</vt:lpwstr>
  </property>
</Properties>
</file>