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8E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05" w:leftChars="5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2025年凤泉区一季度经济运行情况</w:t>
      </w:r>
    </w:p>
    <w:p w14:paraId="35763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05" w:leftChars="5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033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2025年一季度，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全区深入贯彻落实各项</w:t>
      </w:r>
      <w:r>
        <w:rPr>
          <w:rFonts w:hint="eastAsia" w:ascii="仿宋_GB2312" w:hAnsi="仿宋_GB2312" w:eastAsia="仿宋_GB2312" w:cs="仿宋_GB2312"/>
          <w:sz w:val="32"/>
          <w:szCs w:val="32"/>
        </w:rPr>
        <w:t>稳经济政策，经济发展呈现向上向好、全面进位的积极态势，主要经济指标增速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均高于全市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良好开局，为完成全年目标任务打下坚实基础。</w:t>
      </w:r>
    </w:p>
    <w:p w14:paraId="5B61B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一、经济开局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良好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，发展韧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性强劲</w:t>
      </w:r>
    </w:p>
    <w:p w14:paraId="23673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根据地区生产总值统一核算结果，一季度，全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实现地区生产总值（GDP）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亿元，按不变价格计算，同比增长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6.2</w:t>
      </w:r>
      <w:r>
        <w:rPr>
          <w:rFonts w:hint="eastAsia" w:ascii="仿宋_GB2312" w:hAnsi="仿宋_GB2312" w:eastAsia="仿宋_GB2312" w:cs="仿宋_GB2312"/>
          <w:sz w:val="32"/>
          <w:szCs w:val="32"/>
        </w:rPr>
        <w:t>%，高于全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sz w:val="32"/>
          <w:szCs w:val="32"/>
        </w:rPr>
        <w:t>个百分点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，较上年同期和上年全年分别加快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个百分点，增速居全市第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B16E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分产业看，第一产业增加值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0.24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1.8</w:t>
      </w:r>
      <w:r>
        <w:rPr>
          <w:rFonts w:hint="eastAsia" w:ascii="仿宋_GB2312" w:hAnsi="仿宋_GB2312" w:eastAsia="仿宋_GB2312" w:cs="仿宋_GB2312"/>
          <w:sz w:val="32"/>
          <w:szCs w:val="32"/>
        </w:rPr>
        <w:t>%；第二产业增加值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12.4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亿元，增长6.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%；第三产业增加值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9.07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6.2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70CE6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从产业结构看，全区三次产业增加值占GDP比重分别为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1.1%、57.1%和41.8%，第二产业较上年同期提高12.1个百分点，拉升GDP增速3.7个百分点，对经济增长的贡献率为59.4%。</w:t>
      </w:r>
    </w:p>
    <w:p w14:paraId="4473A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二、工业经济固本培元，起势稳健</w:t>
      </w:r>
    </w:p>
    <w:p w14:paraId="3E875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工业经济稳健发展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全区经济基本面向上向好发展形成良好支撑。一季度，全区规模以上工业增加值增长10%，高于全市平均水平（8.6%）1.4个百分点，较上年同期和上年全年分别加快3.9和3.8个百分点，增速居全市第5位，四个主城区第2位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行业增长面稳步提升。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一季度，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全区21个行业大类中，16个行业大类实现正增长，其中12个行业大类实现两位数增长，增长面较同期增长2.3%。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支柱产业固本强基。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一季度，全区支柱产业增长12.5%，高于全区平均水平6.3个百分点，占全区规模以上工业增加值比重62.1%，对工业经济发展贡献率75.5%，拉升规模以上工业增加值增速7.6个百分点。</w:t>
      </w:r>
    </w:p>
    <w:p w14:paraId="23794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三、固定资产投资增势良好，主导产业核心支撑</w:t>
      </w:r>
    </w:p>
    <w:p w14:paraId="0ACD7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一季度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固定资产投资同比增长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，高于全市平均水平（6.8%）0.8个百分点，增速居全市第1位。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主导产业核心支撑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工业五大主导产业，同比增长49.2%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装备制造投资，同比增长34.7%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，拉升工业投资增长4.5个百分点。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民间投资活力持续释放。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着力激活民间投资，储备优质民间资本推介项目，民间投资意愿持续增强。一季度，全区民间投资同比增长21.3%，比上年同期加快6.8个百分点；增速高于全区投资13.6个百分点。</w:t>
      </w:r>
    </w:p>
    <w:p w14:paraId="6994E2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四、消费品市场增长加快，有效需求持续释放</w:t>
      </w:r>
    </w:p>
    <w:p w14:paraId="7F901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一季度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实现社会消费品零售总额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亿元，同比增长7.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%，高于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全市平均水平（6.7%）0.8个百分点，高于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上年同期1.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个百分点，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增速居全市第1位。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其中，限额以上单位消费品零售额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亿元，同比增长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高于全市平均水平（13.2%）1.8个百分点，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高于上年同期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个百分点。</w:t>
      </w:r>
    </w:p>
    <w:p w14:paraId="5A7DAB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城镇消费市场逐渐升温。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城镇消费品零售市场保持平稳增长态势，增速高于乡村。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季度限上零售额城镇实现零售额5790.3万元，同比增长19.1%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其中：城区市场实现零售额4484.1万元，同比增长30.1%；乡村实现零售额766.3万元，同比增长3.4%。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基本生活类消费增长加快。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服装类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、烟酒类、饮料类分别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实现1002.7万元，995.1万元，387.3万元，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增长65.1%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、25.2%和19%。</w:t>
      </w:r>
    </w:p>
    <w:p w14:paraId="33151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五、下步打算</w:t>
      </w:r>
    </w:p>
    <w:bookmarkEnd w:id="0"/>
    <w:p w14:paraId="7EE71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（一）重点关注支撑GDP核算指标，维持稳步增长</w:t>
      </w:r>
    </w:p>
    <w:p w14:paraId="52892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持续关注参与核算的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指标。工业方面在保证规上工业增加值平稳增长的同时，要持续跟踪规模以下样本企业的发展，确保规模以下工业增加值增速不拖后腿。建筑业方面，城建局及各乡镇办要做好建筑业企业的培育工作，做大做强本地建筑业企业。三产方面参与核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个指标中，特别关注其中9个指标，如公路运输总周转量、营利性服务业营收及工资、公共管理工资等，有的放矢地开展工作，维持经济稳增长。</w:t>
      </w:r>
    </w:p>
    <w:p w14:paraId="5B10E8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（二）提高投资质量做实做足</w:t>
      </w:r>
    </w:p>
    <w:p w14:paraId="70536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前布局，积极推进重大项目建设。由于项目投资产出存在滞后期，需提前梳理和布局全年开工项目，合理安排投资进度，尤其是对于制造业、基础设施等重点领域项目，早调度、早开工，尽快形成实体投资工作量；积极挖掘基础设施建设投资的潜力，为稳投资提供有效支撑；积极规范统计调查对象档案化管理，建立相关台账，夯实统计基层基础，严格按照统计制度填报报表，做到数出有据，支撑有力。</w:t>
      </w:r>
    </w:p>
    <w:p w14:paraId="1C575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（三）多措并举推动消费持续回升</w:t>
      </w:r>
    </w:p>
    <w:p w14:paraId="12C74F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以旧换新政策、提升服务消费、拓展农村消费等重点领域，根据不同收入群体、不同消费品类的需求制定有针对性的政策举措，敢于消费，提前消费，提高边际消费倾向，推动消费平稳增长，增加认同感、购买欲，推动消费市场持续回升向好。</w:t>
      </w:r>
    </w:p>
    <w:p w14:paraId="56C3B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（四）加强经济运行监测预警</w:t>
      </w:r>
    </w:p>
    <w:p w14:paraId="57C451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强化精准调度。每月按照时间节点提前预报各项主要经济指标预期情况，提出工作建议。二是强化部门联动。指标牵头部门根据自身需求，定点调度；配合部门和责任部门适时调度。三是深化经济运行分析。围绕全区高质量发展，撰写有价值、有深度、可操作的统计分析报告，准确及时反映真实经济情况，切实发挥参谋助手的作用。</w:t>
      </w:r>
    </w:p>
    <w:p w14:paraId="3D0C1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B6C35"/>
    <w:rsid w:val="1EDF6033"/>
    <w:rsid w:val="295C0ED2"/>
    <w:rsid w:val="2CB51FCE"/>
    <w:rsid w:val="5B6B6C35"/>
    <w:rsid w:val="60200A9C"/>
    <w:rsid w:val="69CD232F"/>
    <w:rsid w:val="72E62EC1"/>
    <w:rsid w:val="799C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2113</Words>
  <Characters>2379</Characters>
  <Lines>0</Lines>
  <Paragraphs>0</Paragraphs>
  <TotalTime>1</TotalTime>
  <ScaleCrop>false</ScaleCrop>
  <LinksUpToDate>false</LinksUpToDate>
  <CharactersWithSpaces>2379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2025-04-22T05:05:00Z</dcterms:created>
  <dc:creator>丽</dc:creator>
  <cp:lastModifiedBy>崔蔚</cp:lastModifiedBy>
  <dcterms:modified xsi:type="dcterms:W3CDTF">2025-10-16T08:22:24Z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FA5B5E0E9FC840ACB45D523C827CEDE4_11</vt:lpwstr>
  </property>
  <property fmtid="{D5CDD505-2E9C-101B-9397-08002B2CF9AE}" pid="4" name="KSOTemplateDocerSaveRecord">
    <vt:lpwstr>eyJoZGlkIjoiZWVlNjdkMWFjYTg2Y2E2MTg0NzAzYzlmMTk3NzRhZTgiLCJ1c2VySWQiOiI2NDQyMzM3NDAifQ==</vt:lpwstr>
  </property>
</Properties>
</file>