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E24BF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2025年1-8月凤泉区经济运行情况</w:t>
      </w:r>
    </w:p>
    <w:p w14:paraId="5E2874E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8月份，全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上下围绕“1+2+4+N”目标任务体系，锚定高质量发展首要任务，靶向发力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激活市场主体内生动力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为抓手</w:t>
      </w:r>
      <w:r>
        <w:rPr>
          <w:rFonts w:hint="eastAsia" w:ascii="仿宋_GB2312" w:hAnsi="仿宋_GB2312" w:eastAsia="仿宋_GB2312" w:cs="仿宋_GB2312"/>
          <w:sz w:val="32"/>
          <w:szCs w:val="32"/>
        </w:rPr>
        <w:t>，精准施策推动经济运行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提质增效，全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经济运行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砥砺前行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但同时存在经济数据持续放缓，项目支撑乏力，企业有效需求减弱、盈利承压，稳增长要素仍不牢固。</w:t>
      </w:r>
    </w:p>
    <w:p w14:paraId="1A92A4FF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一、经济数据持续放缓</w:t>
      </w:r>
    </w:p>
    <w:p w14:paraId="46913B4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月份，主要经济指标持续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放缓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同比均不同程度低于前值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560900A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工业经济进一步放缓，高技术产业韧性凸显。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-8月，规模以上工业增加值增速3.9%，环比较上半年及1-7月分别放缓1.3个和1.1个百分点，增速居全市第14位。其中，高技术产业表现更稳，凸显全区工业向高质量转型的韧性。1-8月高技术产业增加值增速9%，高于全区平均水平5.1个百分点，贡献率20.1%，较1-7月提升0.2个百分点，显著高于总体增速，展现创新动能更强。</w:t>
      </w:r>
    </w:p>
    <w:p w14:paraId="756669F4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投资增速继续回落，二产投资拖累加剧。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-8月，固定资产投资累计完成9.9亿元，同比下降-9%，环比较上半年及1-7月分别回落11.4个和4个百分点，增速居全市第13位，基本呈现连续走弱的态势。其中，第二产业投资累计完成4.6亿元，同比下降23.2%，降幅较上半年和1-7月分别扩大15.2个和11.2个百分点。有效需求不足、企业投资回报率下行及新增动力不足等，导致二产投资继续拖累整体投资。</w:t>
      </w:r>
    </w:p>
    <w:p w14:paraId="1E84509E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消费市场基本平稳，“以旧换新”持续拉动。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-8月，全区实现社会消费品零售总额15.5亿元，同比增长5.6%，环比较上半年及1-7月分别放缓1个和0.4个百分点，增速居全市第6位，四个主城区第1位。其中，限额以上零售额累计实现1.3亿元，同比增长7%，环比较上半年及1-7月分别放缓5.8个和1.9个百分点，增速居全市第6位，四个主城区第1位。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“以旧换新”补贴节奏放缓与汽车零售转负的拖累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，消费市场持续减弱。</w:t>
      </w:r>
    </w:p>
    <w:p w14:paraId="4767F8B0"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经济运行的核心短板</w:t>
      </w:r>
    </w:p>
    <w:p w14:paraId="12F3469A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当前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经济运行面临多重结构性制约，核心短板集中体现于产业支撑力、市场主体韧性、投资动能及服务业生态四大维度，深层次矛盾凸显：</w:t>
      </w:r>
    </w:p>
    <w:p w14:paraId="3670D621">
      <w:pPr>
        <w:numPr>
          <w:ilvl w:val="0"/>
          <w:numId w:val="0"/>
        </w:num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产业龙头引领缺位，支柱性支撑力不足：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区域内缺乏具备产业链主导权、产值规模效应及行业带动能力的大型骨干企业，未能形成 “龙头企业 + 配套集群” 的产业生态，导致产业层级处于价值链中低端，经济增长缺乏稳定的核心引擎，抗周期波动能力先天薄弱。</w:t>
      </w:r>
    </w:p>
    <w:p w14:paraId="2AE0CA96">
      <w:pPr>
        <w:numPr>
          <w:ilvl w:val="0"/>
          <w:numId w:val="0"/>
        </w:num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小微企业韧性短板，市场主体承压能力弱：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小微企业作为市场主体重要组成部分，普遍存在技术研发投入不足、融资渠道狭窄、供应链整合能力弱等问题，面对市场需求波动、成本上涨及外部环境变化时，经营稳定性差、恢复能力弱，难以有效发挥 “稳就业、稳增长” 的基础作用，制约区域经济活力释放。</w:t>
      </w:r>
    </w:p>
    <w:p w14:paraId="19A91A7F">
      <w:pPr>
        <w:numPr>
          <w:ilvl w:val="0"/>
          <w:numId w:val="0"/>
        </w:num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二产投资大幅下拉，工业增长动能严重不足：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二产业投资呈现显著负向拉动，一方面缺乏符合区域产业定位的优质工业项目储备，新项目招引落地难度大；另一方面现有工业企业技改升级意愿不强、投入不足，产业转型升级滞后，导致工业经济增长后劲乏力，成为拖累整体投资增速的核心因素。</w:t>
      </w:r>
    </w:p>
    <w:p w14:paraId="482C8850">
      <w:pPr>
        <w:numPr>
          <w:ilvl w:val="0"/>
          <w:numId w:val="0"/>
        </w:num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三产服务业业态缺失，产业结构优化滞后：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服务业发展存在明显的业态空白与层级短板，既缺乏支撑生产性服务业的物流、金融、科技服务等专业业态，也缺少满足消费升级需求的高品质生活性服务业供给，服务业对一二产业的配套支撑能力不足，未能形成 “三产赋能、多业融合” 的产业协同格局，制约区域经济结构向更高质量转型。</w:t>
      </w:r>
    </w:p>
    <w:p w14:paraId="4D67446C"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下步措施</w:t>
      </w:r>
    </w:p>
    <w:p w14:paraId="6C1C1688">
      <w:pPr>
        <w:numPr>
          <w:numId w:val="0"/>
        </w:numPr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（一）推动本土企业升级</w:t>
      </w:r>
    </w:p>
    <w:p w14:paraId="2D0B0EB4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筛选3-5家成长性强的本土中小企业，建立“一企一策”培育机制，通过专项资金支持技术改造（如智能化设备更新补贴）、帮助对接高校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科研院所突破核心技术，推动其成长为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细分领域龙头。</w:t>
      </w:r>
    </w:p>
    <w:p w14:paraId="24B65A6D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211A61A"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（二）激活二产投资，筑牢工业增长动能</w:t>
      </w:r>
    </w:p>
    <w:p w14:paraId="0E3E08B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攻坚工业项目储备与落地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成立“二产投资攻坚专班”，聚焦高端制造、绿色低碳、战略性新兴产业（如新能源电池），开展“项目库动态管理”，确保储备项目数量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压缩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审批时限，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打通规划、用地、施工等审批堵点。加大工业技改投资力度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盘活存量工业资源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29D1546"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（三）补位三产服务业，优化产业协同格局</w:t>
      </w:r>
    </w:p>
    <w:p w14:paraId="16C9EF3F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升级生活性服务业供给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针对消费升级需求，布局高品质商业综合体、特色商业街区（如文创街区、夜间消费集聚区），引入连锁品牌商超、高端餐饮、健康养生等业态；推动传统商贸企业数字化转型（如建设线上商城、开展直播带货），提升服务效率与消费体验。</w:t>
      </w:r>
    </w:p>
    <w:p w14:paraId="000DB5E0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推动“三产+”融合发展：大力发展“服务业+农业”（如农产品电商、乡村旅游、农业社会化服务），延伸农业产业链；推动“服务业+工业”（如工业设计、检验检测、生产性物流），提升工业附加值；培育新兴服务业态（如数字经济、跨境电商、银发经济），打造新的经济增长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B6E90E"/>
    <w:multiLevelType w:val="singleLevel"/>
    <w:tmpl w:val="DDB6E90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A7730"/>
    <w:rsid w:val="13653AA2"/>
    <w:rsid w:val="2E0120F6"/>
    <w:rsid w:val="2F6E641E"/>
    <w:rsid w:val="59021AA5"/>
    <w:rsid w:val="5F21609C"/>
    <w:rsid w:val="6BA14120"/>
    <w:rsid w:val="742A7730"/>
    <w:rsid w:val="7EC7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1778</Words>
  <Characters>1863</Characters>
  <Lines>0</Lines>
  <Paragraphs>0</Paragraphs>
  <TotalTime>319</TotalTime>
  <ScaleCrop>false</ScaleCrop>
  <LinksUpToDate>false</LinksUpToDate>
  <CharactersWithSpaces>1871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2025-09-23T04:30:00Z</dcterms:created>
  <dc:creator>丽</dc:creator>
  <cp:lastModifiedBy>崔蔚</cp:lastModifiedBy>
  <dcterms:modified xsi:type="dcterms:W3CDTF">2025-09-24T06:51:41Z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5F0B8DAD3B884674B8934BC3C7E773B4_11</vt:lpwstr>
  </property>
  <property fmtid="{D5CDD505-2E9C-101B-9397-08002B2CF9AE}" pid="4" name="KSOTemplateDocerSaveRecord">
    <vt:lpwstr>eyJoZGlkIjoiZWVlNjdkMWFjYTg2Y2E2MTg0NzAzYzlmMTk3NzRhZTgiLCJ1c2VySWQiOiI2NDQyMzM3NDAifQ==</vt:lpwstr>
  </property>
</Properties>
</file>