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Times New Roman" w:hAnsi="Times New Roman" w:eastAsia="方正小标宋简体" w:cs="Times New Roman"/>
          <w:sz w:val="44"/>
          <w:szCs w:val="44"/>
        </w:rPr>
      </w:pPr>
      <w:r>
        <w:rPr>
          <w:rFonts w:hint="default" w:ascii="Times New Roman" w:hAnsi="Times New Roman" w:eastAsia="黑体" w:cs="Times New Roman"/>
          <w:bCs/>
        </w:rPr>
        <w:t>附件</w:t>
      </w:r>
      <w:r>
        <w:rPr>
          <w:rFonts w:hint="default" w:ascii="Times New Roman" w:hAnsi="Times New Roman" w:cs="Times New Roman"/>
          <w:bCs/>
        </w:rPr>
        <w:t>1-3</w:t>
      </w:r>
    </w:p>
    <w:p>
      <w:pPr>
        <w:spacing w:line="579" w:lineRule="exact"/>
        <w:jc w:val="center"/>
        <w:rPr>
          <w:rFonts w:hint="default" w:ascii="Times New Roman" w:hAnsi="Times New Roman" w:eastAsia="方正小标宋简体" w:cs="Times New Roman"/>
          <w:bCs/>
          <w:snapToGrid w:val="0"/>
          <w:kern w:val="0"/>
          <w:sz w:val="44"/>
          <w:szCs w:val="44"/>
        </w:rPr>
      </w:pPr>
      <w:r>
        <w:rPr>
          <w:rFonts w:hint="default" w:ascii="Times New Roman" w:hAnsi="Times New Roman" w:eastAsia="方正小标宋简体" w:cs="Times New Roman"/>
          <w:bCs/>
          <w:snapToGrid w:val="0"/>
          <w:kern w:val="0"/>
          <w:sz w:val="44"/>
          <w:szCs w:val="44"/>
        </w:rPr>
        <w:t>新乡市消防安全重点单位分级界定标准</w:t>
      </w:r>
    </w:p>
    <w:p>
      <w:pPr>
        <w:spacing w:line="579" w:lineRule="exact"/>
        <w:jc w:val="center"/>
        <w:rPr>
          <w:rFonts w:hint="default" w:ascii="Times New Roman" w:hAnsi="Times New Roman" w:eastAsia="方正小标宋_GBK" w:cs="Times New Roman"/>
          <w:bCs/>
          <w:snapToGrid w:val="0"/>
          <w:kern w:val="0"/>
          <w:sz w:val="44"/>
          <w:szCs w:val="44"/>
        </w:rPr>
      </w:pPr>
    </w:p>
    <w:p>
      <w:pPr>
        <w:spacing w:line="579" w:lineRule="exact"/>
        <w:ind w:firstLine="640" w:firstLineChars="200"/>
        <w:rPr>
          <w:rFonts w:hint="default" w:ascii="Times New Roman" w:hAnsi="Times New Roman" w:eastAsia="方正黑体_GBK" w:cs="Times New Roman"/>
          <w:snapToGrid w:val="0"/>
          <w:kern w:val="0"/>
        </w:rPr>
      </w:pPr>
      <w:r>
        <w:rPr>
          <w:rFonts w:hint="default" w:ascii="Times New Roman" w:hAnsi="Times New Roman" w:eastAsia="方正黑体_GBK" w:cs="Times New Roman"/>
          <w:snapToGrid w:val="0"/>
          <w:kern w:val="0"/>
        </w:rPr>
        <w:t>一、一级消防安全重点单位（市消防救援</w:t>
      </w:r>
      <w:r>
        <w:rPr>
          <w:rFonts w:hint="eastAsia" w:ascii="Times New Roman" w:eastAsia="方正黑体_GBK" w:cs="Times New Roman"/>
          <w:snapToGrid w:val="0"/>
          <w:kern w:val="0"/>
          <w:lang w:val="en-US" w:eastAsia="zh-CN"/>
        </w:rPr>
        <w:t>局</w:t>
      </w:r>
      <w:r>
        <w:rPr>
          <w:rFonts w:hint="default" w:ascii="Times New Roman" w:hAnsi="Times New Roman" w:eastAsia="方正黑体_GBK" w:cs="Times New Roman"/>
          <w:snapToGrid w:val="0"/>
          <w:kern w:val="0"/>
        </w:rPr>
        <w:t>列管，市城区范围内达到下列标准的单位）</w:t>
      </w:r>
    </w:p>
    <w:p>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（一）学生住宿总床位在3万张以上的综合性大学。</w:t>
      </w:r>
    </w:p>
    <w:p>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（二）具有典型代表性的单位。</w:t>
      </w:r>
    </w:p>
    <w:p>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（三）一级重点单位单位或建筑物内另有符合界定标准而法人不同的单位。</w:t>
      </w:r>
    </w:p>
    <w:p>
      <w:pPr>
        <w:spacing w:line="579" w:lineRule="exact"/>
        <w:ind w:firstLine="640" w:firstLineChars="200"/>
        <w:rPr>
          <w:rFonts w:hint="default" w:ascii="Times New Roman" w:hAnsi="Times New Roman" w:eastAsia="方正黑体_GBK" w:cs="Times New Roman"/>
          <w:snapToGrid w:val="0"/>
          <w:kern w:val="0"/>
        </w:rPr>
      </w:pPr>
      <w:r>
        <w:rPr>
          <w:rFonts w:hint="default" w:ascii="Times New Roman" w:hAnsi="Times New Roman" w:eastAsia="方正黑体_GBK" w:cs="Times New Roman"/>
          <w:snapToGrid w:val="0"/>
          <w:kern w:val="0"/>
        </w:rPr>
        <w:t>二、二级消防安全重点单位（县、市、区消防救援</w:t>
      </w:r>
      <w:r>
        <w:rPr>
          <w:rFonts w:hint="eastAsia" w:ascii="Times New Roman" w:eastAsia="方正黑体_GBK" w:cs="Times New Roman"/>
          <w:snapToGrid w:val="0"/>
          <w:kern w:val="0"/>
          <w:lang w:val="en-US" w:eastAsia="zh-CN"/>
        </w:rPr>
        <w:t>局</w:t>
      </w:r>
      <w:r>
        <w:rPr>
          <w:rFonts w:hint="default" w:ascii="Times New Roman" w:hAnsi="Times New Roman" w:eastAsia="方正黑体_GBK" w:cs="Times New Roman"/>
          <w:snapToGrid w:val="0"/>
          <w:kern w:val="0"/>
        </w:rPr>
        <w:t>列管）</w:t>
      </w:r>
    </w:p>
    <w:p>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（一）宾馆、饭店、商场、集贸市场、体育场馆、会堂、公共娱乐场所等公众聚集场所</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1.建筑面积在2000平方米（含本数，下同）以上且经营可燃商品的商场、集贸市场。</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2.客房数在100间以上，或客房数在100间以下但设有商场、歌舞娱乐、餐饮场所等且建筑面积大于3000平方米的宾馆、饭店。</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3.除市级消防救援机构列管的公共体育场馆、会堂。</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4.建筑面积在500平方米以上的下列室内公共娱乐场所：</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（1）影剧院、放映厅、礼堂等演出放映场所；</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（2）舞厅、KTV等歌舞娱乐场所；</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（3）具有娱乐功能的夜总会、音乐茶座和餐饮场所；</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（4）游艺、游乐场所。</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5.建筑面积在1000平方米以上的足浴、美容院、桑拿浴室（洗浴部分面积除外）等营业性健身、休闲场所。</w:t>
      </w:r>
    </w:p>
    <w:p>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（二）医院、养老院和寄宿制的学校托儿所、幼儿园</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1.住院床位在300张以上的医疗保健机构。</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2.住宿床位在300张以上的养老院、福利院。</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3.学生住宿床位在500张以上的学校。</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4.幼儿住宿床位在300张以上的托儿所、幼儿园。</w:t>
      </w:r>
    </w:p>
    <w:p>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（三）国家机关</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1.县级以上的党委、人大、政府、政协。</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2.县级以上的人民检察院、人民法院。</w:t>
      </w:r>
    </w:p>
    <w:p>
      <w:pPr>
        <w:widowControl/>
        <w:topLinePunct/>
        <w:spacing w:line="579" w:lineRule="exact"/>
        <w:ind w:firstLine="640" w:firstLineChars="200"/>
        <w:jc w:val="left"/>
        <w:rPr>
          <w:rFonts w:hint="default" w:ascii="Times New Roman" w:hAnsi="Times New Roman" w:eastAsia="方正仿宋_GBK" w:cs="Times New Roman"/>
          <w:snapToGrid w:val="0"/>
          <w:spacing w:val="-4"/>
          <w:kern w:val="0"/>
        </w:rPr>
      </w:pPr>
      <w:r>
        <w:rPr>
          <w:rFonts w:hint="default" w:ascii="Times New Roman" w:hAnsi="Times New Roman" w:eastAsia="方正仿宋_GBK" w:cs="Times New Roman"/>
          <w:snapToGrid w:val="0"/>
          <w:kern w:val="0"/>
        </w:rPr>
        <w:t>3.</w:t>
      </w:r>
      <w:r>
        <w:rPr>
          <w:rFonts w:hint="default" w:ascii="Times New Roman" w:hAnsi="Times New Roman" w:eastAsia="方正仿宋_GBK" w:cs="Times New Roman"/>
          <w:snapToGrid w:val="0"/>
          <w:spacing w:val="-4"/>
          <w:kern w:val="0"/>
        </w:rPr>
        <w:t>火灾载荷较大、有较大社会影响的其他县级国家机关。</w:t>
      </w:r>
    </w:p>
    <w:p>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（四）广播、电视和邮政、通信枢纽</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1.县级以上广播电台、电视台。</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2.县级以上邮政、通信枢纽单位。</w:t>
      </w:r>
    </w:p>
    <w:p>
      <w:pPr>
        <w:widowControl/>
        <w:topLinePunct/>
        <w:spacing w:line="579" w:lineRule="exact"/>
        <w:ind w:firstLine="640" w:firstLineChars="200"/>
        <w:jc w:val="left"/>
        <w:rPr>
          <w:rFonts w:hint="eastAsia" w:ascii="方正仿宋_GBK" w:hAnsi="方正仿宋_GBK" w:eastAsia="方正仿宋_GBK" w:cs="方正仿宋_GBK"/>
          <w:b w:val="0"/>
          <w:bCs w:val="0"/>
          <w:snapToGrid w:val="0"/>
          <w:kern w:val="0"/>
          <w:lang w:val="en-US" w:eastAsia="zh-CN"/>
        </w:rPr>
      </w:pPr>
      <w:r>
        <w:rPr>
          <w:rFonts w:hint="eastAsia" w:ascii="Times New Roman" w:eastAsia="方正仿宋_GBK" w:cs="Times New Roman"/>
          <w:snapToGrid w:val="0"/>
          <w:kern w:val="0"/>
          <w:lang w:val="en-US" w:eastAsia="zh-CN"/>
        </w:rPr>
        <w:t>3.</w:t>
      </w:r>
      <w:r>
        <w:rPr>
          <w:rFonts w:hint="eastAsia" w:ascii="方正仿宋_GBK" w:hAnsi="方正仿宋_GBK" w:eastAsia="方正仿宋_GBK" w:cs="方正仿宋_GBK"/>
          <w:b w:val="0"/>
          <w:bCs w:val="0"/>
          <w:szCs w:val="32"/>
          <w:shd w:val="clear" w:color="auto" w:fill="FFFFFF"/>
        </w:rPr>
        <w:t>县级以上数据中心。</w:t>
      </w:r>
    </w:p>
    <w:p>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（五）客运车站、码头、民用机场</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1.建筑面积在500平方米以上的客运车站侯车厅、客运码头候船厅。</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2.民用机场航站楼。</w:t>
      </w:r>
    </w:p>
    <w:p>
      <w:pPr>
        <w:spacing w:line="579" w:lineRule="exact"/>
        <w:ind w:firstLine="640" w:firstLineChars="200"/>
        <w:rPr>
          <w:rFonts w:hint="default" w:ascii="Times New Roman" w:hAnsi="Times New Roman" w:eastAsia="方正楷体_GBK" w:cs="Times New Roman"/>
          <w:snapToGrid w:val="0"/>
          <w:color w:val="000000"/>
          <w:kern w:val="0"/>
          <w:shd w:val="clear" w:color="auto" w:fill="FFFFFF"/>
          <w:lang w:val="en-US" w:eastAsia="zh-CN"/>
        </w:rPr>
      </w:pPr>
      <w:r>
        <w:rPr>
          <w:rFonts w:hint="default" w:ascii="Times New Roman" w:hAnsi="Times New Roman" w:eastAsia="方正楷体_GBK" w:cs="Times New Roman"/>
          <w:snapToGrid w:val="0"/>
          <w:color w:val="000000"/>
          <w:kern w:val="0"/>
          <w:shd w:val="clear" w:color="auto" w:fill="FFFFFF"/>
        </w:rPr>
        <w:t>（六）公共图书馆、展览馆、博物馆、档案馆以及具有火灾危险性的文物保护单位</w:t>
      </w:r>
      <w:r>
        <w:rPr>
          <w:rFonts w:hint="eastAsia" w:ascii="Times New Roman" w:eastAsia="方正楷体_GBK" w:cs="Times New Roman"/>
          <w:snapToGrid w:val="0"/>
          <w:color w:val="000000"/>
          <w:kern w:val="0"/>
          <w:shd w:val="clear" w:color="auto" w:fill="FFFFFF"/>
          <w:lang w:eastAsia="zh-CN"/>
        </w:rPr>
        <w:t>、</w:t>
      </w:r>
      <w:r>
        <w:rPr>
          <w:rFonts w:hint="eastAsia" w:ascii="Times New Roman" w:eastAsia="方正楷体_GBK" w:cs="Times New Roman"/>
          <w:snapToGrid w:val="0"/>
          <w:color w:val="000000"/>
          <w:kern w:val="0"/>
          <w:shd w:val="clear" w:color="auto" w:fill="FFFFFF"/>
          <w:lang w:val="en-US" w:eastAsia="zh-CN"/>
        </w:rPr>
        <w:t>旅游景区</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1.建筑面积在2000平方米以上的公共图书馆、展览馆。</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2.公共博物馆、档案馆。</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3.具有火灾危险性的县级以上文物保护单位。</w:t>
      </w:r>
    </w:p>
    <w:p>
      <w:pPr>
        <w:widowControl/>
        <w:topLinePunct/>
        <w:spacing w:line="579" w:lineRule="exact"/>
        <w:ind w:firstLine="640" w:firstLineChars="200"/>
        <w:jc w:val="left"/>
        <w:rPr>
          <w:rFonts w:hint="default" w:ascii="Times New Roman" w:hAnsi="Times New Roman" w:eastAsia="方正仿宋_GBK" w:cs="Times New Roman"/>
          <w:snapToGrid w:val="0"/>
          <w:kern w:val="0"/>
          <w:lang w:val="en-US" w:eastAsia="zh-CN"/>
        </w:rPr>
      </w:pPr>
      <w:r>
        <w:rPr>
          <w:rFonts w:hint="eastAsia" w:ascii="Times New Roman" w:eastAsia="方正仿宋_GBK" w:cs="Times New Roman"/>
          <w:snapToGrid w:val="0"/>
          <w:kern w:val="0"/>
          <w:lang w:val="en-US" w:eastAsia="zh-CN"/>
        </w:rPr>
        <w:t>4.</w:t>
      </w:r>
      <w:r>
        <w:rPr>
          <w:rFonts w:hint="default" w:ascii="Times New Roman" w:hAnsi="Times New Roman" w:eastAsia="方正仿宋_GBK" w:cs="Times New Roman"/>
          <w:snapToGrid w:val="0"/>
          <w:kern w:val="0"/>
        </w:rPr>
        <w:t>4A级以上具有建筑火灾危险性的旅游景区。</w:t>
      </w:r>
    </w:p>
    <w:p>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（七）除市级消防救援机构列管的发电厂（站）和电网经营企业</w:t>
      </w:r>
    </w:p>
    <w:p>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（八）易燃易爆化学物品的生产、充装、储存、供应、销售单位</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1.生产易燃易爆化学物品的工厂。</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2.储量超过5000立方米的易燃易爆气体和液体的灌装站、调压站。</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3.储量超过500公斤的易燃易爆化学物品的专用仓库（堆场、储罐场所）。</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4.其他火灾载荷较大、有较大社会影响的营业性加油站、加气站，液化石油气供应站。</w:t>
      </w:r>
    </w:p>
    <w:p>
      <w:pPr>
        <w:widowControl/>
        <w:topLinePunct/>
        <w:spacing w:line="579" w:lineRule="exact"/>
        <w:ind w:firstLine="640" w:firstLineChars="200"/>
        <w:jc w:val="left"/>
        <w:rPr>
          <w:rFonts w:hint="default" w:ascii="Times New Roman" w:hAnsi="Times New Roman" w:eastAsia="方正仿宋_GBK" w:cs="Times New Roman"/>
          <w:snapToGrid w:val="0"/>
          <w:color w:val="000000"/>
          <w:kern w:val="0"/>
        </w:rPr>
      </w:pPr>
      <w:r>
        <w:rPr>
          <w:rFonts w:hint="default" w:ascii="Times New Roman" w:hAnsi="Times New Roman" w:eastAsia="方正仿宋_GBK" w:cs="Times New Roman"/>
          <w:snapToGrid w:val="0"/>
          <w:color w:val="000000"/>
          <w:kern w:val="0"/>
        </w:rPr>
        <w:t>5.经营易燃易爆化学物品的化工商店：</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（1）经营甲、乙类易燃易爆化学物品，站内总存量500公斤或10立方米以上的商店；</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（2）经营甲、乙类易燃易爆化学物品营业面积在500平方米以上的商店。</w:t>
      </w:r>
    </w:p>
    <w:p>
      <w:pPr>
        <w:widowControl/>
        <w:topLinePunct/>
        <w:spacing w:line="579" w:lineRule="exact"/>
        <w:ind w:firstLine="640" w:firstLineChars="200"/>
        <w:jc w:val="left"/>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（九）</w:t>
      </w:r>
      <w:r>
        <w:rPr>
          <w:rFonts w:hint="eastAsia" w:ascii="Times New Roman" w:hAnsi="Times New Roman" w:eastAsia="方正楷体_GBK" w:cs="Times New Roman"/>
          <w:snapToGrid w:val="0"/>
          <w:color w:val="000000"/>
          <w:kern w:val="0"/>
          <w:shd w:val="clear" w:color="auto" w:fill="FFFFFF"/>
        </w:rPr>
        <w:t>劳动密集型生产、加工企业</w:t>
      </w:r>
    </w:p>
    <w:p>
      <w:pPr>
        <w:widowControl/>
        <w:topLinePunct/>
        <w:spacing w:line="579" w:lineRule="exact"/>
        <w:ind w:firstLine="640" w:firstLineChars="200"/>
        <w:jc w:val="left"/>
        <w:rPr>
          <w:rFonts w:hint="eastAsia" w:ascii="Times New Roman" w:hAnsi="Times New Roman" w:eastAsia="方正仿宋_GBK" w:cs="Times New Roman"/>
          <w:snapToGrid w:val="0"/>
          <w:kern w:val="0"/>
          <w:lang w:eastAsia="zh-CN"/>
        </w:rPr>
      </w:pPr>
      <w:r>
        <w:rPr>
          <w:rFonts w:hint="eastAsia" w:ascii="Times New Roman" w:hAnsi="Times New Roman" w:eastAsia="方正仿宋_GBK" w:cs="Times New Roman"/>
          <w:snapToGrid w:val="0"/>
          <w:kern w:val="0"/>
          <w:lang w:val="en-US" w:eastAsia="zh-CN"/>
        </w:rPr>
        <w:t>1.</w:t>
      </w:r>
      <w:r>
        <w:rPr>
          <w:rFonts w:hint="default" w:ascii="Times New Roman" w:hAnsi="Times New Roman" w:eastAsia="方正仿宋_GBK" w:cs="Times New Roman"/>
          <w:snapToGrid w:val="0"/>
          <w:kern w:val="0"/>
        </w:rPr>
        <w:t>单个生产车间员工在300人以上劳动密集型生产、加工企业</w:t>
      </w:r>
      <w:r>
        <w:rPr>
          <w:rFonts w:hint="eastAsia" w:ascii="Times New Roman" w:hAnsi="Times New Roman" w:eastAsia="方正仿宋_GBK" w:cs="Times New Roman"/>
          <w:snapToGrid w:val="0"/>
          <w:kern w:val="0"/>
          <w:lang w:eastAsia="zh-CN"/>
        </w:rPr>
        <w:t>。</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eastAsia" w:ascii="Times New Roman" w:hAnsi="Times New Roman" w:eastAsia="方正仿宋_GBK" w:cs="Times New Roman"/>
          <w:snapToGrid w:val="0"/>
          <w:kern w:val="0"/>
          <w:lang w:val="en-US" w:eastAsia="zh-CN"/>
        </w:rPr>
        <w:t>2.</w:t>
      </w:r>
      <w:r>
        <w:rPr>
          <w:rFonts w:hint="default" w:ascii="Times New Roman" w:hAnsi="Times New Roman" w:eastAsia="方正仿宋_GBK" w:cs="Times New Roman"/>
          <w:snapToGrid w:val="0"/>
          <w:kern w:val="0"/>
        </w:rPr>
        <w:t>同一建筑内存在多个服装、鞋帽、玩具、木制品、家具、塑料、食品加工、纺织、印染、印刷产品等企业且生产车间员工总人数在</w:t>
      </w:r>
      <w:r>
        <w:rPr>
          <w:rFonts w:hint="eastAsia" w:ascii="Times New Roman" w:eastAsia="方正仿宋_GBK" w:cs="Times New Roman"/>
          <w:snapToGrid w:val="0"/>
          <w:kern w:val="0"/>
          <w:lang w:val="en-US" w:eastAsia="zh-CN"/>
        </w:rPr>
        <w:t>1</w:t>
      </w:r>
      <w:r>
        <w:rPr>
          <w:rFonts w:hint="eastAsia" w:ascii="Times New Roman" w:hAnsi="Times New Roman" w:eastAsia="方正仿宋_GBK" w:cs="Times New Roman"/>
          <w:snapToGrid w:val="0"/>
          <w:kern w:val="0"/>
          <w:lang w:val="en-US" w:eastAsia="zh-CN"/>
        </w:rPr>
        <w:t>00</w:t>
      </w:r>
      <w:r>
        <w:rPr>
          <w:rFonts w:hint="default" w:ascii="Times New Roman" w:hAnsi="Times New Roman" w:eastAsia="方正仿宋_GBK" w:cs="Times New Roman"/>
          <w:snapToGrid w:val="0"/>
          <w:kern w:val="0"/>
        </w:rPr>
        <w:t>人以上的建筑产权或管理单位。</w:t>
      </w:r>
    </w:p>
    <w:p>
      <w:pPr>
        <w:widowControl/>
        <w:topLinePunct/>
        <w:spacing w:line="579" w:lineRule="exact"/>
        <w:ind w:firstLine="640" w:firstLineChars="200"/>
        <w:jc w:val="left"/>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（十）火灾载荷较大、有较大社会影响的省级科研单位。</w:t>
      </w:r>
    </w:p>
    <w:p>
      <w:pPr>
        <w:widowControl/>
        <w:topLinePunct/>
        <w:spacing w:line="579" w:lineRule="exact"/>
        <w:ind w:firstLine="640" w:firstLineChars="200"/>
        <w:jc w:val="left"/>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（十一）高层公共建筑、地下铁道、地下观光隧道，粮、棉、木材、百货等物资仓库和堆场</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1.高层公共建筑建筑高度在50米以上的办公楼（写字楼）、公寓楼等。</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2.除市级消防救援机构列管的城市地下铁道、地下观光隧道等地下公共建筑和城市重要的交通隧道。</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3.国家储备粮库、总储量在30000吨以上的其他粮库。</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4.总储量在1500吨以上的棉库。</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5.总储量在30000立方米以上的木材堆场。</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6.总储存价值在15000万元以上的可燃物品仓库、堆场。</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7.省级重点建筑工程的施工现场。</w:t>
      </w:r>
    </w:p>
    <w:p>
      <w:pPr>
        <w:widowControl/>
        <w:topLinePunct/>
        <w:spacing w:line="579" w:lineRule="exact"/>
        <w:ind w:firstLine="640" w:firstLineChars="200"/>
        <w:jc w:val="left"/>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（十二）</w:t>
      </w:r>
      <w:r>
        <w:rPr>
          <w:rFonts w:hint="eastAsia" w:ascii="方正楷体_GBK" w:eastAsia="方正楷体_GBK"/>
          <w:b w:val="0"/>
          <w:bCs w:val="0"/>
          <w:szCs w:val="32"/>
          <w:shd w:val="clear" w:color="auto" w:fill="FFFFFF"/>
        </w:rPr>
        <w:t>锂电池生产、储存单位及电化学储能单位：</w:t>
      </w:r>
    </w:p>
    <w:p>
      <w:pPr>
        <w:widowControl/>
        <w:topLinePunct/>
        <w:spacing w:line="579" w:lineRule="exact"/>
        <w:ind w:firstLine="640" w:firstLineChars="200"/>
        <w:jc w:val="left"/>
        <w:rPr>
          <w:rFonts w:hint="eastAsia" w:ascii="Times New Roman" w:hAnsi="Times New Roman" w:eastAsia="方正仿宋_GBK" w:cs="Times New Roman"/>
          <w:snapToGrid w:val="0"/>
          <w:kern w:val="0"/>
        </w:rPr>
      </w:pPr>
      <w:r>
        <w:rPr>
          <w:rFonts w:hint="eastAsia" w:ascii="Times New Roman" w:hAnsi="Times New Roman" w:eastAsia="方正仿宋_GBK" w:cs="Times New Roman"/>
          <w:snapToGrid w:val="0"/>
          <w:kern w:val="0"/>
          <w:lang w:val="en-US" w:eastAsia="zh-CN"/>
        </w:rPr>
        <w:t>1.</w:t>
      </w:r>
      <w:r>
        <w:rPr>
          <w:rFonts w:hint="eastAsia" w:ascii="Times New Roman" w:hAnsi="Times New Roman" w:eastAsia="方正仿宋_GBK" w:cs="Times New Roman"/>
          <w:snapToGrid w:val="0"/>
          <w:kern w:val="0"/>
        </w:rPr>
        <w:t>产能在</w:t>
      </w:r>
      <w:r>
        <w:rPr>
          <w:rFonts w:hint="eastAsia" w:ascii="Times New Roman" w:eastAsia="方正仿宋_GBK" w:cs="Times New Roman"/>
          <w:snapToGrid w:val="0"/>
          <w:color w:val="000000"/>
          <w:kern w:val="0"/>
          <w:lang w:val="en-US" w:eastAsia="zh-CN"/>
        </w:rPr>
        <w:t>200</w:t>
      </w:r>
      <w:r>
        <w:rPr>
          <w:rFonts w:hint="eastAsia" w:ascii="Times New Roman" w:hAnsi="Times New Roman" w:eastAsia="方正仿宋_GBK" w:cs="Times New Roman"/>
          <w:snapToGrid w:val="0"/>
          <w:kern w:val="0"/>
        </w:rPr>
        <w:t>MWH及以上的锂电池生产单位；</w:t>
      </w:r>
    </w:p>
    <w:p>
      <w:pPr>
        <w:widowControl/>
        <w:topLinePunct/>
        <w:spacing w:line="579" w:lineRule="exact"/>
        <w:ind w:firstLine="640" w:firstLineChars="200"/>
        <w:jc w:val="left"/>
        <w:rPr>
          <w:rFonts w:hint="eastAsia" w:ascii="Times New Roman" w:hAnsi="Times New Roman" w:eastAsia="方正仿宋_GBK" w:cs="Times New Roman"/>
          <w:snapToGrid w:val="0"/>
          <w:kern w:val="0"/>
        </w:rPr>
      </w:pPr>
      <w:r>
        <w:rPr>
          <w:rFonts w:hint="eastAsia" w:ascii="Times New Roman" w:hAnsi="Times New Roman" w:eastAsia="方正仿宋_GBK" w:cs="Times New Roman"/>
          <w:snapToGrid w:val="0"/>
          <w:kern w:val="0"/>
          <w:lang w:val="en-US" w:eastAsia="zh-CN"/>
        </w:rPr>
        <w:t>2.</w:t>
      </w:r>
      <w:r>
        <w:rPr>
          <w:rFonts w:hint="eastAsia" w:ascii="Times New Roman" w:hAnsi="Times New Roman" w:eastAsia="方正仿宋_GBK" w:cs="Times New Roman"/>
          <w:snapToGrid w:val="0"/>
          <w:kern w:val="0"/>
        </w:rPr>
        <w:t>总储量在</w:t>
      </w:r>
      <w:r>
        <w:rPr>
          <w:rFonts w:hint="eastAsia" w:ascii="Times New Roman" w:eastAsia="方正仿宋_GBK" w:cs="Times New Roman"/>
          <w:snapToGrid w:val="0"/>
          <w:color w:val="000000"/>
          <w:kern w:val="0"/>
          <w:lang w:val="en-US" w:eastAsia="zh-CN"/>
        </w:rPr>
        <w:t>30</w:t>
      </w:r>
      <w:r>
        <w:rPr>
          <w:rFonts w:hint="eastAsia" w:ascii="Times New Roman" w:hAnsi="Times New Roman" w:eastAsia="方正仿宋_GBK" w:cs="Times New Roman"/>
          <w:snapToGrid w:val="0"/>
          <w:kern w:val="0"/>
        </w:rPr>
        <w:t>MWH及以上的锂电池储存单位；</w:t>
      </w:r>
    </w:p>
    <w:p>
      <w:pPr>
        <w:widowControl/>
        <w:topLinePunct/>
        <w:spacing w:line="579" w:lineRule="exact"/>
        <w:ind w:firstLine="640" w:firstLineChars="200"/>
        <w:jc w:val="left"/>
        <w:rPr>
          <w:rFonts w:hint="eastAsia" w:ascii="Times New Roman" w:hAnsi="Times New Roman" w:eastAsia="方正仿宋_GBK" w:cs="Times New Roman"/>
          <w:snapToGrid w:val="0"/>
          <w:kern w:val="0"/>
        </w:rPr>
      </w:pPr>
      <w:r>
        <w:rPr>
          <w:rFonts w:hint="eastAsia" w:ascii="Times New Roman" w:hAnsi="Times New Roman" w:eastAsia="方正仿宋_GBK" w:cs="Times New Roman"/>
          <w:snapToGrid w:val="0"/>
          <w:kern w:val="0"/>
          <w:lang w:val="en-US" w:eastAsia="zh-CN"/>
        </w:rPr>
        <w:t>3.</w:t>
      </w:r>
      <w:r>
        <w:rPr>
          <w:rFonts w:hint="eastAsia" w:ascii="Times New Roman" w:hAnsi="Times New Roman" w:eastAsia="方正仿宋_GBK" w:cs="Times New Roman"/>
          <w:snapToGrid w:val="0"/>
          <w:kern w:val="0"/>
        </w:rPr>
        <w:t>功率为</w:t>
      </w:r>
      <w:r>
        <w:rPr>
          <w:rFonts w:hint="eastAsia" w:ascii="Times New Roman" w:eastAsia="方正仿宋_GBK" w:cs="Times New Roman"/>
          <w:snapToGrid w:val="0"/>
          <w:color w:val="000000"/>
          <w:kern w:val="0"/>
          <w:lang w:val="en-US" w:eastAsia="zh-CN"/>
        </w:rPr>
        <w:t>30</w:t>
      </w:r>
      <w:r>
        <w:rPr>
          <w:rFonts w:hint="eastAsia" w:ascii="Times New Roman" w:hAnsi="Times New Roman" w:eastAsia="方正仿宋_GBK" w:cs="Times New Roman"/>
          <w:snapToGrid w:val="0"/>
          <w:kern w:val="0"/>
        </w:rPr>
        <w:t>MW且容量为</w:t>
      </w:r>
      <w:r>
        <w:rPr>
          <w:rFonts w:hint="eastAsia" w:ascii="Times New Roman" w:eastAsia="方正仿宋_GBK" w:cs="Times New Roman"/>
          <w:snapToGrid w:val="0"/>
          <w:color w:val="000000"/>
          <w:kern w:val="0"/>
          <w:lang w:val="en-US" w:eastAsia="zh-CN"/>
        </w:rPr>
        <w:t>30</w:t>
      </w:r>
      <w:r>
        <w:rPr>
          <w:rFonts w:hint="eastAsia" w:ascii="Times New Roman" w:hAnsi="Times New Roman" w:eastAsia="方正仿宋_GBK" w:cs="Times New Roman"/>
          <w:snapToGrid w:val="0"/>
          <w:kern w:val="0"/>
        </w:rPr>
        <w:t>MW·h及以上的电化学储能电站。</w:t>
      </w:r>
    </w:p>
    <w:p>
      <w:pPr>
        <w:spacing w:line="600" w:lineRule="exact"/>
        <w:ind w:firstLine="640" w:firstLineChars="200"/>
        <w:rPr>
          <w:rFonts w:hint="eastAsia" w:ascii="方正楷体_GBK" w:eastAsia="方正楷体_GBK"/>
          <w:b w:val="0"/>
          <w:bCs w:val="0"/>
          <w:szCs w:val="32"/>
          <w:shd w:val="clear" w:color="auto" w:fill="FFFFFF"/>
        </w:rPr>
      </w:pPr>
      <w:r>
        <w:rPr>
          <w:rFonts w:hint="eastAsia" w:ascii="方正楷体_GBK" w:eastAsia="方正楷体_GBK"/>
          <w:b w:val="0"/>
          <w:bCs w:val="0"/>
          <w:szCs w:val="32"/>
          <w:shd w:val="clear" w:color="auto" w:fill="FFFFFF"/>
          <w:lang w:eastAsia="zh-CN"/>
        </w:rPr>
        <w:t>（</w:t>
      </w:r>
      <w:r>
        <w:rPr>
          <w:rFonts w:hint="eastAsia" w:ascii="方正楷体_GBK" w:eastAsia="方正楷体_GBK"/>
          <w:b w:val="0"/>
          <w:bCs w:val="0"/>
          <w:szCs w:val="32"/>
          <w:shd w:val="clear" w:color="auto" w:fill="FFFFFF"/>
        </w:rPr>
        <w:t>十三</w:t>
      </w:r>
      <w:r>
        <w:rPr>
          <w:rFonts w:hint="eastAsia" w:ascii="方正楷体_GBK" w:eastAsia="方正楷体_GBK"/>
          <w:b w:val="0"/>
          <w:bCs w:val="0"/>
          <w:szCs w:val="32"/>
          <w:shd w:val="clear" w:color="auto" w:fill="FFFFFF"/>
          <w:lang w:eastAsia="zh-CN"/>
        </w:rPr>
        <w:t>）</w:t>
      </w:r>
      <w:r>
        <w:rPr>
          <w:rFonts w:hint="eastAsia" w:ascii="方正楷体_GBK" w:eastAsia="方正楷体_GBK"/>
          <w:b w:val="0"/>
          <w:bCs w:val="0"/>
          <w:szCs w:val="32"/>
          <w:shd w:val="clear" w:color="auto" w:fill="FFFFFF"/>
        </w:rPr>
        <w:t>其他业态生产经营场所：</w:t>
      </w:r>
    </w:p>
    <w:p>
      <w:pPr>
        <w:widowControl/>
        <w:topLinePunct/>
        <w:spacing w:line="579" w:lineRule="exact"/>
        <w:ind w:firstLine="640" w:firstLineChars="200"/>
        <w:jc w:val="left"/>
        <w:rPr>
          <w:rFonts w:hint="eastAsia" w:ascii="Times New Roman" w:hAnsi="Times New Roman" w:eastAsia="方正仿宋_GBK" w:cs="Times New Roman"/>
          <w:snapToGrid w:val="0"/>
          <w:kern w:val="0"/>
        </w:rPr>
      </w:pPr>
      <w:r>
        <w:rPr>
          <w:rFonts w:hint="eastAsia" w:ascii="Times New Roman" w:hAnsi="Times New Roman" w:eastAsia="方正仿宋_GBK" w:cs="Times New Roman"/>
          <w:snapToGrid w:val="0"/>
          <w:kern w:val="0"/>
          <w:lang w:val="en-US" w:eastAsia="zh-CN"/>
        </w:rPr>
        <w:t>1.</w:t>
      </w:r>
      <w:r>
        <w:rPr>
          <w:rFonts w:hint="eastAsia" w:ascii="Times New Roman" w:hAnsi="Times New Roman" w:eastAsia="方正仿宋_GBK" w:cs="Times New Roman"/>
          <w:snapToGrid w:val="0"/>
          <w:kern w:val="0"/>
        </w:rPr>
        <w:t>建筑面积在</w:t>
      </w:r>
      <w:r>
        <w:rPr>
          <w:rFonts w:hint="eastAsia" w:ascii="Times New Roman" w:eastAsia="方正仿宋_GBK" w:cs="Times New Roman"/>
          <w:snapToGrid w:val="0"/>
          <w:color w:val="000000"/>
          <w:kern w:val="0"/>
          <w:lang w:val="en-US" w:eastAsia="zh-CN"/>
        </w:rPr>
        <w:t>500</w:t>
      </w:r>
      <w:r>
        <w:rPr>
          <w:rFonts w:hint="eastAsia" w:ascii="Times New Roman" w:hAnsi="Times New Roman" w:eastAsia="方正仿宋_GBK" w:cs="Times New Roman"/>
          <w:snapToGrid w:val="0"/>
          <w:kern w:val="0"/>
        </w:rPr>
        <w:t>平方米以上的剧本杀、密室逃脱等剧本娱乐经营场所；</w:t>
      </w:r>
    </w:p>
    <w:p>
      <w:pPr>
        <w:widowControl/>
        <w:topLinePunct/>
        <w:spacing w:line="579" w:lineRule="exact"/>
        <w:ind w:firstLine="640" w:firstLineChars="200"/>
        <w:jc w:val="left"/>
        <w:rPr>
          <w:rFonts w:hint="eastAsia" w:ascii="Times New Roman" w:hAnsi="Times New Roman" w:eastAsia="方正仿宋_GBK" w:cs="Times New Roman"/>
          <w:snapToGrid w:val="0"/>
          <w:kern w:val="0"/>
        </w:rPr>
      </w:pPr>
      <w:r>
        <w:rPr>
          <w:rFonts w:hint="eastAsia" w:ascii="Times New Roman" w:hAnsi="Times New Roman" w:eastAsia="方正仿宋_GBK" w:cs="Times New Roman"/>
          <w:snapToGrid w:val="0"/>
          <w:kern w:val="0"/>
          <w:lang w:val="en-US" w:eastAsia="zh-CN"/>
        </w:rPr>
        <w:t>2.</w:t>
      </w:r>
      <w:r>
        <w:rPr>
          <w:rFonts w:hint="eastAsia" w:ascii="Times New Roman" w:hAnsi="Times New Roman" w:eastAsia="方正仿宋_GBK" w:cs="Times New Roman"/>
          <w:snapToGrid w:val="0"/>
          <w:kern w:val="0"/>
        </w:rPr>
        <w:t>建筑面积在</w:t>
      </w:r>
      <w:r>
        <w:rPr>
          <w:rFonts w:hint="eastAsia" w:ascii="Times New Roman" w:eastAsia="方正仿宋_GBK" w:cs="Times New Roman"/>
          <w:snapToGrid w:val="0"/>
          <w:color w:val="000000"/>
          <w:kern w:val="0"/>
          <w:lang w:val="en-US" w:eastAsia="zh-CN"/>
        </w:rPr>
        <w:t>1</w:t>
      </w:r>
      <w:r>
        <w:rPr>
          <w:rFonts w:hint="eastAsia" w:ascii="Times New Roman" w:hAnsi="Times New Roman" w:eastAsia="方正仿宋_GBK" w:cs="Times New Roman"/>
          <w:snapToGrid w:val="0"/>
          <w:color w:val="000000"/>
          <w:kern w:val="0"/>
        </w:rPr>
        <w:t>000</w:t>
      </w:r>
      <w:r>
        <w:rPr>
          <w:rFonts w:hint="eastAsia" w:ascii="Times New Roman" w:hAnsi="Times New Roman" w:eastAsia="方正仿宋_GBK" w:cs="Times New Roman"/>
          <w:snapToGrid w:val="0"/>
          <w:kern w:val="0"/>
        </w:rPr>
        <w:t>平方米以上的室内冰雪活动场所；</w:t>
      </w:r>
    </w:p>
    <w:p>
      <w:pPr>
        <w:widowControl/>
        <w:topLinePunct/>
        <w:spacing w:line="579" w:lineRule="exact"/>
        <w:ind w:firstLine="640" w:firstLineChars="200"/>
        <w:jc w:val="left"/>
        <w:rPr>
          <w:rFonts w:hint="eastAsia" w:ascii="Times New Roman" w:hAnsi="Times New Roman" w:eastAsia="方正仿宋_GBK" w:cs="Times New Roman"/>
          <w:snapToGrid w:val="0"/>
          <w:kern w:val="0"/>
        </w:rPr>
      </w:pPr>
      <w:r>
        <w:rPr>
          <w:rFonts w:hint="eastAsia" w:ascii="Times New Roman" w:hAnsi="Times New Roman" w:eastAsia="方正仿宋_GBK" w:cs="Times New Roman"/>
          <w:snapToGrid w:val="0"/>
          <w:kern w:val="0"/>
          <w:lang w:val="en-US" w:eastAsia="zh-CN"/>
        </w:rPr>
        <w:t>3.</w:t>
      </w:r>
      <w:r>
        <w:rPr>
          <w:rFonts w:hint="eastAsia" w:ascii="Times New Roman" w:hAnsi="Times New Roman" w:eastAsia="方正仿宋_GBK" w:cs="Times New Roman"/>
          <w:snapToGrid w:val="0"/>
          <w:kern w:val="0"/>
        </w:rPr>
        <w:t>住宿床位在</w:t>
      </w:r>
      <w:r>
        <w:rPr>
          <w:rFonts w:hint="eastAsia" w:ascii="Times New Roman" w:eastAsia="方正仿宋_GBK" w:cs="Times New Roman"/>
          <w:snapToGrid w:val="0"/>
          <w:color w:val="000000"/>
          <w:kern w:val="0"/>
          <w:lang w:val="en-US" w:eastAsia="zh-CN"/>
        </w:rPr>
        <w:t>50</w:t>
      </w:r>
      <w:r>
        <w:rPr>
          <w:rFonts w:hint="eastAsia" w:ascii="Times New Roman" w:hAnsi="Times New Roman" w:eastAsia="方正仿宋_GBK" w:cs="Times New Roman"/>
          <w:snapToGrid w:val="0"/>
          <w:kern w:val="0"/>
        </w:rPr>
        <w:t>张以上的月子中心等孕婴服务场所；</w:t>
      </w:r>
    </w:p>
    <w:p>
      <w:pPr>
        <w:widowControl/>
        <w:topLinePunct/>
        <w:spacing w:line="579" w:lineRule="exact"/>
        <w:ind w:firstLine="640" w:firstLineChars="200"/>
        <w:jc w:val="left"/>
        <w:rPr>
          <w:rFonts w:hint="eastAsia" w:ascii="Times New Roman" w:hAnsi="Times New Roman" w:eastAsia="方正仿宋_GBK" w:cs="Times New Roman"/>
          <w:snapToGrid w:val="0"/>
          <w:kern w:val="0"/>
        </w:rPr>
      </w:pPr>
      <w:r>
        <w:rPr>
          <w:rFonts w:hint="eastAsia" w:ascii="Times New Roman" w:hAnsi="Times New Roman" w:eastAsia="方正仿宋_GBK" w:cs="Times New Roman"/>
          <w:snapToGrid w:val="0"/>
          <w:kern w:val="0"/>
          <w:lang w:val="en-US" w:eastAsia="zh-CN"/>
        </w:rPr>
        <w:t>4.</w:t>
      </w:r>
      <w:r>
        <w:rPr>
          <w:rFonts w:hint="eastAsia" w:ascii="Times New Roman" w:hAnsi="Times New Roman" w:eastAsia="方正仿宋_GBK" w:cs="Times New Roman"/>
          <w:snapToGrid w:val="0"/>
          <w:kern w:val="0"/>
        </w:rPr>
        <w:t>存储型物流建筑</w:t>
      </w:r>
      <w:r>
        <w:rPr>
          <w:rFonts w:hint="eastAsia" w:ascii="Times New Roman" w:hAnsi="Times New Roman" w:eastAsia="方正仿宋_GBK" w:cs="Times New Roman"/>
          <w:snapToGrid w:val="0"/>
          <w:color w:val="000000"/>
          <w:kern w:val="0"/>
        </w:rPr>
        <w:t>单体面积在</w:t>
      </w:r>
      <w:r>
        <w:rPr>
          <w:rFonts w:hint="eastAsia" w:ascii="Times New Roman" w:eastAsia="方正仿宋_GBK" w:cs="Times New Roman"/>
          <w:snapToGrid w:val="0"/>
          <w:color w:val="000000"/>
          <w:kern w:val="0"/>
          <w:lang w:val="en-US" w:eastAsia="zh-CN"/>
        </w:rPr>
        <w:t>5000</w:t>
      </w:r>
      <w:r>
        <w:rPr>
          <w:rFonts w:hint="eastAsia" w:ascii="Times New Roman" w:hAnsi="Times New Roman" w:eastAsia="方正仿宋_GBK" w:cs="Times New Roman"/>
          <w:snapToGrid w:val="0"/>
          <w:color w:val="000000"/>
          <w:kern w:val="0"/>
        </w:rPr>
        <w:t>平方米以上，</w:t>
      </w:r>
      <w:r>
        <w:rPr>
          <w:rFonts w:hint="eastAsia" w:ascii="Times New Roman" w:hAnsi="Times New Roman" w:eastAsia="方正仿宋_GBK" w:cs="Times New Roman"/>
          <w:snapToGrid w:val="0"/>
          <w:kern w:val="0"/>
        </w:rPr>
        <w:t>作业型物流建筑、综合型物流建筑</w:t>
      </w:r>
      <w:r>
        <w:rPr>
          <w:rFonts w:hint="eastAsia" w:ascii="Times New Roman" w:hAnsi="Times New Roman" w:eastAsia="方正仿宋_GBK" w:cs="Times New Roman"/>
          <w:snapToGrid w:val="0"/>
          <w:color w:val="000000"/>
          <w:kern w:val="0"/>
        </w:rPr>
        <w:t>单体面积在</w:t>
      </w:r>
      <w:r>
        <w:rPr>
          <w:rFonts w:hint="eastAsia" w:ascii="Times New Roman" w:eastAsia="方正仿宋_GBK" w:cs="Times New Roman"/>
          <w:snapToGrid w:val="0"/>
          <w:color w:val="000000"/>
          <w:kern w:val="0"/>
          <w:lang w:val="en-US" w:eastAsia="zh-CN"/>
        </w:rPr>
        <w:t>1</w:t>
      </w:r>
      <w:r>
        <w:rPr>
          <w:rFonts w:hint="eastAsia" w:ascii="Times New Roman" w:hAnsi="Times New Roman" w:eastAsia="方正仿宋_GBK" w:cs="Times New Roman"/>
          <w:snapToGrid w:val="0"/>
          <w:color w:val="000000"/>
          <w:kern w:val="0"/>
        </w:rPr>
        <w:t>0000平方米以上</w:t>
      </w:r>
      <w:r>
        <w:rPr>
          <w:rFonts w:hint="eastAsia" w:ascii="Times New Roman" w:hAnsi="Times New Roman" w:eastAsia="方正仿宋_GBK" w:cs="Times New Roman"/>
          <w:snapToGrid w:val="0"/>
          <w:kern w:val="0"/>
        </w:rPr>
        <w:t>的企业。</w:t>
      </w:r>
    </w:p>
    <w:p>
      <w:pPr>
        <w:widowControl/>
        <w:topLinePunct/>
        <w:spacing w:line="579" w:lineRule="exact"/>
        <w:ind w:firstLine="640" w:firstLineChars="200"/>
        <w:jc w:val="left"/>
        <w:rPr>
          <w:rFonts w:hint="default" w:ascii="Times New Roman" w:hAnsi="Times New Roman" w:eastAsia="方正楷体_GBK" w:cs="Times New Roman"/>
          <w:snapToGrid w:val="0"/>
          <w:color w:val="000000"/>
          <w:kern w:val="0"/>
          <w:shd w:val="clear" w:color="auto" w:fill="FFFFFF"/>
        </w:rPr>
      </w:pPr>
      <w:r>
        <w:rPr>
          <w:rFonts w:hint="eastAsia" w:ascii="Times New Roman" w:eastAsia="方正楷体_GBK" w:cs="Times New Roman"/>
          <w:snapToGrid w:val="0"/>
          <w:color w:val="000000"/>
          <w:kern w:val="0"/>
          <w:shd w:val="clear" w:color="auto" w:fill="FFFFFF"/>
          <w:lang w:eastAsia="zh-CN"/>
        </w:rPr>
        <w:t>（</w:t>
      </w:r>
      <w:r>
        <w:rPr>
          <w:rFonts w:hint="eastAsia" w:ascii="Times New Roman" w:eastAsia="方正楷体_GBK" w:cs="Times New Roman"/>
          <w:snapToGrid w:val="0"/>
          <w:color w:val="000000"/>
          <w:kern w:val="0"/>
          <w:shd w:val="clear" w:color="auto" w:fill="FFFFFF"/>
          <w:lang w:val="en-US" w:eastAsia="zh-CN"/>
        </w:rPr>
        <w:t>十四</w:t>
      </w:r>
      <w:r>
        <w:rPr>
          <w:rFonts w:hint="eastAsia" w:ascii="Times New Roman" w:eastAsia="方正楷体_GBK" w:cs="Times New Roman"/>
          <w:snapToGrid w:val="0"/>
          <w:color w:val="000000"/>
          <w:kern w:val="0"/>
          <w:shd w:val="clear" w:color="auto" w:fill="FFFFFF"/>
          <w:lang w:eastAsia="zh-CN"/>
        </w:rPr>
        <w:t>）</w:t>
      </w:r>
      <w:r>
        <w:rPr>
          <w:rFonts w:hint="default" w:ascii="Times New Roman" w:hAnsi="Times New Roman" w:eastAsia="方正楷体_GBK" w:cs="Times New Roman"/>
          <w:snapToGrid w:val="0"/>
          <w:color w:val="000000"/>
          <w:kern w:val="0"/>
          <w:shd w:val="clear" w:color="auto" w:fill="FFFFFF"/>
        </w:rPr>
        <w:t>其他需要县级消防救援机构认定为二级消防安全重点单位的。</w:t>
      </w:r>
    </w:p>
    <w:p>
      <w:pPr>
        <w:spacing w:line="579" w:lineRule="exact"/>
        <w:ind w:firstLine="640" w:firstLineChars="200"/>
        <w:rPr>
          <w:rFonts w:hint="default" w:ascii="Times New Roman" w:hAnsi="Times New Roman" w:eastAsia="方正黑体_GBK" w:cs="Times New Roman"/>
          <w:snapToGrid w:val="0"/>
          <w:color w:val="000000"/>
          <w:kern w:val="0"/>
          <w:shd w:val="clear" w:color="auto" w:fill="FFFFFF"/>
        </w:rPr>
      </w:pPr>
      <w:r>
        <w:rPr>
          <w:rFonts w:hint="default" w:ascii="Times New Roman" w:hAnsi="Times New Roman" w:eastAsia="方正黑体_GBK" w:cs="Times New Roman"/>
          <w:snapToGrid w:val="0"/>
          <w:color w:val="000000"/>
          <w:kern w:val="0"/>
          <w:shd w:val="clear" w:color="auto" w:fill="FFFFFF"/>
        </w:rPr>
        <w:t>三、三级消防安全重点单位（公安派出所列管）</w:t>
      </w:r>
    </w:p>
    <w:p>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（一）本辖区内同时满足下列条件的单位和场所</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1.符合《河南省消防安全重点单位界定标准》；</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2.不符合一级消防安全界定标准和二级消防安全界定标准；</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3.设有自动消防设施且功能复杂的社会单位不得列为三级消防安全重点单位。</w:t>
      </w:r>
    </w:p>
    <w:p>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（二）其他发生火灾可能性较大以及一旦发生火灾可能造成人身重大伤亡或者财产重大损失的单位和需要公安机关认定为三级消防安全重点单位的。</w:t>
      </w:r>
    </w:p>
    <w:p>
      <w:pPr>
        <w:spacing w:line="579" w:lineRule="exact"/>
        <w:rPr>
          <w:rFonts w:hint="default" w:ascii="Times New Roman" w:hAnsi="Times New Roman" w:eastAsia="方正黑体_GBK" w:cs="Times New Roman"/>
          <w:snapToGrid w:val="0"/>
          <w:kern w:val="0"/>
          <w:shd w:val="clear" w:color="auto" w:fill="FFFFFF"/>
        </w:rPr>
      </w:pPr>
      <w:r>
        <w:rPr>
          <w:rFonts w:hint="default" w:ascii="Times New Roman" w:hAnsi="Times New Roman" w:eastAsia="方正黑体_GBK" w:cs="Times New Roman"/>
          <w:snapToGrid w:val="0"/>
          <w:kern w:val="0"/>
          <w:shd w:val="clear" w:color="auto" w:fill="FFFFFF"/>
        </w:rPr>
        <w:t>说明：</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1.对于符合三级消防安全重点单位标准的单位，如果设有自动消防设施且功能复杂同时设有独立消防控制室，应列为二级消防安全重点单位。</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2.在一个符合界定标准的单位或建筑物内另有符合界定标准而法人不同的单位，可分别算为消防安全重点单位，法人相同但多家承包。租赁的可算为一个消防安全重点单位。</w:t>
      </w:r>
    </w:p>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p>
    <w:p>
      <w:pPr>
        <w:spacing w:line="560" w:lineRule="exact"/>
        <w:jc w:val="both"/>
        <w:rPr>
          <w:rFonts w:hint="default" w:ascii="Times New Roman" w:hAnsi="Times New Roman" w:eastAsia="方正小标宋简体" w:cs="Times New Roman"/>
          <w:sz w:val="44"/>
          <w:szCs w:val="44"/>
        </w:rPr>
      </w:pPr>
    </w:p>
    <w:p>
      <w:pPr>
        <w:spacing w:line="560" w:lineRule="exact"/>
        <w:jc w:val="left"/>
        <w:rPr>
          <w:rFonts w:hint="default" w:ascii="Times New Roman" w:hAnsi="Times New Roman" w:eastAsia="黑体" w:cs="Times New Roman"/>
          <w:bCs/>
        </w:rPr>
      </w:pPr>
    </w:p>
    <w:p>
      <w:pPr>
        <w:spacing w:line="560" w:lineRule="exact"/>
        <w:jc w:val="left"/>
        <w:rPr>
          <w:rFonts w:hint="default" w:ascii="Times New Roman" w:hAnsi="Times New Roman" w:eastAsia="黑体" w:cs="Times New Roman"/>
          <w:bCs/>
        </w:rPr>
      </w:pPr>
    </w:p>
    <w:p>
      <w:pPr>
        <w:spacing w:line="560" w:lineRule="exact"/>
        <w:jc w:val="left"/>
        <w:rPr>
          <w:rFonts w:hint="default" w:ascii="Times New Roman" w:hAnsi="Times New Roman" w:eastAsia="黑体" w:cs="Times New Roman"/>
          <w:bCs/>
        </w:rPr>
      </w:pPr>
    </w:p>
    <w:p>
      <w:pPr>
        <w:spacing w:line="560" w:lineRule="exact"/>
        <w:jc w:val="left"/>
        <w:rPr>
          <w:rFonts w:hint="default" w:ascii="Times New Roman" w:hAnsi="Times New Roman" w:eastAsia="黑体" w:cs="Times New Roman"/>
          <w:bCs/>
        </w:rPr>
      </w:pPr>
    </w:p>
    <w:p>
      <w:pPr>
        <w:spacing w:line="560" w:lineRule="exact"/>
        <w:jc w:val="left"/>
        <w:rPr>
          <w:rFonts w:hint="default" w:ascii="Times New Roman" w:hAnsi="Times New Roman" w:eastAsia="黑体" w:cs="Times New Roman"/>
          <w:bCs/>
        </w:rPr>
      </w:pPr>
    </w:p>
    <w:p>
      <w:pPr>
        <w:spacing w:line="560" w:lineRule="exact"/>
        <w:jc w:val="left"/>
        <w:rPr>
          <w:rFonts w:hint="default" w:ascii="Times New Roman" w:hAnsi="Times New Roman" w:eastAsia="黑体" w:cs="Times New Roman"/>
          <w:bCs/>
        </w:rPr>
      </w:pPr>
    </w:p>
    <w:p>
      <w:pPr>
        <w:spacing w:line="560" w:lineRule="exact"/>
        <w:jc w:val="left"/>
        <w:rPr>
          <w:rFonts w:hint="default" w:ascii="Times New Roman" w:hAnsi="Times New Roman" w:eastAsia="黑体" w:cs="Times New Roman"/>
          <w:bCs/>
        </w:rPr>
      </w:pPr>
    </w:p>
    <w:p>
      <w:pPr>
        <w:spacing w:line="560" w:lineRule="exact"/>
        <w:jc w:val="left"/>
        <w:rPr>
          <w:rFonts w:hint="default" w:ascii="Times New Roman" w:hAnsi="Times New Roman" w:eastAsia="黑体" w:cs="Times New Roman"/>
          <w:bCs/>
        </w:rPr>
      </w:pPr>
    </w:p>
    <w:p>
      <w:pPr>
        <w:spacing w:line="600" w:lineRule="exact"/>
        <w:rPr>
          <w:rFonts w:hint="eastAsia" w:ascii="Times New Roman" w:eastAsia="仿宋_GB2312" w:cs="Times New Roman"/>
          <w:lang w:val="en-US" w:eastAsia="zh-CN"/>
        </w:rPr>
      </w:pPr>
      <w:bookmarkStart w:id="0" w:name="_GoBack"/>
      <w:bookmarkEnd w:id="0"/>
    </w:p>
    <w:sectPr>
      <w:footerReference r:id="rId3" w:type="default"/>
      <w:footerReference r:id="rId4" w:type="even"/>
      <w:pgSz w:w="11906" w:h="16838"/>
      <w:pgMar w:top="2098" w:right="1588" w:bottom="1588" w:left="1588" w:header="851" w:footer="992" w:gutter="0"/>
      <w:pgNumType w:fmt="decimalFullWidth"/>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imes New Roman"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YzlmZWFjOWQwYTA5Nzk4MzYwYWVkMTY4NWFmZjgifQ=="/>
  </w:docVars>
  <w:rsids>
    <w:rsidRoot w:val="00EE1024"/>
    <w:rsid w:val="00025978"/>
    <w:rsid w:val="00056F34"/>
    <w:rsid w:val="00065E3E"/>
    <w:rsid w:val="000668FF"/>
    <w:rsid w:val="00091C3F"/>
    <w:rsid w:val="000B6D62"/>
    <w:rsid w:val="000C4BD6"/>
    <w:rsid w:val="000E29B7"/>
    <w:rsid w:val="000E43FA"/>
    <w:rsid w:val="000F0828"/>
    <w:rsid w:val="000F39FE"/>
    <w:rsid w:val="000F74BF"/>
    <w:rsid w:val="00137297"/>
    <w:rsid w:val="00146081"/>
    <w:rsid w:val="001555BA"/>
    <w:rsid w:val="0017756F"/>
    <w:rsid w:val="00181769"/>
    <w:rsid w:val="00191EF4"/>
    <w:rsid w:val="001A01E9"/>
    <w:rsid w:val="001C53E7"/>
    <w:rsid w:val="001D2307"/>
    <w:rsid w:val="001E607E"/>
    <w:rsid w:val="001F31C8"/>
    <w:rsid w:val="001F4F03"/>
    <w:rsid w:val="00206F50"/>
    <w:rsid w:val="002379D2"/>
    <w:rsid w:val="00244469"/>
    <w:rsid w:val="002647BB"/>
    <w:rsid w:val="00281D42"/>
    <w:rsid w:val="0028550D"/>
    <w:rsid w:val="00297AE1"/>
    <w:rsid w:val="002D21C2"/>
    <w:rsid w:val="002F62BD"/>
    <w:rsid w:val="003014D2"/>
    <w:rsid w:val="003045DA"/>
    <w:rsid w:val="0031149F"/>
    <w:rsid w:val="00330475"/>
    <w:rsid w:val="003550AC"/>
    <w:rsid w:val="00363765"/>
    <w:rsid w:val="003815F2"/>
    <w:rsid w:val="00385A33"/>
    <w:rsid w:val="00396B83"/>
    <w:rsid w:val="003A26CE"/>
    <w:rsid w:val="003C49F6"/>
    <w:rsid w:val="003C729E"/>
    <w:rsid w:val="003E4BC3"/>
    <w:rsid w:val="00403078"/>
    <w:rsid w:val="004035FF"/>
    <w:rsid w:val="004400A6"/>
    <w:rsid w:val="00442338"/>
    <w:rsid w:val="00451BC8"/>
    <w:rsid w:val="004839F9"/>
    <w:rsid w:val="004B6C66"/>
    <w:rsid w:val="004C595F"/>
    <w:rsid w:val="004D12F8"/>
    <w:rsid w:val="004D7E17"/>
    <w:rsid w:val="00517CA6"/>
    <w:rsid w:val="00531B20"/>
    <w:rsid w:val="00567A57"/>
    <w:rsid w:val="0057591D"/>
    <w:rsid w:val="005D2243"/>
    <w:rsid w:val="005D653B"/>
    <w:rsid w:val="005E5E6C"/>
    <w:rsid w:val="00602293"/>
    <w:rsid w:val="00622A6C"/>
    <w:rsid w:val="00623964"/>
    <w:rsid w:val="00624B91"/>
    <w:rsid w:val="00624C9B"/>
    <w:rsid w:val="00646E7E"/>
    <w:rsid w:val="00664BCE"/>
    <w:rsid w:val="00670DBA"/>
    <w:rsid w:val="0067379C"/>
    <w:rsid w:val="00685247"/>
    <w:rsid w:val="0068527F"/>
    <w:rsid w:val="0069715A"/>
    <w:rsid w:val="006A0D1E"/>
    <w:rsid w:val="006D104C"/>
    <w:rsid w:val="006E4468"/>
    <w:rsid w:val="0070316A"/>
    <w:rsid w:val="00733260"/>
    <w:rsid w:val="00750FC2"/>
    <w:rsid w:val="007566D1"/>
    <w:rsid w:val="00762C9B"/>
    <w:rsid w:val="0077269A"/>
    <w:rsid w:val="007A1B06"/>
    <w:rsid w:val="007A2F41"/>
    <w:rsid w:val="007B79BE"/>
    <w:rsid w:val="007C20E3"/>
    <w:rsid w:val="007D0BB3"/>
    <w:rsid w:val="008019EC"/>
    <w:rsid w:val="00815DF0"/>
    <w:rsid w:val="00846311"/>
    <w:rsid w:val="008836EA"/>
    <w:rsid w:val="008C1E2F"/>
    <w:rsid w:val="008D456F"/>
    <w:rsid w:val="008E12FB"/>
    <w:rsid w:val="00927090"/>
    <w:rsid w:val="0094689E"/>
    <w:rsid w:val="009B0944"/>
    <w:rsid w:val="009B3675"/>
    <w:rsid w:val="009C62EA"/>
    <w:rsid w:val="009C6A5E"/>
    <w:rsid w:val="009E48EE"/>
    <w:rsid w:val="009E5762"/>
    <w:rsid w:val="00A00C79"/>
    <w:rsid w:val="00A05E36"/>
    <w:rsid w:val="00A16447"/>
    <w:rsid w:val="00A81AC9"/>
    <w:rsid w:val="00AA6936"/>
    <w:rsid w:val="00AB21EF"/>
    <w:rsid w:val="00AE76D8"/>
    <w:rsid w:val="00AF30B0"/>
    <w:rsid w:val="00B138D1"/>
    <w:rsid w:val="00B1470C"/>
    <w:rsid w:val="00B2468C"/>
    <w:rsid w:val="00B33528"/>
    <w:rsid w:val="00B53BF2"/>
    <w:rsid w:val="00B57610"/>
    <w:rsid w:val="00B94816"/>
    <w:rsid w:val="00BA1A55"/>
    <w:rsid w:val="00BA6719"/>
    <w:rsid w:val="00BA7B96"/>
    <w:rsid w:val="00BC1651"/>
    <w:rsid w:val="00BD3574"/>
    <w:rsid w:val="00BD6EE2"/>
    <w:rsid w:val="00BF5FE7"/>
    <w:rsid w:val="00C02199"/>
    <w:rsid w:val="00C612F7"/>
    <w:rsid w:val="00C71FD6"/>
    <w:rsid w:val="00C85131"/>
    <w:rsid w:val="00C864C4"/>
    <w:rsid w:val="00CB1E7F"/>
    <w:rsid w:val="00CB5966"/>
    <w:rsid w:val="00CD5C8D"/>
    <w:rsid w:val="00CE32E7"/>
    <w:rsid w:val="00CF054A"/>
    <w:rsid w:val="00D140FA"/>
    <w:rsid w:val="00D6169E"/>
    <w:rsid w:val="00D62CBA"/>
    <w:rsid w:val="00D63259"/>
    <w:rsid w:val="00DA684A"/>
    <w:rsid w:val="00DB28A0"/>
    <w:rsid w:val="00DB2D31"/>
    <w:rsid w:val="00DB3FA2"/>
    <w:rsid w:val="00DF7244"/>
    <w:rsid w:val="00E11E2F"/>
    <w:rsid w:val="00E3553B"/>
    <w:rsid w:val="00E43FDD"/>
    <w:rsid w:val="00E5005B"/>
    <w:rsid w:val="00E60619"/>
    <w:rsid w:val="00E77C87"/>
    <w:rsid w:val="00E8038A"/>
    <w:rsid w:val="00EB3872"/>
    <w:rsid w:val="00EB55B9"/>
    <w:rsid w:val="00EB55CF"/>
    <w:rsid w:val="00EB72D7"/>
    <w:rsid w:val="00EC2A78"/>
    <w:rsid w:val="00EE1024"/>
    <w:rsid w:val="00EF170D"/>
    <w:rsid w:val="00F12C63"/>
    <w:rsid w:val="00F17047"/>
    <w:rsid w:val="00F2573A"/>
    <w:rsid w:val="00F263AF"/>
    <w:rsid w:val="00F35A5E"/>
    <w:rsid w:val="00F62A86"/>
    <w:rsid w:val="00F63EB2"/>
    <w:rsid w:val="00F84CCA"/>
    <w:rsid w:val="00F962E6"/>
    <w:rsid w:val="00FD4A57"/>
    <w:rsid w:val="00FD5592"/>
    <w:rsid w:val="00FE2438"/>
    <w:rsid w:val="00FE74AB"/>
    <w:rsid w:val="00FF78B8"/>
    <w:rsid w:val="013E4434"/>
    <w:rsid w:val="04CD33C3"/>
    <w:rsid w:val="07DE427B"/>
    <w:rsid w:val="08C01BD2"/>
    <w:rsid w:val="0ACC485F"/>
    <w:rsid w:val="0BB51797"/>
    <w:rsid w:val="0CDE530C"/>
    <w:rsid w:val="0D58687D"/>
    <w:rsid w:val="0F2C0150"/>
    <w:rsid w:val="10401F77"/>
    <w:rsid w:val="130B7EEE"/>
    <w:rsid w:val="13E10D5B"/>
    <w:rsid w:val="156A53A0"/>
    <w:rsid w:val="160A34E9"/>
    <w:rsid w:val="16504596"/>
    <w:rsid w:val="18BA03EC"/>
    <w:rsid w:val="19811773"/>
    <w:rsid w:val="19882298"/>
    <w:rsid w:val="1A7840BB"/>
    <w:rsid w:val="1AC00251"/>
    <w:rsid w:val="1C033E58"/>
    <w:rsid w:val="1C0F01FB"/>
    <w:rsid w:val="1EF9641A"/>
    <w:rsid w:val="1FD60435"/>
    <w:rsid w:val="20CC7EBB"/>
    <w:rsid w:val="217100C7"/>
    <w:rsid w:val="22DF79AE"/>
    <w:rsid w:val="2409047A"/>
    <w:rsid w:val="255A71DF"/>
    <w:rsid w:val="264C081F"/>
    <w:rsid w:val="273852FE"/>
    <w:rsid w:val="2AC33130"/>
    <w:rsid w:val="2C974875"/>
    <w:rsid w:val="2CCE2260"/>
    <w:rsid w:val="2CEC556A"/>
    <w:rsid w:val="30F06C49"/>
    <w:rsid w:val="31AB184C"/>
    <w:rsid w:val="320A5AE9"/>
    <w:rsid w:val="335F1E64"/>
    <w:rsid w:val="34454C6D"/>
    <w:rsid w:val="346314E0"/>
    <w:rsid w:val="366C2E95"/>
    <w:rsid w:val="3A934D0B"/>
    <w:rsid w:val="3CC64D02"/>
    <w:rsid w:val="3D750E54"/>
    <w:rsid w:val="3E1675C3"/>
    <w:rsid w:val="3E574293"/>
    <w:rsid w:val="3E732550"/>
    <w:rsid w:val="40416B7A"/>
    <w:rsid w:val="418A4550"/>
    <w:rsid w:val="43081BD1"/>
    <w:rsid w:val="43A86F10"/>
    <w:rsid w:val="43C71A8C"/>
    <w:rsid w:val="43E4263E"/>
    <w:rsid w:val="454809AA"/>
    <w:rsid w:val="467332AC"/>
    <w:rsid w:val="46DC034D"/>
    <w:rsid w:val="473C009B"/>
    <w:rsid w:val="478B4B7E"/>
    <w:rsid w:val="47A619B8"/>
    <w:rsid w:val="48735D3E"/>
    <w:rsid w:val="4B0B4954"/>
    <w:rsid w:val="4B9177DA"/>
    <w:rsid w:val="4CCC15A8"/>
    <w:rsid w:val="4FFD05E3"/>
    <w:rsid w:val="546D5D37"/>
    <w:rsid w:val="54FC70BB"/>
    <w:rsid w:val="590D6E39"/>
    <w:rsid w:val="5AEC590E"/>
    <w:rsid w:val="5F4110E4"/>
    <w:rsid w:val="5FF76DFD"/>
    <w:rsid w:val="603B04A5"/>
    <w:rsid w:val="640B2E77"/>
    <w:rsid w:val="663743F7"/>
    <w:rsid w:val="674C108B"/>
    <w:rsid w:val="69036813"/>
    <w:rsid w:val="69787200"/>
    <w:rsid w:val="6AD743A0"/>
    <w:rsid w:val="6B454EC0"/>
    <w:rsid w:val="6BFC23A4"/>
    <w:rsid w:val="6C1950D8"/>
    <w:rsid w:val="6C53185F"/>
    <w:rsid w:val="6E2A4841"/>
    <w:rsid w:val="70822713"/>
    <w:rsid w:val="72FA2A34"/>
    <w:rsid w:val="769E5DCD"/>
    <w:rsid w:val="77E31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仿宋_GB2312" w:hAnsi="Times New Roman" w:eastAsia="仿宋_GB2312" w:cs="仿宋_GB2312"/>
      <w:sz w:val="18"/>
      <w:szCs w:val="18"/>
    </w:rPr>
  </w:style>
  <w:style w:type="character" w:customStyle="1" w:styleId="8">
    <w:name w:val="页脚 Char"/>
    <w:basedOn w:val="6"/>
    <w:link w:val="3"/>
    <w:qFormat/>
    <w:uiPriority w:val="99"/>
    <w:rPr>
      <w:rFonts w:ascii="仿宋_GB2312" w:hAnsi="Times New Roman" w:eastAsia="仿宋_GB2312" w:cs="仿宋_GB2312"/>
      <w:sz w:val="18"/>
      <w:szCs w:val="18"/>
    </w:rPr>
  </w:style>
  <w:style w:type="character" w:customStyle="1" w:styleId="9">
    <w:name w:val="批注框文本 Char"/>
    <w:basedOn w:val="6"/>
    <w:link w:val="2"/>
    <w:semiHidden/>
    <w:qFormat/>
    <w:uiPriority w:val="99"/>
    <w:rPr>
      <w:rFonts w:ascii="仿宋_GB2312" w:hAnsi="Times New Roman" w:eastAsia="仿宋_GB2312" w:cs="仿宋_GB2312"/>
      <w:sz w:val="18"/>
      <w:szCs w:val="18"/>
    </w:rPr>
  </w:style>
  <w:style w:type="paragraph" w:customStyle="1" w:styleId="10">
    <w:name w:val="Char"/>
    <w:basedOn w:val="1"/>
    <w:qFormat/>
    <w:uiPriority w:val="0"/>
    <w:pPr>
      <w:widowControl/>
      <w:spacing w:after="160" w:line="240" w:lineRule="exact"/>
      <w:jc w:val="left"/>
    </w:pPr>
    <w:rPr>
      <w:rFonts w:ascii="Times New Roman" w:eastAsia="宋体" w:cs="Times New Roman"/>
      <w:sz w:val="21"/>
      <w:szCs w:val="24"/>
    </w:rPr>
  </w:style>
  <w:style w:type="character" w:customStyle="1" w:styleId="11">
    <w:name w:val="正文常用 Char"/>
    <w:link w:val="12"/>
    <w:qFormat/>
    <w:locked/>
    <w:uiPriority w:val="0"/>
    <w:rPr>
      <w:rFonts w:ascii="方正仿宋_GBK" w:eastAsia="方正仿宋_GBK"/>
      <w:kern w:val="2"/>
      <w:sz w:val="32"/>
      <w:szCs w:val="32"/>
    </w:rPr>
  </w:style>
  <w:style w:type="paragraph" w:customStyle="1" w:styleId="12">
    <w:name w:val="正文常用"/>
    <w:basedOn w:val="1"/>
    <w:link w:val="11"/>
    <w:qFormat/>
    <w:uiPriority w:val="0"/>
    <w:pPr>
      <w:spacing w:line="570" w:lineRule="exact"/>
      <w:ind w:firstLine="200" w:firstLineChars="200"/>
    </w:pPr>
    <w:rPr>
      <w:rFonts w:ascii="方正仿宋_GBK" w:eastAsia="方正仿宋_GBK" w:hAnsiTheme="minorHAnsi" w:cstheme="minorBidi"/>
    </w:rPr>
  </w:style>
  <w:style w:type="paragraph" w:styleId="13">
    <w:name w:val="List Paragraph"/>
    <w:basedOn w:val="1"/>
    <w:unhideWhenUsed/>
    <w:qFormat/>
    <w:uiPriority w:val="99"/>
    <w:pPr>
      <w:ind w:firstLine="420" w:firstLineChars="200"/>
    </w:pPr>
  </w:style>
  <w:style w:type="paragraph" w:customStyle="1" w:styleId="14">
    <w:name w:val="Char Char Char1 Char"/>
    <w:basedOn w:val="1"/>
    <w:qFormat/>
    <w:uiPriority w:val="0"/>
    <w:pPr>
      <w:widowControl/>
      <w:spacing w:after="160" w:line="240" w:lineRule="exact"/>
      <w:jc w:val="left"/>
    </w:pPr>
    <w:rPr>
      <w:rFonts w:asci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68C2C5-D621-4A61-B63E-89DECB8BACD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3250</Words>
  <Characters>3434</Characters>
  <Lines>70</Lines>
  <Paragraphs>19</Paragraphs>
  <TotalTime>6</TotalTime>
  <ScaleCrop>false</ScaleCrop>
  <LinksUpToDate>false</LinksUpToDate>
  <CharactersWithSpaces>3536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2023-03-23T01:57:00Z</dcterms:created>
  <dc:creator>406</dc:creator>
  <cp:lastModifiedBy>Administrator</cp:lastModifiedBy>
  <cp:lastPrinted>2023-02-16T02:25:00Z</cp:lastPrinted>
  <dcterms:modified xsi:type="dcterms:W3CDTF">2026-03-09T08:37:22Z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7D54199AB2A042188E3DCB408BC01B34</vt:lpwstr>
  </property>
</Properties>
</file>