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default" w:ascii="宋体" w:hAnsi="宋体"/>
          <w:b/>
          <w:sz w:val="44"/>
          <w:szCs w:val="44"/>
          <w:lang w:val="en-US" w:eastAsia="zh-CN"/>
        </w:rPr>
        <w:t>5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本月我区生活必需品价格整体运行稳定，其中粮油肉价格总体平稳，鸡蛋价格持续上涨，蔬菜价格季节性回落。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9.86%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0.13%、8.00%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价格均上涨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22.25%、22.94%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鲜牛肉、鲜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8.52%、9.38%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9.14%、20.05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17.80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35.29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23种蔬菜平均价格每500克为1.99元，与上月相比价格下降11.16%，与去年同期相比价格下降6.57%。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6涨4平13降，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20.77%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59.88%、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4.38%；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12.27%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38.96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23.98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34.13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39.16%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4.88%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度59.88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41.67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肉蛋市场：本月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受生猪价格影响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出现短暂波动</w:t>
      </w:r>
      <w:r>
        <w:rPr>
          <w:rStyle w:val="9"/>
          <w:rFonts w:hint="default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受蛋鸡产能及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饲料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成本上涨的影响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本月鸡蛋价格持续上涨，5月25日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鸡蛋的零售价格为每500克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5.00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元，与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日的价格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4.30元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相比上涨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16.28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夏季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来临，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气候利于蔬菜生长，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本地、近地蔬菜供应量增加，本月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季节性回落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7C6AF5"/>
    <w:rsid w:val="1D8A4C6B"/>
    <w:rsid w:val="1EC06AAB"/>
    <w:rsid w:val="1F4B3840"/>
    <w:rsid w:val="1F4C4468"/>
    <w:rsid w:val="1F7D1B84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BD33A88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550C27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3DFE512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EAF903E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7D379E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7F882E"/>
    <w:rsid w:val="6EA6CAAC"/>
    <w:rsid w:val="6ED844BF"/>
    <w:rsid w:val="6EDF1978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CEB9C2"/>
    <w:rsid w:val="73E3166C"/>
    <w:rsid w:val="73F17AC3"/>
    <w:rsid w:val="740A1E7E"/>
    <w:rsid w:val="743F142B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6762"/>
    <w:rsid w:val="79FD803F"/>
    <w:rsid w:val="79FEE59A"/>
    <w:rsid w:val="7A4EE48C"/>
    <w:rsid w:val="7A5F16CA"/>
    <w:rsid w:val="7ABB0EC3"/>
    <w:rsid w:val="7AEF7BB9"/>
    <w:rsid w:val="7BA8052F"/>
    <w:rsid w:val="7BBBB610"/>
    <w:rsid w:val="7BBD345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9B153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63681"/>
    <w:rsid w:val="7FB990F9"/>
    <w:rsid w:val="7FDBE85E"/>
    <w:rsid w:val="7FDFFF65"/>
    <w:rsid w:val="7FE07276"/>
    <w:rsid w:val="7FEBC628"/>
    <w:rsid w:val="7FEE74C7"/>
    <w:rsid w:val="7FFA33EA"/>
    <w:rsid w:val="7FFA55FD"/>
    <w:rsid w:val="7FFBD15C"/>
    <w:rsid w:val="7FFC571F"/>
    <w:rsid w:val="7FFED0AC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BFE9013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9F3D06"/>
    <w:rsid w:val="BFE6F510"/>
    <w:rsid w:val="BFEF82BF"/>
    <w:rsid w:val="BFF6C8FC"/>
    <w:rsid w:val="BFFD58F0"/>
    <w:rsid w:val="BFFF4B06"/>
    <w:rsid w:val="CB6C5B8C"/>
    <w:rsid w:val="D2F7E7F4"/>
    <w:rsid w:val="D632147D"/>
    <w:rsid w:val="D7474CCC"/>
    <w:rsid w:val="D7750151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465E4A"/>
    <w:rsid w:val="F5E916D4"/>
    <w:rsid w:val="F5FF260C"/>
    <w:rsid w:val="F6FF97FE"/>
    <w:rsid w:val="F79FB5E2"/>
    <w:rsid w:val="F7FA502A"/>
    <w:rsid w:val="F7FF9658"/>
    <w:rsid w:val="FAAB7B75"/>
    <w:rsid w:val="FAB6F48D"/>
    <w:rsid w:val="FBC70D7D"/>
    <w:rsid w:val="FC7F0EEB"/>
    <w:rsid w:val="FCBB4D7A"/>
    <w:rsid w:val="FCFF5072"/>
    <w:rsid w:val="FD0A8A41"/>
    <w:rsid w:val="FD76A727"/>
    <w:rsid w:val="FDD78E4A"/>
    <w:rsid w:val="FDEB3585"/>
    <w:rsid w:val="FDEF0738"/>
    <w:rsid w:val="FDEFF266"/>
    <w:rsid w:val="FDFCAC7E"/>
    <w:rsid w:val="FDFE9A0A"/>
    <w:rsid w:val="FEDB167E"/>
    <w:rsid w:val="FEEEC1C6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205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2019-11-20T09:47:00Z</dcterms:created>
  <dc:creator>admin1</dc:creator>
  <cp:lastModifiedBy>kylin</cp:lastModifiedBy>
  <cp:lastPrinted>2025-12-03T18:29:00Z</cp:lastPrinted>
  <dcterms:modified xsi:type="dcterms:W3CDTF">2026-05-27T18:32:08Z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27AD633A7165340CB6CEEE6991AA1430</vt:lpwstr>
  </property>
</Properties>
</file>